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70FF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Heat disspation is challenging electronic systems in：</w:t>
      </w:r>
    </w:p>
    <w:p w14:paraId="7A80FB69">
      <w:pPr>
        <w:numPr>
          <w:ilvl w:val="0"/>
          <w:numId w:val="1"/>
        </w:numPr>
        <w:rPr>
          <w:rFonts w:hint="default"/>
          <w:lang w:val="en-GB" w:eastAsia="zh-CN"/>
        </w:rPr>
      </w:pPr>
      <w:r>
        <w:rPr>
          <w:rFonts w:hint="default"/>
          <w:lang w:val="en-GB" w:eastAsia="zh-CN"/>
        </w:rPr>
        <w:t>Lifetime and Reliability</w:t>
      </w:r>
      <w:r>
        <w:rPr>
          <w:rFonts w:hint="default"/>
          <w:lang w:val="de-DE" w:eastAsia="zh-CN"/>
        </w:rPr>
        <w:t>: 1 Cesius rise in junction temp. Leads to 5% decline in lifetime, and it causes nearly 50% damage.</w:t>
      </w:r>
    </w:p>
    <w:p w14:paraId="290CC8EB">
      <w:pPr>
        <w:numPr>
          <w:ilvl w:val="0"/>
          <w:numId w:val="1"/>
        </w:numPr>
        <w:rPr>
          <w:rFonts w:hint="default"/>
          <w:lang w:val="en-GB" w:eastAsia="zh-CN"/>
        </w:rPr>
      </w:pPr>
      <w:r>
        <w:rPr>
          <w:rFonts w:hint="default"/>
          <w:lang w:val="de-DE" w:eastAsia="zh-CN"/>
        </w:rPr>
        <w:t>Power output: devices can‘t work at full power.</w:t>
      </w:r>
    </w:p>
    <w:p w14:paraId="4CA9E488">
      <w:pPr>
        <w:numPr>
          <w:ilvl w:val="0"/>
          <w:numId w:val="1"/>
        </w:numPr>
        <w:rPr>
          <w:rFonts w:hint="default"/>
          <w:lang w:val="en-GB" w:eastAsia="zh-CN"/>
        </w:rPr>
      </w:pPr>
      <w:r>
        <w:rPr>
          <w:rFonts w:hint="default"/>
          <w:lang w:val="de-DE" w:eastAsia="zh-CN"/>
        </w:rPr>
        <w:t>External energy cost: nearly 1.5 times total electricity consumption to cool down devices.</w:t>
      </w:r>
    </w:p>
    <w:p w14:paraId="62B6E3C9">
      <w:pPr>
        <w:numPr>
          <w:ilvl w:val="0"/>
          <w:numId w:val="0"/>
        </w:numPr>
        <w:rPr>
          <w:rFonts w:hint="default"/>
          <w:lang w:val="de-DE" w:eastAsia="zh-CN"/>
        </w:rPr>
      </w:pPr>
    </w:p>
    <w:p w14:paraId="3661BB1C">
      <w:pPr>
        <w:numPr>
          <w:ilvl w:val="0"/>
          <w:numId w:val="0"/>
        </w:numPr>
        <w:rPr>
          <w:rFonts w:hint="default"/>
          <w:lang w:val="de-DE" w:eastAsia="zh-CN"/>
        </w:rPr>
      </w:pPr>
      <w:r>
        <w:rPr>
          <w:rFonts w:hint="default"/>
          <w:lang w:val="de-DE" w:eastAsia="zh-CN"/>
        </w:rPr>
        <w:t>Current Semiconductor IC:</w:t>
      </w:r>
    </w:p>
    <w:p w14:paraId="13C8ACE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70730" cy="2952115"/>
            <wp:effectExtent l="0" t="0" r="1270" b="63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2C61">
      <w:pPr>
        <w:numPr>
          <w:ilvl w:val="0"/>
          <w:numId w:val="0"/>
        </w:numPr>
        <w:jc w:val="center"/>
      </w:pPr>
    </w:p>
    <w:p w14:paraId="0CECFB57">
      <w:pPr>
        <w:numPr>
          <w:ilvl w:val="0"/>
          <w:numId w:val="0"/>
        </w:numPr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Typical cooling technologies</w:t>
      </w:r>
    </w:p>
    <w:p w14:paraId="4EA1203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49850" cy="2809875"/>
            <wp:effectExtent l="0" t="0" r="12700" b="9525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FB11">
      <w:pPr>
        <w:numPr>
          <w:ilvl w:val="0"/>
          <w:numId w:val="0"/>
        </w:numPr>
        <w:jc w:val="both"/>
        <w:rPr>
          <w:rFonts w:hint="default"/>
          <w:color w:val="FF0000"/>
          <w:lang w:val="de-DE" w:eastAsia="zh-CN"/>
        </w:rPr>
      </w:pPr>
      <w:r>
        <w:rPr>
          <w:rFonts w:hint="default"/>
          <w:color w:val="FF0000"/>
          <w:lang w:val="de-DE" w:eastAsia="zh-CN"/>
        </w:rPr>
        <w:t>Je näher der Cooler zur Hitzequellen liegt, desto effizienter.</w:t>
      </w:r>
    </w:p>
    <w:p w14:paraId="61EF3FC2">
      <w:pPr>
        <w:numPr>
          <w:ilvl w:val="0"/>
          <w:numId w:val="0"/>
        </w:numPr>
        <w:jc w:val="both"/>
        <w:rPr>
          <w:rFonts w:hint="default"/>
          <w:color w:val="FF0000"/>
          <w:lang w:val="de-DE" w:eastAsia="zh-CN"/>
        </w:rPr>
      </w:pPr>
    </w:p>
    <w:p w14:paraId="2407E9F9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38625" cy="3011170"/>
            <wp:effectExtent l="0" t="0" r="9525" b="1778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D4EE">
      <w:pPr>
        <w:numPr>
          <w:ilvl w:val="0"/>
          <w:numId w:val="0"/>
        </w:numPr>
        <w:jc w:val="center"/>
      </w:pPr>
    </w:p>
    <w:p w14:paraId="4F16A389">
      <w:pPr>
        <w:numPr>
          <w:ilvl w:val="0"/>
          <w:numId w:val="0"/>
        </w:numPr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Nowadays dominates the internal resistance</w:t>
      </w:r>
    </w:p>
    <w:p w14:paraId="72E8092B">
      <w:pPr>
        <w:numPr>
          <w:ilvl w:val="0"/>
          <w:numId w:val="0"/>
        </w:numPr>
        <w:jc w:val="both"/>
        <w:rPr>
          <w:rFonts w:hint="default"/>
          <w:lang w:val="de-DE" w:eastAsia="zh-CN"/>
        </w:rPr>
      </w:pPr>
    </w:p>
    <w:p w14:paraId="3EF69794">
      <w:pPr>
        <w:numPr>
          <w:ilvl w:val="0"/>
          <w:numId w:val="0"/>
        </w:numPr>
        <w:jc w:val="both"/>
        <w:rPr>
          <w:rFonts w:hint="default"/>
          <w:lang w:val="de-DE" w:eastAsia="zh-CN"/>
        </w:rPr>
      </w:pPr>
      <w:r>
        <w:rPr>
          <w:rFonts w:hint="default"/>
          <w:lang w:val="de-DE" w:eastAsia="zh-CN"/>
        </w:rPr>
        <w:t>Example of thermal resistance analyses of GaN IC</w:t>
      </w:r>
    </w:p>
    <w:p w14:paraId="5899538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76195" cy="2457450"/>
            <wp:effectExtent l="0" t="0" r="1460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9F89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1967865"/>
            <wp:effectExtent l="0" t="0" r="9525" b="1333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F8E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10025" cy="4003040"/>
            <wp:effectExtent l="0" t="0" r="9525" b="1651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CE74">
      <w:pPr>
        <w:numPr>
          <w:ilvl w:val="0"/>
          <w:numId w:val="0"/>
        </w:numPr>
        <w:jc w:val="center"/>
        <w:rPr>
          <w:rFonts w:hint="default"/>
          <w:lang w:val="de-DE" w:eastAsia="zh-CN"/>
        </w:rPr>
      </w:pPr>
    </w:p>
    <w:p w14:paraId="4DB04D9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7C8DA59">
      <w:pPr>
        <w:numPr>
          <w:ilvl w:val="0"/>
          <w:numId w:val="0"/>
        </w:numPr>
        <w:jc w:val="both"/>
        <w:rPr>
          <w:rFonts w:hint="default"/>
          <w:lang w:val="de-DE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  <w:lang w:val="de-DE" w:eastAsia="zh-CN"/>
        </w:rPr>
        <w:t>heoretische Grundlagen von dem elastocalorischen Material</w:t>
      </w:r>
    </w:p>
    <w:p w14:paraId="61790C93">
      <w:pPr>
        <w:numPr>
          <w:ilvl w:val="0"/>
          <w:numId w:val="0"/>
        </w:numPr>
        <w:jc w:val="both"/>
        <w:rPr>
          <w:rFonts w:hint="eastAsia" w:eastAsiaTheme="minorEastAsia"/>
          <w:lang w:val="de-DE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9C12E1"/>
    <w:multiLevelType w:val="singleLevel"/>
    <w:tmpl w:val="909C12E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1850"/>
    <w:rsid w:val="0778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194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2025-04-05T18:30:00Z</dcterms:created>
  <dc:creator>10206</dc:creator>
  <cp:lastModifiedBy>weiyi kong</cp:lastModifiedBy>
  <dcterms:modified xsi:type="dcterms:W3CDTF">2025-05-19T10:02:51Z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1031-12.2.0.21179</vt:lpwstr>
  </property>
  <property fmtid="{D5CDD505-2E9C-101B-9397-08002B2CF9AE}" pid="3" name="ICV">
    <vt:lpwstr>0A63391C76D443D3878866369D4380EC_12</vt:lpwstr>
  </property>
</Properties>
</file>