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left"/>
      </w:pPr>
      <w:r>
        <w:rPr>
          <w:rFonts w:ascii="Times New Roman" w:hAnsi="Times New Roman"/>
          <w:sz w:val="23"/>
        </w:rPr>
        <w:t>September 26, 2026</w:t>
      </w:r>
    </w:p>
    <w:p>
      <w:pPr>
        <w:spacing w:before="0" w:after="240" w:line="276" w:lineRule="auto"/>
        <w:jc w:val="left"/>
      </w:pPr>
      <w:r>
        <w:rPr>
          <w:rFonts w:ascii="Times New Roman" w:hAnsi="Times New Roman"/>
          <w:sz w:val="23"/>
        </w:rPr>
        <w:t>To:</w:t>
        <w:br/>
        <w:t>The Editors-in-Chief,</w:t>
        <w:br/>
        <w:t>Neural Networks (Elsevier)</w:t>
        <w:br/>
        <w:t>Official Journal of the International Neural Network Society (INNS), ENNS, &amp; JNNS</w:t>
      </w:r>
    </w:p>
    <w:p>
      <w:pPr>
        <w:spacing w:before="0" w:after="200" w:line="276" w:lineRule="auto"/>
        <w:jc w:val="left"/>
      </w:pPr>
      <w:r>
        <w:rPr>
          <w:rFonts w:ascii="Times New Roman" w:hAnsi="Times New Roman"/>
          <w:b/>
          <w:sz w:val="23"/>
        </w:rPr>
        <w:t>Dear Editors-in-Chief,</w:t>
        <w:br/>
        <w:br/>
      </w:r>
      <w:r>
        <w:rPr>
          <w:rFonts w:ascii="Times New Roman" w:hAnsi="Times New Roman"/>
          <w:sz w:val="23"/>
        </w:rPr>
        <w:t>Subject: Submission of Original Research Article titled "Contractive Latent Dynamical Reasoning: Bypassing Autoregressive Rollouts via Operator-Norm Contraction"</w:t>
      </w:r>
    </w:p>
    <w:p>
      <w:pPr>
        <w:spacing w:before="0" w:after="120" w:line="276" w:lineRule="auto"/>
        <w:jc w:val="left"/>
      </w:pPr>
      <w:r>
        <w:rPr>
          <w:rFonts w:ascii="Times New Roman" w:hAnsi="Times New Roman"/>
          <w:sz w:val="23"/>
        </w:rPr>
        <w:t>We are pleased to submit our original research article titled "Contractive Latent Dynamical Reasoning: Bypassing Autoregressive Rollouts via Operator-Norm Contraction" for consideration for publication as a Regular Paper in Neural Networks.</w:t>
      </w:r>
    </w:p>
    <w:p>
      <w:pPr>
        <w:spacing w:before="0" w:after="120" w:line="276" w:lineRule="auto"/>
        <w:jc w:val="left"/>
      </w:pPr>
      <w:r>
        <w:rPr>
          <w:rFonts w:ascii="Times New Roman" w:hAnsi="Times New Roman"/>
          <w:sz w:val="23"/>
        </w:rPr>
        <w:t>Why this work is ideally suited for Neural Networks: Neural Networks has long served as the premier venue for foundational breakthroughs bridging non-linear dynamical systems, neurocomputing, and recurrent architectures. Our paper tackles a defining challenge in frontier AI: the compounding error drift, quadratic context overhead, and unconstrained hallucinations inherent to discrete autoregressive Chain-of-Thought (CoT) token rollouts. We formulate multi-step reasoning as a continuous-time dynamical system evolving on a latent manifold under strict Demidovich contraction (</w:t>
      </w:r>
      <m:oMath>
        <m:box>
          <m:e>
            <m:sSub>
              <m:e>
                <m:r>
                  <m:rPr>
                    <m:sty m:val="i"/>
                  </m:rPr>
                  <m:t>λ</m:t>
                </m:r>
              </m:e>
              <m:sub>
                <m:box>
                  <m:e>
                    <m:r>
                      <m:rPr>
                        <m:sty m:val="p"/>
                      </m:rPr>
                      <m:t>max</m:t>
                    </m:r>
                  </m:e>
                </m:box>
              </m:sub>
            </m:sSub>
            <m:r>
              <m:rPr>
                <m:sty m:val="p"/>
              </m:rPr>
              <m:t>(</m:t>
            </m:r>
            <m:r>
              <m:rPr>
                <m:nor/>
              </m:rPr>
              <m:t>Sym</m:t>
            </m:r>
            <m:r>
              <m:rPr>
                <m:sty m:val="p"/>
              </m:rPr>
              <m:t>(</m:t>
            </m:r>
            <m:r>
              <m:rPr>
                <m:sty m:val="i"/>
              </m:rPr>
              <m:t>J</m:t>
            </m:r>
            <m:r>
              <m:rPr>
                <m:sty m:val="p"/>
              </m:rPr>
              <m:t>)</m:t>
            </m:r>
            <m:r>
              <m:rPr>
                <m:sty m:val="p"/>
              </m:rPr>
              <m:t>)</m:t>
            </m:r>
            <m:r>
              <m:rPr>
                <m:sty m:val="p"/>
              </m:rPr>
              <m:t>≤</m:t>
            </m:r>
            <m:r>
              <m:rPr>
                <m:sty m:val="p"/>
              </m:rPr>
              <m:t>−</m:t>
            </m:r>
            <m:r>
              <m:rPr>
                <m:sty m:val="i"/>
              </m:rPr>
              <m:t>κ</m:t>
            </m:r>
            <m:r>
              <m:rPr>
                <m:sty m:val="p"/>
              </m:rPr>
              <m:t>&lt;</m:t>
            </m:r>
            <m:r>
              <m:rPr>
                <m:sty m:val="p"/>
              </m:rPr>
              <m:t>0</m:t>
            </m:r>
          </m:e>
        </m:box>
      </m:oMath>
      <w:r>
        <w:rPr>
          <w:rFonts w:ascii="Times New Roman" w:hAnsi="Times New Roman"/>
          <w:sz w:val="23"/>
        </w:rPr>
        <w:t>). This guarantees exponential convergence to a unique problem-conditioned equilibrium, enabling smooth continuous test-time scaling.</w:t>
      </w:r>
    </w:p>
    <w:p>
      <w:pPr>
        <w:spacing w:before="0" w:after="120" w:line="276" w:lineRule="auto"/>
        <w:jc w:val="left"/>
      </w:pPr>
      <w:r>
        <w:rPr>
          <w:rFonts w:ascii="Times New Roman" w:hAnsi="Times New Roman"/>
          <w:sz w:val="23"/>
        </w:rPr>
        <w:t>Key scientific and empirical findings presented in this manuscript include:</w:t>
      </w:r>
    </w:p>
    <w:p>
      <w:pPr>
        <w:spacing w:before="0" w:after="80" w:line="276" w:lineRule="auto"/>
        <w:jc w:val="left"/>
      </w:pPr>
      <w:r>
        <w:rPr>
          <w:rFonts w:ascii="Times New Roman" w:hAnsi="Times New Roman"/>
          <w:sz w:val="23"/>
        </w:rPr>
        <w:t>1. Formal Expressivity Boundary: We prove why damped Input-Convex Neural Network (ICNN) potential flows fail on non-convex combinatorial parity (verifying our pre-registered kill criterion at chance), and demonstrate how spectrally bounded non-potential flows resolve this expressivity-contraction trade-off.</w:t>
      </w:r>
    </w:p>
    <w:p>
      <w:pPr>
        <w:spacing w:before="0" w:after="80" w:line="276" w:lineRule="auto"/>
        <w:jc w:val="left"/>
      </w:pPr>
      <w:r>
        <w:rPr>
          <w:rFonts w:ascii="Times New Roman" w:hAnsi="Times New Roman"/>
          <w:sz w:val="23"/>
        </w:rPr>
        <w:t>2. Real-World Benchmark Superiority: On the Cora citation network (2,708 papers, 5,429 citations), CLR achieves 100.00% multi-hop reachability, decisively outperforming discrete Graph Neural Networks (</w:t>
      </w:r>
      <m:oMath>
        <m:box>
          <m:e>
            <m:r>
              <m:rPr>
                <m:sty m:val="i"/>
              </m:rPr>
              <m:t>K</m:t>
            </m:r>
            <m:r>
              <m:rPr>
                <m:sty m:val="p"/>
              </m:rPr>
              <m:t>∈</m:t>
            </m:r>
            <m:r>
              <m:rPr>
                <m:sty m:val="p"/>
              </m:rPr>
              <m:t>{</m:t>
            </m:r>
            <m:r>
              <m:rPr>
                <m:sty m:val="p"/>
              </m:rPr>
              <m:t>2</m:t>
            </m:r>
            <m:r>
              <m:rPr>
                <m:sty m:val="p"/>
              </m:rPr>
              <m:t>,</m:t>
            </m:r>
            <m:r>
              <m:rPr>
                <m:sty m:val="p"/>
              </m:rPr>
              <m:t>4</m:t>
            </m:r>
            <m:r>
              <m:rPr>
                <m:sty m:val="p"/>
              </m:rPr>
              <m:t>,</m:t>
            </m:r>
            <m:r>
              <m:rPr>
                <m:sty m:val="p"/>
              </m:rPr>
              <m:t>6</m:t>
            </m:r>
            <m:r>
              <m:rPr>
                <m:sty m:val="p"/>
              </m:rPr>
              <m:t>,</m:t>
            </m:r>
            <m:r>
              <m:rPr>
                <m:sty m:val="p"/>
              </m:rPr>
              <m:t>8</m:t>
            </m:r>
            <m:r>
              <m:rPr>
                <m:sty m:val="p"/>
              </m:rPr>
              <m:t>}</m:t>
            </m:r>
          </m:e>
        </m:box>
      </m:oMath>
      <w:r>
        <w:rPr>
          <w:rFonts w:ascii="Times New Roman" w:hAnsi="Times New Roman"/>
          <w:sz w:val="23"/>
        </w:rPr>
        <w:t>) where discrete depth saturation and over-smoothing limit accuracy to 87.67% (</w:t>
      </w:r>
      <m:oMath>
        <m:box>
          <m:e>
            <m:r>
              <m:rPr>
                <m:sty m:val="i"/>
              </m:rPr>
              <m:t>K</m:t>
            </m:r>
            <m:r>
              <m:rPr>
                <m:sty m:val="p"/>
              </m:rPr>
              <m:t>=</m:t>
            </m:r>
            <m:r>
              <m:rPr>
                <m:sty m:val="p"/>
              </m:rPr>
              <m:t>6</m:t>
            </m:r>
          </m:e>
        </m:box>
      </m:oMath>
      <w:r>
        <w:rPr>
          <w:rFonts w:ascii="Times New Roman" w:hAnsi="Times New Roman"/>
          <w:sz w:val="23"/>
        </w:rPr>
        <w:t>) and 86.67% (</w:t>
      </w:r>
      <m:oMath>
        <m:box>
          <m:e>
            <m:r>
              <m:rPr>
                <m:sty m:val="i"/>
              </m:rPr>
              <m:t>K</m:t>
            </m:r>
            <m:r>
              <m:rPr>
                <m:sty m:val="p"/>
              </m:rPr>
              <m:t>=</m:t>
            </m:r>
            <m:r>
              <m:rPr>
                <m:sty m:val="p"/>
              </m:rPr>
              <m:t>8</m:t>
            </m:r>
          </m:e>
        </m:box>
      </m:oMath>
      <w:r>
        <w:rPr>
          <w:rFonts w:ascii="Times New Roman" w:hAnsi="Times New Roman"/>
          <w:sz w:val="23"/>
        </w:rPr>
        <w:t>).</w:t>
      </w:r>
    </w:p>
    <w:p>
      <w:pPr>
        <w:spacing w:before="0" w:after="80" w:line="276" w:lineRule="auto"/>
        <w:jc w:val="left"/>
      </w:pPr>
      <w:r>
        <w:rPr>
          <w:rFonts w:ascii="Times New Roman" w:hAnsi="Times New Roman"/>
          <w:sz w:val="23"/>
        </w:rPr>
        <w:t>3. Physical Refutation of Self-Healing: Under a unified numerical integration harness, we refute naive claims of 'self-healing' under global additive noise on graphs, revealing the exact log-norm energy floor mechanism responsible for threshold crossing.</w:t>
      </w:r>
    </w:p>
    <w:p>
      <w:pPr>
        <w:spacing w:before="0" w:after="200" w:line="276" w:lineRule="auto"/>
        <w:jc w:val="left"/>
      </w:pPr>
      <w:r>
        <w:rPr>
          <w:rFonts w:ascii="Times New Roman" w:hAnsi="Times New Roman"/>
          <w:sz w:val="23"/>
        </w:rPr>
        <w:t>4. Large-Scale Numerical Verification: We introduce an autograd-based shifted power iteration that verifies Demidovich contraction across all 43,328 dimensions in 0.22 seconds.</w:t>
      </w:r>
    </w:p>
    <w:p>
      <w:pPr>
        <w:spacing w:before="0" w:after="120" w:line="276" w:lineRule="auto"/>
        <w:jc w:val="left"/>
      </w:pPr>
      <w:r>
        <w:rPr>
          <w:rFonts w:ascii="Times New Roman" w:hAnsi="Times New Roman"/>
          <w:sz w:val="23"/>
        </w:rPr>
        <w:t>This manuscript represents original work and is not currently under consideration for publication elsewhere. All authors (Dipesh Gurung, Binod Bhattarai, and Dr. R N Thakur) have read, contributed to, and approved the submitted version. The complete submission package comprises the Cover Letter, Title Page, Highlights (strictly &lt;= 85 characters per bullet), Full Manuscript (with continuous line numbering), Standalone Supplementary Material, Declaration of Competing Interests, and CRediT Author Statement. Complete source code, test suites (24 passed unit tests), and model checkpoints are publicly available at: https://github.com/Dips7/contractive-latent-reasoning.</w:t>
      </w:r>
    </w:p>
    <w:p>
      <w:pPr>
        <w:spacing w:before="0" w:after="120" w:line="276" w:lineRule="auto"/>
        <w:jc w:val="left"/>
      </w:pPr>
      <w:r>
        <w:rPr>
          <w:rFonts w:ascii="Times New Roman" w:hAnsi="Times New Roman"/>
          <w:sz w:val="23"/>
        </w:rPr>
        <w:t>Thank you very much for your time, consideration, and handling of our manuscript. We look forward to the peer review process.</w:t>
      </w:r>
    </w:p>
    <w:p>
      <w:pPr>
        <w:spacing w:before="0" w:after="0" w:line="276" w:lineRule="auto"/>
        <w:jc w:val="left"/>
      </w:pPr>
      <w:r>
        <w:rPr>
          <w:rFonts w:ascii="Times New Roman" w:hAnsi="Times New Roman"/>
          <w:sz w:val="23"/>
        </w:rPr>
        <w:t>Sincerely,</w:t>
        <w:br/>
        <w:br/>
        <w:t>Dipesh Gurung (Corresponding Author)</w:t>
        <w:br/>
        <w:t>Department of Information Technology</w:t>
        <w:br/>
        <w:t>Lord Buddha Education Foundation, Kathmandu 44600, Nepal</w:t>
        <w:br/>
        <w:t>Email: dipesh.gurung@lbef.edu.np | Tel: +977-1-4424412</w:t>
        <w:br/>
        <w:t>ORCID: 0009-0009-0335-2267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