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Times New Roman" w:hAnsi="Times New Roman"/>
          <w:b/>
          <w:sz w:val="32"/>
        </w:rPr>
        <w:t>Contractive Latent Dynamical Reasoning: Bypassing Autoregressive Rollouts via Operator-Norm Contraction</w:t>
      </w:r>
    </w:p>
    <w:p>
      <w:pPr>
        <w:spacing w:after="160"/>
        <w:jc w:val="center"/>
      </w:pPr>
      <w:r>
        <w:rPr>
          <w:rFonts w:ascii="Times New Roman" w:hAnsi="Times New Roman"/>
          <w:b/>
        </w:rPr>
        <w:t>Dipesh Gurung</w:t>
      </w:r>
      <w:r>
        <w:rPr>
          <w:rFonts w:ascii="Times New Roman" w:hAnsi="Times New Roman"/>
        </w:rPr>
        <w:t>1,*,</w:t>
        <w:tab/>
      </w:r>
      <w:r>
        <w:rPr>
          <w:rFonts w:ascii="Times New Roman" w:hAnsi="Times New Roman"/>
          <w:b/>
        </w:rPr>
        <w:t>Binod Bhattarai</w:t>
      </w:r>
      <w:r>
        <w:rPr>
          <w:rFonts w:ascii="Times New Roman" w:hAnsi="Times New Roman"/>
        </w:rPr>
        <w:t>2,</w:t>
        <w:tab/>
      </w:r>
      <w:r>
        <w:rPr>
          <w:rFonts w:ascii="Times New Roman" w:hAnsi="Times New Roman"/>
          <w:b/>
        </w:rPr>
        <w:t>Dr. R N Thakur</w:t>
      </w:r>
      <w:r>
        <w:rPr>
          <w:rFonts w:ascii="Times New Roman" w:hAnsi="Times New Roman"/>
        </w:rPr>
        <w:t>1</w:t>
      </w:r>
    </w:p>
    <w:p>
      <w:pPr>
        <w:spacing w:before="0" w:after="360" w:line="276" w:lineRule="auto"/>
        <w:jc w:val="center"/>
      </w:pPr>
      <w:r>
        <w:rPr>
          <w:rFonts w:ascii="Times New Roman" w:hAnsi="Times New Roman"/>
          <w:sz w:val="23"/>
        </w:rPr>
        <w:t>1 Department of Information Technology, Lord Buddha Education Foundation (LBEF Campus), Kathmandu 44600, Nepal</w:t>
        <w:br/>
        <w:t>2 Department of Computer Science and Engineering, School of Engineering and Technology, Noida International University, Greater Noida, Uttar Pradesh 203201, India</w:t>
        <w:br/>
        <w:t>* Corresponding Author: dipesh.gurung@lbef.edu.np</w:t>
      </w:r>
    </w:p>
    <w:p>
      <w:pPr>
        <w:keepNext/>
        <w:spacing w:before="240" w:after="80"/>
      </w:pPr>
      <w:r>
        <w:rPr>
          <w:rFonts w:ascii="Times New Roman" w:hAnsi="Times New Roman"/>
          <w:b/>
          <w:color w:val="222222"/>
          <w:sz w:val="25"/>
        </w:rPr>
        <w:t>Corresponding Author Details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/>
          <w:sz w:val="23"/>
        </w:rPr>
        <w:t xml:space="preserve">Full Name: </w:t>
      </w:r>
      <w:r>
        <w:rPr>
          <w:rFonts w:ascii="Times New Roman" w:hAnsi="Times New Roman"/>
          <w:sz w:val="23"/>
        </w:rPr>
        <w:t>Dipesh Gurung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/>
          <w:sz w:val="23"/>
        </w:rPr>
        <w:t xml:space="preserve">Academic Position: </w:t>
      </w:r>
      <w:r>
        <w:rPr>
          <w:rFonts w:ascii="Times New Roman" w:hAnsi="Times New Roman"/>
          <w:sz w:val="23"/>
        </w:rPr>
        <w:t>Assistant Professor &amp; Researcher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/>
          <w:sz w:val="23"/>
        </w:rPr>
        <w:t xml:space="preserve">Department / Faculty: </w:t>
      </w:r>
      <w:r>
        <w:rPr>
          <w:rFonts w:ascii="Times New Roman" w:hAnsi="Times New Roman"/>
          <w:sz w:val="23"/>
        </w:rPr>
        <w:t>Department of Information Technology, Lord Buddha Education Foundation (LBEF Campus)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/>
          <w:sz w:val="23"/>
        </w:rPr>
        <w:t xml:space="preserve">Postal Address: </w:t>
      </w:r>
      <w:r>
        <w:rPr>
          <w:rFonts w:ascii="Times New Roman" w:hAnsi="Times New Roman"/>
          <w:sz w:val="23"/>
        </w:rPr>
        <w:t>Opposite to Maitidevi Temple, Kathmandu 44600, Nepal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/>
          <w:sz w:val="23"/>
        </w:rPr>
        <w:t xml:space="preserve">E-mail: </w:t>
      </w:r>
      <w:r>
        <w:rPr>
          <w:rFonts w:ascii="Times New Roman" w:hAnsi="Times New Roman"/>
          <w:sz w:val="23"/>
        </w:rPr>
        <w:t>dipesh.gurung@lbef.edu.np (Primary) / dips.grg7@gmail.com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/>
          <w:sz w:val="23"/>
        </w:rPr>
        <w:t xml:space="preserve">Telephone: </w:t>
      </w:r>
      <w:r>
        <w:rPr>
          <w:rFonts w:ascii="Times New Roman" w:hAnsi="Times New Roman"/>
          <w:sz w:val="23"/>
        </w:rPr>
        <w:t>+977-1-4424412</w:t>
      </w:r>
    </w:p>
    <w:p>
      <w:pPr>
        <w:spacing w:before="0" w:after="280" w:line="276" w:lineRule="auto"/>
        <w:jc w:val="left"/>
      </w:pPr>
      <w:r>
        <w:rPr>
          <w:rFonts w:ascii="Times New Roman" w:hAnsi="Times New Roman"/>
          <w:b/>
          <w:sz w:val="23"/>
        </w:rPr>
        <w:t xml:space="preserve">ORCID: </w:t>
      </w:r>
      <w:r>
        <w:rPr>
          <w:rFonts w:ascii="Times New Roman" w:hAnsi="Times New Roman"/>
          <w:sz w:val="23"/>
        </w:rPr>
        <w:t>0009-0009-0335-2267</w:t>
      </w:r>
    </w:p>
    <w:p>
      <w:pPr>
        <w:keepNext/>
        <w:spacing w:before="240" w:after="80"/>
      </w:pPr>
      <w:r>
        <w:rPr>
          <w:rFonts w:ascii="Times New Roman" w:hAnsi="Times New Roman"/>
          <w:b/>
          <w:color w:val="222222"/>
          <w:sz w:val="25"/>
        </w:rPr>
        <w:t>Co-Author Credentials &amp; ORCIDs</w:t>
      </w:r>
    </w:p>
    <w:p>
      <w:pPr>
        <w:spacing w:before="0" w:after="60" w:line="276" w:lineRule="auto"/>
        <w:jc w:val="left"/>
      </w:pPr>
      <w:r>
        <w:rPr>
          <w:rFonts w:ascii="Times New Roman" w:hAnsi="Times New Roman"/>
          <w:b/>
          <w:sz w:val="23"/>
        </w:rPr>
        <w:t xml:space="preserve">Binod Bhattarai: </w:t>
      </w:r>
      <w:r>
        <w:rPr>
          <w:rFonts w:ascii="Times New Roman" w:hAnsi="Times New Roman"/>
          <w:sz w:val="23"/>
        </w:rPr>
        <w:t>Binod Bhattarai, Assistant Professor &amp; Ph.D. Candidate, Noida International University, India. Email: binod25@gmail.com. ORCID: 0009-0006-6691-5264.</w:t>
      </w:r>
    </w:p>
    <w:p>
      <w:pPr>
        <w:spacing w:before="0" w:after="280" w:line="276" w:lineRule="auto"/>
        <w:jc w:val="left"/>
      </w:pPr>
      <w:r>
        <w:rPr>
          <w:rFonts w:ascii="Times New Roman" w:hAnsi="Times New Roman"/>
          <w:b/>
          <w:sz w:val="23"/>
        </w:rPr>
        <w:t xml:space="preserve">Dr. R N Thakur: </w:t>
      </w:r>
      <w:r>
        <w:rPr>
          <w:rFonts w:ascii="Times New Roman" w:hAnsi="Times New Roman"/>
          <w:sz w:val="23"/>
        </w:rPr>
        <w:t>Prof. Dr. R.N. Thakur, Professor &amp; Dean, Lord Buddha Education Foundation, Kathmandu, Nepal. Email: rn.thakur@lbef.edu.np.</w:t>
      </w:r>
    </w:p>
    <w:p>
      <w:pPr>
        <w:keepNext/>
        <w:spacing w:before="240" w:after="80"/>
      </w:pPr>
      <w:r>
        <w:rPr>
          <w:rFonts w:ascii="Times New Roman" w:hAnsi="Times New Roman"/>
          <w:b/>
          <w:color w:val="222222"/>
          <w:sz w:val="25"/>
        </w:rPr>
        <w:t>Abstract</w:t>
      </w:r>
    </w:p>
    <w:p>
      <w:pPr>
        <w:spacing w:before="0" w:after="240" w:line="276" w:lineRule="auto"/>
        <w:jc w:val="left"/>
      </w:pPr>
      <w:r>
        <w:rPr>
          <w:rFonts w:ascii="Times New Roman" w:hAnsi="Times New Roman"/>
          <w:sz w:val="23"/>
        </w:rPr>
        <w:t>Scaling test-time reasoning in neural architectures predominantly relies on discrete autoregressive Chain-of-Thought rollouts, which suffer from compounding drift and unbounded context consumption in open-ended domains. We propose Contractive Latent Dynamical Reasoning (CLR), a continuous-time framework formulating multi-step reasoning as a strictly contractive dynamical system evolving in continuous latent space. By constraining the vector field's symmetric Jacobian under Demidovich contraction (</w:t>
      </w:r>
      <m:oMath>
        <m:box>
          <m:e>
            <m:sSub>
              <m:e>
                <m:r>
                  <m:rPr>
                    <m:sty m:val="i"/>
                  </m:rPr>
                  <m:t>λ</m:t>
                </m:r>
              </m:e>
              <m:sub>
                <m:box>
                  <m:e>
                    <m:r>
                      <m:rPr>
                        <m:sty m:val="p"/>
                      </m:rPr>
                      <m:t>max</m:t>
                    </m:r>
                  </m:e>
                </m:box>
              </m:sub>
            </m:sSub>
            <m:r>
              <m:rPr>
                <m:sty m:val="p"/>
              </m:rPr>
              <m:t>(</m:t>
            </m:r>
            <m:r>
              <m:rPr>
                <m:nor/>
              </m:rPr>
              <m:t>Sym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J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rPr>
                <m:sty m:val="i"/>
              </m:rPr>
              <m:t>κ</m:t>
            </m:r>
            <m:r>
              <m:rPr>
                <m:sty m:val="p"/>
              </m:rPr>
              <m:t>&lt;</m:t>
            </m:r>
            <m:r>
              <m:rPr>
                <m:sty m:val="p"/>
              </m:rPr>
              <m:t>0</m:t>
            </m:r>
          </m:e>
        </m:box>
      </m:oMath>
      <w:r>
        <w:rPr>
          <w:rFonts w:ascii="Times New Roman" w:hAnsi="Times New Roman"/>
          <w:sz w:val="23"/>
        </w:rPr>
        <w:t>), CLR guarantees exponential convergence to a unique problem-conditioned equilibrium, eliminating runaway hallucinations while enabling monotonic continuous test-time scaling. Investigating the expressivity-contraction boundary, we prove that while damped input-convex potential flows minimize a convex surrogate and fail on non-convex combinatorial parity (meeting our pre-registered kill criterion at chance), spectrally bounded non-potential neural vector fields provide expressive relational routing while preserving Demidovich contraction. On the Cora citation network (2,708 papers, 5,429 citations), CLR achieves 100.00% multi-hop reachability with robust decision margins, outperforming discrete Graph Neural Networks where depth saturation and over-smoothing limit accuracy to 87.67% (</w:t>
      </w:r>
      <m:oMath>
        <m:box>
          <m:e>
            <m:r>
              <m:rPr>
                <m:sty m:val="i"/>
              </m:rPr>
              <m:t>K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6</m:t>
            </m:r>
          </m:e>
        </m:box>
      </m:oMath>
      <w:r>
        <w:rPr>
          <w:rFonts w:ascii="Times New Roman" w:hAnsi="Times New Roman"/>
          <w:sz w:val="23"/>
        </w:rPr>
        <w:t>) and 86.67% (</w:t>
      </w:r>
      <m:oMath>
        <m:box>
          <m:e>
            <m:r>
              <m:rPr>
                <m:sty m:val="i"/>
              </m:rPr>
              <m:t>K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8</m:t>
            </m:r>
          </m:e>
        </m:box>
      </m:oMath>
      <w:r>
        <w:rPr>
          <w:rFonts w:ascii="Times New Roman" w:hAnsi="Times New Roman"/>
          <w:sz w:val="23"/>
        </w:rPr>
        <w:t>). Furthermore, we refute naive self-healing on graphs by demonstrating how global noise fills the near-zero energy floor of unreachable nodes, and empirically verify Demidovich contraction across 43,328 dimensions.</w:t>
      </w:r>
    </w:p>
    <w:p>
      <w:pPr>
        <w:keepNext/>
        <w:spacing w:before="240" w:after="80"/>
      </w:pPr>
      <w:r>
        <w:rPr>
          <w:rFonts w:ascii="Times New Roman" w:hAnsi="Times New Roman"/>
          <w:b/>
          <w:color w:val="222222"/>
          <w:sz w:val="25"/>
        </w:rPr>
        <w:t>Keywords</w:t>
      </w:r>
    </w:p>
    <w:p>
      <w:pPr>
        <w:spacing w:before="0" w:after="240" w:line="276" w:lineRule="auto"/>
        <w:jc w:val="left"/>
      </w:pPr>
      <w:r>
        <w:rPr>
          <w:rFonts w:ascii="Times New Roman" w:hAnsi="Times New Roman"/>
          <w:sz w:val="23"/>
        </w:rPr>
        <w:t>Contractive Dynamical Systems; Latent Space Reasoning; Demidovich Contraction; Neural Ordinary Differential Equations; Test-Time Compute Scaling; Graph Neural Networks; Non-Convex Optimization.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11111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