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Times New Roman" w:hAnsi="Times New Roman"/>
          <w:b/>
          <w:color w:val="000000"/>
          <w:sz w:val="28"/>
        </w:rPr>
        <w:t>CRediT Author Statement</w:t>
      </w:r>
    </w:p>
    <w:p>
      <w:pPr>
        <w:spacing w:before="0" w:after="160" w:line="276" w:lineRule="auto"/>
        <w:jc w:val="left"/>
      </w:pPr>
      <w:r>
        <w:rPr>
          <w:rFonts w:ascii="Times New Roman" w:hAnsi="Times New Roman"/>
          <w:i/>
          <w:sz w:val="23"/>
        </w:rPr>
        <w:t>Target Journal: Neural Networks (Elsevier)</w:t>
      </w:r>
    </w:p>
    <w:p>
      <w:pPr>
        <w:spacing w:before="0" w:after="280" w:line="276" w:lineRule="auto"/>
        <w:jc w:val="left"/>
      </w:pPr>
      <w:r>
        <w:rPr>
          <w:rFonts w:ascii="Times New Roman" w:hAnsi="Times New Roman"/>
          <w:b/>
          <w:sz w:val="23"/>
        </w:rPr>
        <w:t xml:space="preserve">Manuscript Title: </w:t>
      </w:r>
      <w:r>
        <w:rPr>
          <w:rFonts w:ascii="Times New Roman" w:hAnsi="Times New Roman"/>
          <w:sz w:val="23"/>
        </w:rPr>
        <w:t>Contractive Latent Dynamical Reasoning: Bypassing Autoregressive Rollouts via Operator-Norm Contraction</w:t>
      </w:r>
    </w:p>
    <w:p>
      <w:pPr>
        <w:spacing w:before="0" w:after="160" w:line="276" w:lineRule="auto"/>
        <w:jc w:val="left"/>
      </w:pPr>
      <w:r>
        <w:rPr>
          <w:rFonts w:ascii="Times New Roman" w:hAnsi="Times New Roman"/>
          <w:b/>
          <w:sz w:val="23"/>
        </w:rPr>
        <w:t xml:space="preserve">Dipesh Gurung: </w:t>
      </w:r>
      <w:r>
        <w:rPr>
          <w:rFonts w:ascii="Times New Roman" w:hAnsi="Times New Roman"/>
          <w:sz w:val="23"/>
        </w:rPr>
        <w:t>Dipesh Gurung: Conceptualization, Methodology, Software, Formal Analysis, Investigation, Data Curation, Writing - Original Draft, Visualization, Project Administration.</w:t>
      </w:r>
    </w:p>
    <w:p>
      <w:pPr>
        <w:spacing w:before="0" w:after="160" w:line="276" w:lineRule="auto"/>
        <w:jc w:val="left"/>
      </w:pPr>
      <w:r>
        <w:rPr>
          <w:rFonts w:ascii="Times New Roman" w:hAnsi="Times New Roman"/>
          <w:b/>
          <w:sz w:val="23"/>
        </w:rPr>
        <w:t xml:space="preserve">Binod Bhattarai: </w:t>
      </w:r>
      <w:r>
        <w:rPr>
          <w:rFonts w:ascii="Times New Roman" w:hAnsi="Times New Roman"/>
          <w:sz w:val="23"/>
        </w:rPr>
        <w:t>Binod Bhattarai: Validation, Formal Analysis, Mathematical Verification, Writing - Review &amp; Editing.</w:t>
      </w:r>
    </w:p>
    <w:p>
      <w:pPr>
        <w:spacing w:before="0" w:after="320" w:line="276" w:lineRule="auto"/>
        <w:jc w:val="left"/>
      </w:pPr>
      <w:r>
        <w:rPr>
          <w:rFonts w:ascii="Times New Roman" w:hAnsi="Times New Roman"/>
          <w:b/>
          <w:sz w:val="23"/>
        </w:rPr>
        <w:t xml:space="preserve">Dr. R N Thakur: </w:t>
      </w:r>
      <w:r>
        <w:rPr>
          <w:rFonts w:ascii="Times New Roman" w:hAnsi="Times New Roman"/>
          <w:sz w:val="23"/>
        </w:rPr>
        <w:t>Dr. R N Thakur: Supervision, Resources, Methodological Governance, Writing - Review &amp; Editing, Final Approval.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i/>
          <w:sz w:val="23"/>
        </w:rPr>
        <w:t>All authors have read and approved the published version of the manuscript and accept full scientific accountability for its content.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11111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