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000000"/>
          <w:sz w:val="28"/>
        </w:rPr>
        <w:t>Research Highlights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i/>
          <w:sz w:val="23"/>
        </w:rPr>
        <w:t>Contractive Latent Dynamical Reasoning: Bypassing Autoregressive Rollouts via Operator-Norm Contraction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Continuous latent dynamical reasoning bypasses compounding discrete autoregressive token drift.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Demidovich contraction mathematically guarantees exponential convergence to a unique fixed point.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Damped ICNN potential flows fail on parity, establishing an expressivity-contraction boundary.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Non-potential relational flows achieve 100.00% reachability on Cora, beating discrete GNN saturation.</w:t>
      </w:r>
    </w:p>
    <w:p>
      <w:pPr>
        <w:pStyle w:val="ListBullet"/>
        <w:spacing w:after="120" w:line="276" w:lineRule="auto"/>
      </w:pPr>
      <w:r>
        <w:rPr>
          <w:rFonts w:ascii="Times New Roman" w:hAnsi="Times New Roman"/>
          <w:sz w:val="23"/>
        </w:rPr>
        <w:t>Additive background noise fills the near-zero energy floor, refuting naive self-healing on graphs.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