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000000"/>
          <w:sz w:val="28"/>
        </w:rPr>
        <w:t>Research Highlights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i/>
          <w:sz w:val="23"/>
        </w:rPr>
        <w:t>Contractive Latent Dynamical Reasoning: Bypassing Autoregressive Rollouts via Operator-Norm Contraction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Continuous latent reasoning bypasses discrete autoregressive token drift.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Demidovich contraction guarantees exponential convergence to a unique state.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Convex potential flows fail on parity, exposing an expressivity barrier.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Non-potential neural flows achieve 100.00% reachability on citation graph.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Global additive noise fills energy floor, refuting naive graph self-healing.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