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Research Highlights</w:t>
      </w:r>
    </w:p>
    <w:p>
      <w:pPr>
        <w:spacing w:before="0" w:after="280" w:line="276" w:lineRule="auto"/>
        <w:jc w:val="left"/>
      </w:pPr>
      <w:r>
        <w:rPr>
          <w:rFonts w:ascii="Times New Roman" w:hAnsi="Times New Roman"/>
          <w:i/>
          <w:sz w:val="23"/>
        </w:rPr>
        <w:t>Contractive Latent Dynamical Reasoning: Bypassing Autoregressive Rollouts via Operator-Norm Contraction</w:t>
      </w:r>
    </w:p>
    <w:p>
      <w:pPr>
        <w:pStyle w:val="ListBullet"/>
        <w:spacing w:after="120" w:line="276" w:lineRule="auto"/>
      </w:pPr>
      <w:r>
        <w:rPr>
          <w:rFonts w:ascii="Times New Roman" w:hAnsi="Times New Roman"/>
          <w:sz w:val="23"/>
        </w:rPr>
        <w:t>Continuous latent reasoning bypasses discrete autoregressive token drift.</w:t>
      </w:r>
    </w:p>
    <w:p>
      <w:pPr>
        <w:pStyle w:val="ListBullet"/>
        <w:spacing w:after="120" w:line="276" w:lineRule="auto"/>
      </w:pPr>
      <w:r>
        <w:rPr>
          <w:rFonts w:ascii="Times New Roman" w:hAnsi="Times New Roman"/>
          <w:sz w:val="23"/>
        </w:rPr>
        <w:t>Demidovich contraction guarantees exponential convergence to a unique state.</w:t>
      </w:r>
    </w:p>
    <w:p>
      <w:pPr>
        <w:pStyle w:val="ListBullet"/>
        <w:spacing w:after="120" w:line="276" w:lineRule="auto"/>
      </w:pPr>
      <w:r>
        <w:rPr>
          <w:rFonts w:ascii="Times New Roman" w:hAnsi="Times New Roman"/>
          <w:sz w:val="23"/>
        </w:rPr>
        <w:t>Convex potential flows fail on parity, exposing an expressivity barrier.</w:t>
      </w:r>
    </w:p>
    <w:p>
      <w:pPr>
        <w:pStyle w:val="ListBullet"/>
        <w:spacing w:after="120" w:line="276" w:lineRule="auto"/>
      </w:pPr>
      <w:r>
        <w:rPr>
          <w:rFonts w:ascii="Times New Roman" w:hAnsi="Times New Roman"/>
          <w:sz w:val="23"/>
        </w:rPr>
        <w:t>Non-potential neural flows achieve 100.00% reachability on citation graph.</w:t>
      </w:r>
    </w:p>
    <w:p>
      <w:pPr>
        <w:pStyle w:val="ListBullet"/>
        <w:spacing w:after="120" w:line="276" w:lineRule="auto"/>
      </w:pPr>
      <w:r>
        <w:rPr>
          <w:rFonts w:ascii="Times New Roman" w:hAnsi="Times New Roman"/>
          <w:sz w:val="23"/>
        </w:rPr>
        <w:t>Global additive noise fills energy floor, refuting naive graph self-healing.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