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000000"/>
          <w:sz w:val="28"/>
        </w:rPr>
        <w:t>Declaration of Competing Interests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i/>
          <w:sz w:val="23"/>
        </w:rPr>
        <w:t>Target Journal: Neural Networks (Elsevier)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3"/>
        </w:rPr>
        <w:t xml:space="preserve">Manuscript Title: </w:t>
      </w:r>
      <w:r>
        <w:rPr>
          <w:rFonts w:ascii="Times New Roman" w:hAnsi="Times New Roman"/>
          <w:sz w:val="23"/>
        </w:rPr>
        <w:t>Contractive Latent Dynamical Reasoning: Bypassing Autoregressive Rollouts via Operator-Norm Contraction</w:t>
      </w:r>
    </w:p>
    <w:p>
      <w:pPr>
        <w:spacing w:before="0" w:after="280" w:line="276" w:lineRule="auto"/>
        <w:jc w:val="left"/>
      </w:pPr>
      <w:r>
        <w:rPr>
          <w:rFonts w:ascii="Times New Roman" w:hAnsi="Times New Roman"/>
          <w:b/>
          <w:sz w:val="23"/>
        </w:rPr>
        <w:t xml:space="preserve">Authors: </w:t>
      </w:r>
      <w:r>
        <w:rPr>
          <w:rFonts w:ascii="Times New Roman" w:hAnsi="Times New Roman"/>
          <w:sz w:val="23"/>
        </w:rPr>
        <w:t>Dipesh Gurung, Binod Bhattarai, Prof. Dr. R.N. Thakur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sz w:val="23"/>
        </w:rPr>
        <w:t>The authors declare that they have no known competing financial interests or personal relationships that could have appeared to influence the work reported in this paper.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3"/>
        </w:rPr>
        <w:t xml:space="preserve">Confirmation: </w:t>
      </w:r>
      <w:r>
        <w:rPr>
          <w:rFonts w:ascii="Times New Roman" w:hAnsi="Times New Roman"/>
          <w:sz w:val="23"/>
        </w:rPr>
        <w:t>Declaration Checklist &amp; Confirmation: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sz w:val="23"/>
        </w:rPr>
        <w:t>1. Financial Interests: None. No funding, honoraria, consultancy fees, grants, or stock ownership in entities whose financial interests could be affected by this research.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sz w:val="23"/>
        </w:rPr>
        <w:t>2. Personal &amp; Professional Relationships: None. The authors maintain no personal or professional affiliations that biased the study design, empirical benchmarking, or data interpretation.</w:t>
      </w:r>
    </w:p>
    <w:p>
      <w:pPr>
        <w:spacing w:before="0" w:after="320" w:line="276" w:lineRule="auto"/>
        <w:jc w:val="left"/>
      </w:pPr>
      <w:r>
        <w:rPr>
          <w:rFonts w:ascii="Times New Roman" w:hAnsi="Times New Roman"/>
          <w:sz w:val="23"/>
        </w:rPr>
        <w:t>3. Intellectual Property: No patents or proprietary claims exist that conflict with the full public release of our codebase and benchmark datasets.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sz w:val="23"/>
        </w:rPr>
        <w:t>Signed on behalf of all authors:</w:t>
        <w:br/>
        <w:br/>
        <w:t>Dipesh Gurung, M.Sc. (Corresponding Author)</w:t>
        <w:br/>
        <w:t>Research Associate, Research Department</w:t>
        <w:br/>
        <w:t>Lord Buddha Education Foundation (LBEF Campus), Kathmandu 44600, Nepal</w:t>
        <w:br/>
        <w:t>Email: dipesh.gurung@lbef.edu.np (Primary) / dips.grg7@gmail.com</w:t>
        <w:br/>
        <w:t>Date: September 26,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