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</w:pPr>
      <w:r>
        <w:rPr>
          <w:rFonts w:ascii="Times New Roman" w:hAnsi="Times New Roman"/>
          <w:b/>
          <w:color w:val="000000"/>
          <w:sz w:val="28"/>
        </w:rPr>
        <w:t>CRediT Author Statement</w:t>
      </w:r>
    </w:p>
    <w:p>
      <w:pPr>
        <w:spacing w:before="0" w:after="160" w:line="276" w:lineRule="auto"/>
        <w:jc w:val="left"/>
      </w:pPr>
      <w:r>
        <w:rPr>
          <w:rFonts w:ascii="Times New Roman" w:hAnsi="Times New Roman"/>
          <w:i/>
          <w:sz w:val="23"/>
        </w:rPr>
        <w:t>Target Journal: Neural Networks (Elsevier)</w:t>
      </w:r>
    </w:p>
    <w:p>
      <w:pPr>
        <w:spacing w:before="0" w:after="280" w:line="276" w:lineRule="auto"/>
        <w:jc w:val="left"/>
      </w:pPr>
      <w:r>
        <w:rPr>
          <w:rFonts w:ascii="Times New Roman" w:hAnsi="Times New Roman"/>
          <w:b/>
          <w:sz w:val="23"/>
        </w:rPr>
        <w:t xml:space="preserve">Manuscript Title: </w:t>
      </w:r>
      <w:r>
        <w:rPr>
          <w:rFonts w:ascii="Times New Roman" w:hAnsi="Times New Roman"/>
          <w:sz w:val="23"/>
        </w:rPr>
        <w:t>Contractive Latent Dynamical Reasoning: Bypassing Autoregressive Rollouts via Operator-Norm Contraction</w:t>
      </w:r>
    </w:p>
    <w:p>
      <w:pPr>
        <w:spacing w:before="0" w:after="160" w:line="276" w:lineRule="auto"/>
        <w:jc w:val="left"/>
      </w:pPr>
      <w:r>
        <w:rPr>
          <w:rFonts w:ascii="Times New Roman" w:hAnsi="Times New Roman"/>
          <w:b/>
          <w:sz w:val="23"/>
        </w:rPr>
        <w:t xml:space="preserve">Dipesh Gurung: </w:t>
      </w:r>
      <w:r>
        <w:rPr>
          <w:rFonts w:ascii="Times New Roman" w:hAnsi="Times New Roman"/>
          <w:sz w:val="23"/>
        </w:rPr>
        <w:t>Dipesh Gurung: Conceptualization, Methodology, Software, Formal Analysis, Investigation, Data Curation, Writing – original draft, Visualization, Project administration.</w:t>
      </w:r>
    </w:p>
    <w:p>
      <w:pPr>
        <w:spacing w:before="0" w:after="160" w:line="276" w:lineRule="auto"/>
        <w:jc w:val="left"/>
      </w:pPr>
      <w:r>
        <w:rPr>
          <w:rFonts w:ascii="Times New Roman" w:hAnsi="Times New Roman"/>
          <w:b/>
          <w:sz w:val="23"/>
        </w:rPr>
        <w:t xml:space="preserve">Binod Bhattarai: </w:t>
      </w:r>
      <w:r>
        <w:rPr>
          <w:rFonts w:ascii="Times New Roman" w:hAnsi="Times New Roman"/>
          <w:sz w:val="23"/>
        </w:rPr>
        <w:t>Binod Bhattarai: Conceptualization, Investigation, Validation, Writing – review &amp; editing, Supervision.</w:t>
      </w:r>
    </w:p>
    <w:p>
      <w:pPr>
        <w:spacing w:before="0" w:after="320" w:line="276" w:lineRule="auto"/>
        <w:jc w:val="left"/>
      </w:pPr>
      <w:r>
        <w:rPr>
          <w:rFonts w:ascii="Times New Roman" w:hAnsi="Times New Roman"/>
          <w:b/>
          <w:sz w:val="23"/>
        </w:rPr>
        <w:t xml:space="preserve">Prof. Dr. R.N. Thakur: </w:t>
      </w:r>
      <w:r>
        <w:rPr>
          <w:rFonts w:ascii="Times New Roman" w:hAnsi="Times New Roman"/>
          <w:sz w:val="23"/>
        </w:rPr>
        <w:t>Prof. Dr. R.N. Thakur: Conceptualization, Supervision, Methodology, Resources, Writing – review &amp; editing.</w:t>
      </w:r>
    </w:p>
    <w:p>
      <w:pPr>
        <w:spacing w:before="0" w:after="120" w:line="276" w:lineRule="auto"/>
        <w:jc w:val="left"/>
      </w:pPr>
      <w:r>
        <w:rPr>
          <w:rFonts w:ascii="Times New Roman" w:hAnsi="Times New Roman"/>
          <w:i/>
          <w:sz w:val="23"/>
        </w:rPr>
        <w:t>All authors have read and approved the published version of the manuscript and accept full scientific accountability for its content.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11111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