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>
          <w:b w:val="1"/>
          <w:bCs w:val="1"/>
          <w:color w:val="0f1b2d"/>
          <w:sz w:val="48"/>
          <w:szCs w:val="48"/>
        </w:rPr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Impression Capping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48"/>
          <w:szCs w:val="48"/>
        </w:rPr>
      </w:pPr>
      <w:r w:rsidDel="00000000" w:rsidR="00000000" w:rsidRPr="00000000">
        <w:rPr>
          <w:b w:val="1"/>
          <w:bCs w:val="1"/>
          <w:color w:val="0f1b2d"/>
          <w:sz w:val="48"/>
          <w:szCs w:val="48"/>
          <w:rtl w:val="0"/>
        </w:rPr>
        <w:t xml:space="preserve">Don’t Depend on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LinkedIn's algorithm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Rule="auto"/>
        <w:rPr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8"/>
          <w:szCs w:val="48"/>
          <w:rtl w:val="0"/>
        </w:rPr>
        <w:t xml:space="preserve">decide who sees your 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rPr/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Enforce </w:t>
      </w: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account-level impression limits across your entire target list — automatically redistributing budget to under-served accounts the moment any company hits its cap.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320"/>
        <w:gridCol w:w="4640"/>
        <w:tblGridChange w:id="0">
          <w:tblGrid>
            <w:gridCol w:w="4400"/>
            <w:gridCol w:w="32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sdt>
              <w:sdtPr>
                <w:id w:val="-1076570523"/>
                <w:tag w:val="goog_rdk_0"/>
              </w:sdtPr>
              <w:sdtContent>
                <w:commentRangeStart w:id="0"/>
              </w:sdtContent>
            </w:sdt>
            <w:sdt>
              <w:sdtPr>
                <w:id w:val="-8961378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→ Start for Free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4" w:val="single"/>
              <w:left w:color="1a56ff" w:space="0" w:sz="4" w:val="single"/>
              <w:bottom w:color="1a56ff" w:space="0" w:sz="4" w:val="single"/>
              <w:right w:color="1a56ff" w:space="0" w:sz="4" w:val="single"/>
            </w:tcBorders>
            <w:shd w:fill="ffff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24"/>
                <w:szCs w:val="24"/>
                <w:rtl w:val="0"/>
              </w:rPr>
              <w:t xml:space="preserve">Book a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80" w:lineRule="auto"/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rPr>
          <w:color w:val="6b7280"/>
        </w:rPr>
      </w:pP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Did you know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80% of your LinkedIn budget goes to 10% of your target accounts</w:t>
      </w: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You've built a precise target account list. </w:t>
      </w:r>
      <w:r w:rsidDel="00000000" w:rsidR="00000000" w:rsidRPr="00000000">
        <w:rPr>
          <w:color w:val="0f1b2d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arefully selected</w:t>
      </w:r>
      <w:r w:rsidDel="00000000" w:rsidR="00000000" w:rsidRPr="00000000">
        <w:rPr>
          <w:color w:val="0f1b2d"/>
          <w:rtl w:val="0"/>
        </w:rPr>
        <w:t xml:space="preserve"> with clear ICP.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 You set your budget, hit launch, and let it run for three weeks. But</w:t>
      </w:r>
      <w:r w:rsidDel="00000000" w:rsidR="00000000" w:rsidRPr="00000000">
        <w:rPr>
          <w:color w:val="0f1b2d"/>
          <w:rtl w:val="0"/>
        </w:rPr>
        <w:t xml:space="preserve">…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80%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of impressions go to just 10% of your target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Documented across hundreds of ABM campaigns analysed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50–60%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of target accounts receive fewer than 3 impressions per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Strategic accounts get zero buying signal from your ad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 spends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20–40%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of monthly budget consumed by a single large enterprise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Because they have more employees on LinkedIn — not because they're a priority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LinkedIn does </w:t>
      </w: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individual-level capping. ABM needs Account-level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0f1b2d"/>
          <w:sz w:val="21"/>
          <w:szCs w:val="21"/>
          <w:rtl w:val="0"/>
        </w:rPr>
        <w:t xml:space="preserve">Lead Generation, Conversion, and Website Visit campaigns — the ones consuming most of your budget — are excluded entirely. And even where it applies, capping individuals doesn't prevent one enterprise company with 12,000 employees from consuming 40% of your monthly budget.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LinkedIn native frequency cap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Controls individual user exposure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Brand Awareness campaigns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Does not prevent account-level budget concentration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firmographic tiering or ABM strategy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F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AdRadar Impression Capping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Controls impressions at the company level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Works across all campaign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Auto-redistributes budget to under-served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Firmographic tiering by ICP, size, industry, and revenue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Connect once. Cap accounts. Redistribute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Impression Capping Agent runs continuously in the background — no manual monitoring, no weekly audits, no spreadsheets.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Set your account-level caps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Define maximum impressions per company per month. Set different caps by firmographic tier — enterprise accounts (5,000+ employees) get a higher ceiling than SMB accounts because their buying committees are larger.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Agent monitors impression distribution in real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Every time an impression is served, the agent tracks it against the account's cap. No polling. No daily check-ins. Continuous monitoring across your entire target account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Accounts that hit their cap are automatically excluded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moment an account reaches its impression limit, the agent removes it from the active auction. Budget stops flowing to that company immediately — not at the next manual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Budget redistributes to under-served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freed budget flows automatically to accounts that haven't hit their caps yet. Accounts that haven't been reached get impressions. Your target list gets even coverage — not algorithmic concentration.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You approve the rules. The agent executes.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Human-in-the-loop by design. You set the cap thresholds and firmographic logic. The agent operates within those parameters — every action is logged, explained, and reversible. You're always in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changes when impressions are 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45.0" w:type="dxa"/>
        <w:jc w:val="left"/>
        <w:tblInd w:w="-4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645"/>
        <w:gridCol w:w="3480"/>
        <w:tblGridChange w:id="0">
          <w:tblGrid>
            <w:gridCol w:w="3120"/>
            <w:gridCol w:w="3645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Without capping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 AdRadar capping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Account penetration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10–25% of target list reached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80–90% of target list 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Budget concentration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Top 10% of accounts eat 70%+ of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Evenly distributed across full 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Strategic account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Often zero impressions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Guaranteed minimum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Impression distribution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LinkedIn's engagement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Your ABM strategy and ICP tiers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Manual monitoring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Weekly audit needed to catch waste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Continuous — fully automated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Budget reallocation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Manual, reactive, always 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Automatic, real-time, proactive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teams see when distribution is controlled.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84%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Account penetration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vs. 10% without capping — same budget, same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3–4×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More accounts reached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Budget redistributes to previously untouched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22%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Average budget recovered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From overexposed accounts in first 30-day audit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0" w:lineRule="auto"/>
        <w:rPr/>
      </w:pPr>
      <w:sdt>
        <w:sdtPr>
          <w:id w:val="530625734"/>
          <w:tag w:val="goog_rdk_2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56ff"/>
          <w:sz w:val="18"/>
          <w:szCs w:val="18"/>
          <w:rtl w:val="0"/>
        </w:rPr>
        <w:t xml:space="preserve">WHAT TEAMS ARE SAYING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Impression capping is one layer. Six agents work together. Explore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Impression Capping Agent shares context and memory with every other AdRadar agent — so capping decisions inform audience quality, creative rotation, spend pacing, and competitor intelligence simultaneously.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🎯  Company Blocking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Blocks companies outside your ICP entirely. Capping controls how many impressions ICP accounts receive — blocking removes non-ICP accounts from the auction. &lt;Learn more&gt;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🔄  Ad Rotation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Detects fatigue signals before CTR drops. When accounts near their cap, the rotation agent surfaces fresh creative — ensuring each impression counts.</w:t>
            </w: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 &lt;Learn more&gt;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💸  Bidding Optimization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As budget redistributes to under-served accounts, the bidding agent optimises CPM to maximise reach efficiency across newly eligible companies. </w:t>
            </w: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 &lt;Learn more&gt;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🗺  Title Blocking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Removes irrelevant job titles from receiving impressions. Working with account-level caps, this ensures the right people at the right companies see your ads.</w:t>
            </w: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 &lt;Learn more&gt;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mitra Karnik" w:id="0" w:date="2026-03-18T07:48:08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as homepage</w:t>
      </w:r>
    </w:p>
  </w:comment>
  <w:comment w:author="Almitra Karnik" w:id="1" w:date="2026-03-18T09:06:24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quotes block from homepage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C" w15:done="0"/>
  <w15:commentEx w15:paraId="0000006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fV8UAJbb0DsYVlvYlPPYmvC0Q==">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2026-03-18T07:41:26.402Z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