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3C9C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DB048D">
        <w:rPr>
          <w:rFonts w:ascii="Times New Roman" w:hAnsi="Times New Roman" w:cs="Times New Roman"/>
          <w:b/>
          <w:bCs/>
        </w:rPr>
        <w:t>KEY METRICS AT A GLANCE</w:t>
      </w:r>
    </w:p>
    <w:p w14:paraId="413026BB" w14:textId="77777777" w:rsid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A77DA" w14:paraId="2B55C863" w14:textId="77777777" w:rsidTr="00215A60">
        <w:tc>
          <w:tcPr>
            <w:tcW w:w="4508" w:type="dxa"/>
            <w:vAlign w:val="center"/>
          </w:tcPr>
          <w:p w14:paraId="7BDCAF19" w14:textId="2E02AA99" w:rsidR="004A77DA" w:rsidRDefault="004A77DA" w:rsidP="00215A6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B048D">
              <w:rPr>
                <w:rFonts w:ascii="Times New Roman" w:hAnsi="Times New Roman" w:cs="Times New Roman"/>
              </w:rPr>
              <w:t>Current Attrition Rate: 16.1%</w:t>
            </w:r>
          </w:p>
        </w:tc>
        <w:tc>
          <w:tcPr>
            <w:tcW w:w="4508" w:type="dxa"/>
            <w:vAlign w:val="center"/>
          </w:tcPr>
          <w:p w14:paraId="5C365488" w14:textId="37E0D8E8" w:rsidR="004A77DA" w:rsidRDefault="004A77DA" w:rsidP="00215A60">
            <w:pPr>
              <w:tabs>
                <w:tab w:val="left" w:pos="1332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B048D">
              <w:rPr>
                <w:rFonts w:ascii="Times New Roman" w:hAnsi="Times New Roman" w:cs="Times New Roman"/>
              </w:rPr>
              <w:t>Employees Leaving: 237 out of 1,470</w:t>
            </w:r>
          </w:p>
        </w:tc>
      </w:tr>
      <w:tr w:rsidR="004A77DA" w14:paraId="538E6891" w14:textId="77777777" w:rsidTr="00215A60">
        <w:tc>
          <w:tcPr>
            <w:tcW w:w="4508" w:type="dxa"/>
            <w:vAlign w:val="center"/>
          </w:tcPr>
          <w:p w14:paraId="14F555C9" w14:textId="77DB5BF9" w:rsidR="004A77DA" w:rsidRDefault="004A77DA" w:rsidP="00215A60">
            <w:pPr>
              <w:tabs>
                <w:tab w:val="left" w:pos="104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B048D">
              <w:rPr>
                <w:rFonts w:ascii="Times New Roman" w:hAnsi="Times New Roman" w:cs="Times New Roman"/>
              </w:rPr>
              <w:t>High-Risk Roles: Sales Representatives</w:t>
            </w:r>
          </w:p>
        </w:tc>
        <w:tc>
          <w:tcPr>
            <w:tcW w:w="4508" w:type="dxa"/>
            <w:vAlign w:val="center"/>
          </w:tcPr>
          <w:p w14:paraId="22E8AF00" w14:textId="275D851B" w:rsidR="004A77DA" w:rsidRDefault="004A77DA" w:rsidP="00215A6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B048D">
              <w:rPr>
                <w:rFonts w:ascii="Times New Roman" w:hAnsi="Times New Roman" w:cs="Times New Roman"/>
              </w:rPr>
              <w:t>Exit Rate: 39.8%</w:t>
            </w:r>
          </w:p>
        </w:tc>
      </w:tr>
      <w:tr w:rsidR="004A77DA" w14:paraId="4A34783E" w14:textId="77777777" w:rsidTr="00215A60">
        <w:tc>
          <w:tcPr>
            <w:tcW w:w="4508" w:type="dxa"/>
            <w:vAlign w:val="center"/>
          </w:tcPr>
          <w:p w14:paraId="194E6D27" w14:textId="325F8C0F" w:rsidR="004A77DA" w:rsidRDefault="004A77DA" w:rsidP="00215A6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B048D">
              <w:rPr>
                <w:rFonts w:ascii="Times New Roman" w:hAnsi="Times New Roman" w:cs="Times New Roman"/>
              </w:rPr>
              <w:t>Critical Factor: Overtime &amp; Work Hours</w:t>
            </w:r>
          </w:p>
        </w:tc>
        <w:tc>
          <w:tcPr>
            <w:tcW w:w="4508" w:type="dxa"/>
            <w:vAlign w:val="center"/>
          </w:tcPr>
          <w:p w14:paraId="70BE28E9" w14:textId="3D9DEA29" w:rsidR="004A77DA" w:rsidRDefault="004A77DA" w:rsidP="00215A6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B048D">
              <w:rPr>
                <w:rFonts w:ascii="Times New Roman" w:hAnsi="Times New Roman" w:cs="Times New Roman"/>
              </w:rPr>
              <w:t>Salary Gap: 42.7% difference</w:t>
            </w:r>
          </w:p>
        </w:tc>
      </w:tr>
    </w:tbl>
    <w:p w14:paraId="15042DA9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5C586F74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DB048D">
        <w:rPr>
          <w:rFonts w:ascii="Times New Roman" w:hAnsi="Times New Roman" w:cs="Times New Roman"/>
          <w:b/>
          <w:bCs/>
        </w:rPr>
        <w:t>SITUATION</w:t>
      </w:r>
    </w:p>
    <w:p w14:paraId="47B8A4C9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11967F3A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Our analysis of 1,470 employees reveals a 16.1% attrition rate, with concentrated risk in specific departments and roles. Sales Representatives face the highest risk at 39.8% turnover, while poor work-life balance shows a 31.2% exit rate for employees with lowest satisfaction ratings. Lower-paid employees demonstrate 43% higher departure rates than higher-paid peers. These patterns indicate immediate intervention opportunities in three critical areas.</w:t>
      </w:r>
    </w:p>
    <w:p w14:paraId="559B7D21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491C4982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DB048D">
        <w:rPr>
          <w:rFonts w:ascii="Times New Roman" w:hAnsi="Times New Roman" w:cs="Times New Roman"/>
          <w:b/>
          <w:bCs/>
        </w:rPr>
        <w:t>TOP THREE ATTRITION DRIVERS</w:t>
      </w:r>
    </w:p>
    <w:p w14:paraId="5D3CD6FE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0210B527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1. EXCESSIVE OVERTIME &amp; WORK HOURS</w:t>
      </w:r>
    </w:p>
    <w:p w14:paraId="56025BB4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Employees working overtime face significantly higher exit risk—this emerges as the strongest single predictor of departure across all analysis methods.</w:t>
      </w:r>
    </w:p>
    <w:p w14:paraId="3384ED9F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0D9CC674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2. FREQUENT TRAVEL DEMANDS</w:t>
      </w:r>
    </w:p>
    <w:p w14:paraId="527613E0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Sales and field roles requiring frequent business travel show elevated attrition, suggesting burnout and work-life balance challenges.</w:t>
      </w:r>
    </w:p>
    <w:p w14:paraId="16E55A02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77BACC33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3. JOB ROLE MISMATCH</w:t>
      </w:r>
    </w:p>
    <w:p w14:paraId="5438B9AF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Specific roles—particularly Sales Representatives and Laboratory Technicians—consistently show 24-40% turnover, indicating possible inadequate training, misaligned compensation, or poor initial role fit.</w:t>
      </w:r>
    </w:p>
    <w:p w14:paraId="1F3863D7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515AECD8" w14:textId="77777777" w:rsidR="00DB048D" w:rsidRPr="00215A60" w:rsidRDefault="00DB048D" w:rsidP="00DB048D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15A60">
        <w:rPr>
          <w:rFonts w:ascii="Times New Roman" w:hAnsi="Times New Roman" w:cs="Times New Roman"/>
          <w:b/>
          <w:bCs/>
        </w:rPr>
        <w:t>DEPARTMENT &amp; ROLE INSIGHTS</w:t>
      </w:r>
    </w:p>
    <w:p w14:paraId="283D0E16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49521FE2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Sales Department (20.6% attrition): Highest risk, driven primarily by Sales Representatives (39.8% exit rate). Immediate focus required.</w:t>
      </w:r>
    </w:p>
    <w:p w14:paraId="6E9DFC49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3DE47EE5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Human Resources (19.1%): Second-highest attrition, suggesting internal HR function challenges that need investigation.</w:t>
      </w:r>
    </w:p>
    <w:p w14:paraId="01E4F322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47500DF5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Research &amp; Development (13.8%): Lowest but still concerning. Tenure data reveals new employees (0-2 years) experience 18-20% exit rates, pointing to onboarding or early job-fit problems.</w:t>
      </w:r>
    </w:p>
    <w:p w14:paraId="65344918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21E50D70" w14:textId="77777777" w:rsidR="00DB048D" w:rsidRPr="00215A60" w:rsidRDefault="00DB048D" w:rsidP="00DB048D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15A60">
        <w:rPr>
          <w:rFonts w:ascii="Times New Roman" w:hAnsi="Times New Roman" w:cs="Times New Roman"/>
          <w:b/>
          <w:bCs/>
        </w:rPr>
        <w:t>SALARY IMPACT</w:t>
      </w:r>
    </w:p>
    <w:p w14:paraId="6B4154DB" w14:textId="375779D6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While compensation matters—high-earning employees stay 43% longer than lower-paid peers—salary alone does not explain attrition. Work-life balance (31.2% exit rate for poor ratings) and job role fit emerge as equally or MORE important retention factors.</w:t>
      </w:r>
    </w:p>
    <w:p w14:paraId="4461473A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62F644AD" w14:textId="77777777" w:rsidR="00DB048D" w:rsidRPr="00215A60" w:rsidRDefault="00DB048D" w:rsidP="00DB048D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15A60">
        <w:rPr>
          <w:rFonts w:ascii="Times New Roman" w:hAnsi="Times New Roman" w:cs="Times New Roman"/>
          <w:b/>
          <w:bCs/>
        </w:rPr>
        <w:t>RECOMMENDED ACTIONS (Next 90 Days)</w:t>
      </w:r>
    </w:p>
    <w:p w14:paraId="1CB57B10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793EE2F6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IMMEDIATE (Week 1-2)</w:t>
      </w:r>
    </w:p>
    <w:p w14:paraId="7C95E283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- Conduct workload audit in Sales and HR departments</w:t>
      </w:r>
    </w:p>
    <w:p w14:paraId="1D1FB234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- Identify top 50 high-risk employees using our predictive model</w:t>
      </w:r>
    </w:p>
    <w:p w14:paraId="64043D0B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lastRenderedPageBreak/>
        <w:t>- Schedule one-on-one retention conversations with at-risk staff</w:t>
      </w:r>
    </w:p>
    <w:p w14:paraId="11A6CC21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46F1CE80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SHORT-TERM (Month 1)</w:t>
      </w:r>
    </w:p>
    <w:p w14:paraId="458BED66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- Implement flexible work arrangements and cap excessive overtime</w:t>
      </w:r>
    </w:p>
    <w:p w14:paraId="241F4749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- Establish mentoring program for Sales Representatives</w:t>
      </w:r>
    </w:p>
    <w:p w14:paraId="5EFE7E34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- Review compensation structure for lower-income salary bands</w:t>
      </w:r>
    </w:p>
    <w:p w14:paraId="643C840E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00A2EDE6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ONGOING</w:t>
      </w:r>
    </w:p>
    <w:p w14:paraId="058D37BF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- Strengthen onboarding to address early-tenure turnover</w:t>
      </w:r>
    </w:p>
    <w:p w14:paraId="15A04DCB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- Launch wellness and burnout prevention initiatives</w:t>
      </w:r>
    </w:p>
    <w:p w14:paraId="41D51495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- Measure attrition reduction monthly; target: 20-25% reduction in 6 months</w:t>
      </w:r>
    </w:p>
    <w:p w14:paraId="26837CAA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1D525E53" w14:textId="77777777" w:rsidR="00DB048D" w:rsidRPr="00215A60" w:rsidRDefault="00DB048D" w:rsidP="00DB048D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15A60">
        <w:rPr>
          <w:rFonts w:ascii="Times New Roman" w:hAnsi="Times New Roman" w:cs="Times New Roman"/>
          <w:b/>
          <w:bCs/>
        </w:rPr>
        <w:t>IMPORTANT LIMITATIONS</w:t>
      </w:r>
    </w:p>
    <w:p w14:paraId="7BF96473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298F88DD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This analysis identifies historical patterns and should be used as a DECISION SUPPORT TOOL, not a final decision maker. External factors (market changes, competitor actions, economic shifts) and strategic interventions will affect outcomes. Model accuracy is 80%, with stronger predictive power for high-risk employees than individual cases.</w:t>
      </w:r>
    </w:p>
    <w:p w14:paraId="02824E25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60A70290" w14:textId="77777777" w:rsidR="00DB048D" w:rsidRPr="00215A60" w:rsidRDefault="00DB048D" w:rsidP="00DB048D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15A60">
        <w:rPr>
          <w:rFonts w:ascii="Times New Roman" w:hAnsi="Times New Roman" w:cs="Times New Roman"/>
          <w:b/>
          <w:bCs/>
        </w:rPr>
        <w:t>CONCLUSION</w:t>
      </w:r>
    </w:p>
    <w:p w14:paraId="021A3891" w14:textId="77777777" w:rsidR="00DB048D" w:rsidRPr="00DB048D" w:rsidRDefault="00DB048D" w:rsidP="00DB048D">
      <w:pPr>
        <w:contextualSpacing/>
        <w:jc w:val="both"/>
        <w:rPr>
          <w:rFonts w:ascii="Times New Roman" w:hAnsi="Times New Roman" w:cs="Times New Roman"/>
        </w:rPr>
      </w:pPr>
    </w:p>
    <w:p w14:paraId="37785137" w14:textId="42F8B585" w:rsidR="004E64C5" w:rsidRPr="001E660A" w:rsidRDefault="00DB048D" w:rsidP="00DB048D">
      <w:pPr>
        <w:contextualSpacing/>
        <w:jc w:val="both"/>
        <w:rPr>
          <w:rFonts w:ascii="Times New Roman" w:hAnsi="Times New Roman" w:cs="Times New Roman"/>
        </w:rPr>
      </w:pPr>
      <w:r w:rsidRPr="00DB048D">
        <w:rPr>
          <w:rFonts w:ascii="Times New Roman" w:hAnsi="Times New Roman" w:cs="Times New Roman"/>
        </w:rPr>
        <w:t>Immediate action on overtime reduction, flexible working, and mentoring for Sales Representatives can yield measurable retention improvements within 90 days. Success requires cross-functional coordination between HR, Operations, and Department Leadership.</w:t>
      </w:r>
    </w:p>
    <w:sectPr w:rsidR="004E64C5" w:rsidRPr="001E660A" w:rsidSect="00ED6746">
      <w:headerReference w:type="first" r:id="rId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CD132" w14:textId="77777777" w:rsidR="004E3BD7" w:rsidRDefault="004E3BD7" w:rsidP="00ED6746">
      <w:pPr>
        <w:spacing w:after="0" w:line="240" w:lineRule="auto"/>
      </w:pPr>
      <w:r>
        <w:separator/>
      </w:r>
    </w:p>
  </w:endnote>
  <w:endnote w:type="continuationSeparator" w:id="0">
    <w:p w14:paraId="211419A6" w14:textId="77777777" w:rsidR="004E3BD7" w:rsidRDefault="004E3BD7" w:rsidP="00ED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400A1" w14:textId="77777777" w:rsidR="004E3BD7" w:rsidRDefault="004E3BD7" w:rsidP="00ED6746">
      <w:pPr>
        <w:spacing w:after="0" w:line="240" w:lineRule="auto"/>
      </w:pPr>
      <w:r>
        <w:separator/>
      </w:r>
    </w:p>
  </w:footnote>
  <w:footnote w:type="continuationSeparator" w:id="0">
    <w:p w14:paraId="6D2B5A5F" w14:textId="77777777" w:rsidR="004E3BD7" w:rsidRDefault="004E3BD7" w:rsidP="00ED6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B423" w14:textId="77777777" w:rsidR="00ED6746" w:rsidRPr="00143CF2" w:rsidRDefault="00ED6746" w:rsidP="00ED6746">
    <w:pPr>
      <w:contextualSpacing/>
      <w:jc w:val="center"/>
      <w:rPr>
        <w:rFonts w:ascii="Times New Roman" w:hAnsi="Times New Roman" w:cs="Times New Roman"/>
        <w:sz w:val="24"/>
        <w:szCs w:val="24"/>
      </w:rPr>
    </w:pPr>
    <w:r w:rsidRPr="00143CF2">
      <w:rPr>
        <w:rFonts w:ascii="Times New Roman" w:hAnsi="Times New Roman" w:cs="Times New Roman"/>
        <w:sz w:val="24"/>
        <w:szCs w:val="24"/>
      </w:rPr>
      <w:t>EMPLOYEE ATTRITION ANALYSIS &amp; RECOMMENDATIONS</w:t>
    </w:r>
  </w:p>
  <w:p w14:paraId="0494DA1E" w14:textId="5C1A6E81" w:rsidR="00ED6746" w:rsidRPr="00ED6746" w:rsidRDefault="00ED6746" w:rsidP="00ED6746">
    <w:pPr>
      <w:contextualSpacing/>
      <w:jc w:val="center"/>
      <w:rPr>
        <w:rFonts w:ascii="Times New Roman" w:hAnsi="Times New Roman" w:cs="Times New Roman"/>
        <w:sz w:val="24"/>
        <w:szCs w:val="24"/>
      </w:rPr>
    </w:pPr>
    <w:r w:rsidRPr="00143CF2">
      <w:rPr>
        <w:rFonts w:ascii="Times New Roman" w:hAnsi="Times New Roman" w:cs="Times New Roman"/>
        <w:sz w:val="24"/>
        <w:szCs w:val="24"/>
      </w:rPr>
      <w:t>Executive Summary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85"/>
    <w:rsid w:val="00143CF2"/>
    <w:rsid w:val="001E660A"/>
    <w:rsid w:val="00215A60"/>
    <w:rsid w:val="00321CD6"/>
    <w:rsid w:val="00365A77"/>
    <w:rsid w:val="003A0C3B"/>
    <w:rsid w:val="003B5799"/>
    <w:rsid w:val="00410794"/>
    <w:rsid w:val="004A77DA"/>
    <w:rsid w:val="004E3BD7"/>
    <w:rsid w:val="004E64C5"/>
    <w:rsid w:val="006307D3"/>
    <w:rsid w:val="006C460D"/>
    <w:rsid w:val="007B4BF7"/>
    <w:rsid w:val="008A6DF1"/>
    <w:rsid w:val="00907199"/>
    <w:rsid w:val="00A46D1E"/>
    <w:rsid w:val="00A57D65"/>
    <w:rsid w:val="00B11DED"/>
    <w:rsid w:val="00C567F8"/>
    <w:rsid w:val="00DA4D85"/>
    <w:rsid w:val="00DB048D"/>
    <w:rsid w:val="00E72359"/>
    <w:rsid w:val="00E927D4"/>
    <w:rsid w:val="00ED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80C9"/>
  <w15:chartTrackingRefBased/>
  <w15:docId w15:val="{47CE3234-3230-48A4-8D19-506675C4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746"/>
  </w:style>
  <w:style w:type="paragraph" w:styleId="Footer">
    <w:name w:val="footer"/>
    <w:basedOn w:val="Normal"/>
    <w:link w:val="FooterChar"/>
    <w:uiPriority w:val="99"/>
    <w:unhideWhenUsed/>
    <w:rsid w:val="00ED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746"/>
  </w:style>
  <w:style w:type="table" w:styleId="TableGrid">
    <w:name w:val="Table Grid"/>
    <w:basedOn w:val="TableNormal"/>
    <w:uiPriority w:val="39"/>
    <w:rsid w:val="004A7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Purbhe</dc:creator>
  <cp:keywords/>
  <dc:description/>
  <cp:lastModifiedBy>Yash Purbhe</cp:lastModifiedBy>
  <cp:revision>16</cp:revision>
  <dcterms:created xsi:type="dcterms:W3CDTF">2026-06-25T11:07:00Z</dcterms:created>
  <dcterms:modified xsi:type="dcterms:W3CDTF">2026-06-26T15:02:00Z</dcterms:modified>
</cp:coreProperties>
</file>