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058FC92" w14:textId="77777777" w:rsidR="006A27A2" w:rsidRDefault="00000000">
      <w:pPr>
        <w:spacing w:before="180" w:after="20"/>
      </w:pPr>
      <w:r>
        <w:rPr>
          <w:b/>
          <w:sz w:val="50"/>
        </w:rPr>
        <w:t>Machine Learning Model Portfolio</w:t>
      </w:r>
    </w:p>
    <w:p w14:paraId="10DE338D" w14:textId="611604A9" w:rsidR="006A27A2" w:rsidRDefault="00000000">
      <w:pPr>
        <w:spacing w:after="300"/>
      </w:pPr>
      <w:r>
        <w:rPr>
          <w:i/>
          <w:color w:val="595959"/>
          <w:sz w:val="27"/>
        </w:rPr>
        <w:t>A structured review of te</w:t>
      </w:r>
      <w:r w:rsidR="00C742A7">
        <w:rPr>
          <w:i/>
          <w:color w:val="595959"/>
          <w:sz w:val="27"/>
        </w:rPr>
        <w:t xml:space="preserve">n </w:t>
      </w:r>
      <w:r>
        <w:rPr>
          <w:i/>
          <w:color w:val="595959"/>
          <w:sz w:val="27"/>
        </w:rPr>
        <w:t>prediction projects</w:t>
      </w:r>
    </w:p>
    <w:p w14:paraId="376C58C7" w14:textId="77777777" w:rsidR="006A27A2" w:rsidRDefault="00000000">
      <w:pPr>
        <w:spacing w:after="20"/>
      </w:pPr>
      <w:r>
        <w:rPr>
          <w:b/>
        </w:rPr>
        <w:t xml:space="preserve">Report: </w:t>
      </w:r>
      <w:r>
        <w:t>Machine Learning Models — Project Review</w:t>
      </w:r>
    </w:p>
    <w:p w14:paraId="529698BE" w14:textId="77777777" w:rsidR="006A27A2" w:rsidRDefault="00000000">
      <w:pPr>
        <w:spacing w:after="20"/>
      </w:pPr>
      <w:r>
        <w:rPr>
          <w:b/>
        </w:rPr>
        <w:t xml:space="preserve">Prepared by: </w:t>
      </w:r>
      <w:r>
        <w:t>Dipson Sharma</w:t>
      </w:r>
    </w:p>
    <w:p w14:paraId="766E91AE" w14:textId="77777777" w:rsidR="006A27A2" w:rsidRDefault="00000000">
      <w:pPr>
        <w:spacing w:after="20"/>
      </w:pPr>
      <w:r>
        <w:rPr>
          <w:b/>
        </w:rPr>
        <w:t xml:space="preserve">Audience: </w:t>
      </w:r>
      <w:r>
        <w:t>Academic review and portfolio assessment</w:t>
      </w:r>
    </w:p>
    <w:p w14:paraId="0AD7A631" w14:textId="77777777" w:rsidR="006A27A2" w:rsidRDefault="00000000">
      <w:pPr>
        <w:spacing w:after="20"/>
      </w:pPr>
      <w:r>
        <w:rPr>
          <w:b/>
        </w:rPr>
        <w:t xml:space="preserve">Date: </w:t>
      </w:r>
      <w:r>
        <w:t>August 10, 2026</w:t>
      </w:r>
    </w:p>
    <w:p w14:paraId="0E0F6186" w14:textId="77777777" w:rsidR="006A27A2" w:rsidRDefault="00000000">
      <w:pPr>
        <w:pStyle w:val="Heading1"/>
      </w:pPr>
      <w:r>
        <w:rPr>
          <w:rFonts w:ascii="Calibri" w:hAnsi="Calibri"/>
        </w:rPr>
        <w:t>Executive Summary</w:t>
      </w:r>
    </w:p>
    <w:p w14:paraId="7F1CFC3C" w14:textId="77777777" w:rsidR="006A27A2" w:rsidRDefault="00000000">
      <w:r>
        <w:t>This portfolio contains ten notebook-based machine-learning projects: seven classification models and three regression models. The notebooks follow a practical tabular-ML sequence—inspect the data, remove irrelevant fields, transform numeric and categorical features, create a holdout split, compare several algorithms, and tune a selected model. Together they demonstrate applied work across finance, healthcare, human resources, education, telecommunications, and vehicle/property pricing.</w:t>
      </w:r>
    </w:p>
    <w:p w14:paraId="16059099" w14:textId="77777777" w:rsidR="006A27A2" w:rsidRDefault="00000000">
      <w:r>
        <w:t>The strongest notebook evidence comes from projects that compare several classifiers using precision, recall, F1 score, and ROC-AUC in addition to accuracy. Regression work reports MAE, RMSE, and R². The results are useful for a portfolio, but they should remain experimental until evaluation, leakage checks, threshold selection, and domain/fairness review are standardized.</w:t>
      </w:r>
    </w:p>
    <w:p w14:paraId="6E88E85D" w14:textId="77777777" w:rsidR="006A27A2" w:rsidRDefault="00000000">
      <w:pPr>
        <w:pStyle w:val="Heading1"/>
      </w:pPr>
      <w:r>
        <w:rPr>
          <w:rFonts w:ascii="Calibri" w:hAnsi="Calibri"/>
        </w:rPr>
        <w:t>Background</w:t>
      </w:r>
    </w:p>
    <w:p w14:paraId="15472D20" w14:textId="77777777" w:rsidR="006A27A2" w:rsidRDefault="00000000">
      <w:r>
        <w:t>The project folder contains ten Jupyter notebooks. Classification notebooks generally compare K-nearest neighbors, decision trees, random forests, XGBoost, logistic regression, and support-vector classifiers. Regression notebooks compare linear, Lasso, and ElasticNet regressions against tree-based and XGBoost regressors. Categorical fields are generally one-hot encoded; selected numerical fields are standardized. The common holdout split is 75/25 or 70/30, while salary uses 80/20 and heart disease uses 77/23.</w:t>
      </w:r>
    </w:p>
    <w:p w14:paraId="669AE955" w14:textId="77777777" w:rsidR="006A27A2" w:rsidRDefault="00000000">
      <w:pPr>
        <w:pStyle w:val="Heading1"/>
      </w:pPr>
      <w:r>
        <w:rPr>
          <w:rFonts w:ascii="Calibri" w:hAnsi="Calibri"/>
        </w:rPr>
        <w:t>Portfolio at a Glance</w:t>
      </w:r>
    </w:p>
    <w:tbl>
      <w:tblPr>
        <w:tblStyle w:val="TableGrid"/>
        <w:tblW w:w="0" w:type="auto"/>
        <w:tblLayout w:type="fixed"/>
        <w:tblLook w:val="04A0" w:firstRow="1" w:lastRow="0" w:firstColumn="1" w:lastColumn="0" w:noHBand="0" w:noVBand="1"/>
      </w:tblPr>
      <w:tblGrid>
        <w:gridCol w:w="3139"/>
        <w:gridCol w:w="1728"/>
        <w:gridCol w:w="4493"/>
      </w:tblGrid>
      <w:tr w:rsidR="006A27A2" w14:paraId="2672B0CC" w14:textId="77777777">
        <w:trPr>
          <w:tblHeader/>
        </w:trPr>
        <w:tc>
          <w:tcPr>
            <w:tcW w:w="3139" w:type="dxa"/>
            <w:shd w:val="clear" w:color="auto" w:fill="DCE6F1"/>
            <w:tcMar>
              <w:top w:w="70" w:type="dxa"/>
              <w:left w:w="110" w:type="dxa"/>
              <w:bottom w:w="70" w:type="dxa"/>
              <w:right w:w="110" w:type="dxa"/>
            </w:tcMar>
          </w:tcPr>
          <w:p w14:paraId="5FF6515F" w14:textId="77777777" w:rsidR="006A27A2" w:rsidRDefault="00000000">
            <w:pPr>
              <w:spacing w:after="0"/>
            </w:pPr>
            <w:r>
              <w:rPr>
                <w:b/>
                <w:color w:val="1F4E79"/>
                <w:sz w:val="18"/>
              </w:rPr>
              <w:t>Project</w:t>
            </w:r>
          </w:p>
        </w:tc>
        <w:tc>
          <w:tcPr>
            <w:tcW w:w="1728" w:type="dxa"/>
            <w:shd w:val="clear" w:color="auto" w:fill="DCE6F1"/>
            <w:tcMar>
              <w:top w:w="70" w:type="dxa"/>
              <w:left w:w="110" w:type="dxa"/>
              <w:bottom w:w="70" w:type="dxa"/>
              <w:right w:w="110" w:type="dxa"/>
            </w:tcMar>
          </w:tcPr>
          <w:p w14:paraId="079C8E25" w14:textId="77777777" w:rsidR="006A27A2" w:rsidRDefault="00000000">
            <w:pPr>
              <w:spacing w:after="0"/>
            </w:pPr>
            <w:r>
              <w:rPr>
                <w:b/>
                <w:color w:val="1F4E79"/>
                <w:sz w:val="18"/>
              </w:rPr>
              <w:t>Type</w:t>
            </w:r>
          </w:p>
        </w:tc>
        <w:tc>
          <w:tcPr>
            <w:tcW w:w="4493" w:type="dxa"/>
            <w:shd w:val="clear" w:color="auto" w:fill="DCE6F1"/>
            <w:tcMar>
              <w:top w:w="70" w:type="dxa"/>
              <w:left w:w="110" w:type="dxa"/>
              <w:bottom w:w="70" w:type="dxa"/>
              <w:right w:w="110" w:type="dxa"/>
            </w:tcMar>
          </w:tcPr>
          <w:p w14:paraId="1C05D2BF" w14:textId="77777777" w:rsidR="006A27A2" w:rsidRDefault="00000000">
            <w:pPr>
              <w:spacing w:after="0"/>
            </w:pPr>
            <w:r>
              <w:rPr>
                <w:b/>
                <w:color w:val="1F4E79"/>
                <w:sz w:val="18"/>
              </w:rPr>
              <w:t>Notebook selection / status</w:t>
            </w:r>
          </w:p>
        </w:tc>
      </w:tr>
      <w:tr w:rsidR="006A27A2" w14:paraId="46431247" w14:textId="77777777">
        <w:tc>
          <w:tcPr>
            <w:tcW w:w="3139" w:type="dxa"/>
            <w:tcMar>
              <w:top w:w="70" w:type="dxa"/>
              <w:left w:w="110" w:type="dxa"/>
              <w:bottom w:w="70" w:type="dxa"/>
              <w:right w:w="110" w:type="dxa"/>
            </w:tcMar>
          </w:tcPr>
          <w:p w14:paraId="18F5398F" w14:textId="77777777" w:rsidR="006A27A2" w:rsidRDefault="00000000">
            <w:pPr>
              <w:spacing w:after="0"/>
            </w:pPr>
            <w:r>
              <w:rPr>
                <w:sz w:val="17"/>
              </w:rPr>
              <w:t>Finance and customers</w:t>
            </w:r>
          </w:p>
        </w:tc>
        <w:tc>
          <w:tcPr>
            <w:tcW w:w="1728" w:type="dxa"/>
            <w:tcMar>
              <w:top w:w="70" w:type="dxa"/>
              <w:left w:w="110" w:type="dxa"/>
              <w:bottom w:w="70" w:type="dxa"/>
              <w:right w:w="110" w:type="dxa"/>
            </w:tcMar>
          </w:tcPr>
          <w:p w14:paraId="12ADE650" w14:textId="77777777" w:rsidR="006A27A2" w:rsidRDefault="00000000">
            <w:pPr>
              <w:spacing w:after="0"/>
            </w:pPr>
            <w:r>
              <w:rPr>
                <w:sz w:val="17"/>
              </w:rPr>
              <w:t>3 classify</w:t>
            </w:r>
          </w:p>
        </w:tc>
        <w:tc>
          <w:tcPr>
            <w:tcW w:w="4493" w:type="dxa"/>
            <w:tcMar>
              <w:top w:w="70" w:type="dxa"/>
              <w:left w:w="110" w:type="dxa"/>
              <w:bottom w:w="70" w:type="dxa"/>
              <w:right w:w="110" w:type="dxa"/>
            </w:tcMar>
          </w:tcPr>
          <w:p w14:paraId="346949DA" w14:textId="77777777" w:rsidR="006A27A2" w:rsidRDefault="00000000">
            <w:pPr>
              <w:spacing w:after="0"/>
            </w:pPr>
            <w:r>
              <w:rPr>
                <w:sz w:val="17"/>
              </w:rPr>
              <w:t>Loan approval, fraud detection, and customer churn</w:t>
            </w:r>
          </w:p>
        </w:tc>
      </w:tr>
      <w:tr w:rsidR="006A27A2" w14:paraId="6CD5A9A2" w14:textId="77777777">
        <w:tc>
          <w:tcPr>
            <w:tcW w:w="3139" w:type="dxa"/>
            <w:shd w:val="clear" w:color="auto" w:fill="F7F9FC"/>
            <w:tcMar>
              <w:top w:w="70" w:type="dxa"/>
              <w:left w:w="110" w:type="dxa"/>
              <w:bottom w:w="70" w:type="dxa"/>
              <w:right w:w="110" w:type="dxa"/>
            </w:tcMar>
          </w:tcPr>
          <w:p w14:paraId="1620FEB8" w14:textId="77777777" w:rsidR="006A27A2" w:rsidRDefault="00000000">
            <w:pPr>
              <w:spacing w:after="0"/>
            </w:pPr>
            <w:r>
              <w:rPr>
                <w:sz w:val="17"/>
              </w:rPr>
              <w:t>Health and people</w:t>
            </w:r>
          </w:p>
        </w:tc>
        <w:tc>
          <w:tcPr>
            <w:tcW w:w="1728" w:type="dxa"/>
            <w:shd w:val="clear" w:color="auto" w:fill="F7F9FC"/>
            <w:tcMar>
              <w:top w:w="70" w:type="dxa"/>
              <w:left w:w="110" w:type="dxa"/>
              <w:bottom w:w="70" w:type="dxa"/>
              <w:right w:w="110" w:type="dxa"/>
            </w:tcMar>
          </w:tcPr>
          <w:p w14:paraId="0AD892EB" w14:textId="77777777" w:rsidR="006A27A2" w:rsidRDefault="00000000">
            <w:pPr>
              <w:spacing w:after="0"/>
            </w:pPr>
            <w:r>
              <w:rPr>
                <w:sz w:val="17"/>
              </w:rPr>
              <w:t>3 classify</w:t>
            </w:r>
          </w:p>
        </w:tc>
        <w:tc>
          <w:tcPr>
            <w:tcW w:w="4493" w:type="dxa"/>
            <w:shd w:val="clear" w:color="auto" w:fill="F7F9FC"/>
            <w:tcMar>
              <w:top w:w="70" w:type="dxa"/>
              <w:left w:w="110" w:type="dxa"/>
              <w:bottom w:w="70" w:type="dxa"/>
              <w:right w:w="110" w:type="dxa"/>
            </w:tcMar>
          </w:tcPr>
          <w:p w14:paraId="3188EC15" w14:textId="77777777" w:rsidR="006A27A2" w:rsidRDefault="00000000">
            <w:pPr>
              <w:spacing w:after="0"/>
            </w:pPr>
            <w:r>
              <w:rPr>
                <w:sz w:val="17"/>
              </w:rPr>
              <w:t>Diabetes, employee attrition, and heart disease</w:t>
            </w:r>
          </w:p>
        </w:tc>
      </w:tr>
      <w:tr w:rsidR="006A27A2" w14:paraId="3AB769D9" w14:textId="77777777">
        <w:tc>
          <w:tcPr>
            <w:tcW w:w="3139" w:type="dxa"/>
            <w:tcMar>
              <w:top w:w="70" w:type="dxa"/>
              <w:left w:w="110" w:type="dxa"/>
              <w:bottom w:w="70" w:type="dxa"/>
              <w:right w:w="110" w:type="dxa"/>
            </w:tcMar>
          </w:tcPr>
          <w:p w14:paraId="5BD99B0B" w14:textId="77777777" w:rsidR="006A27A2" w:rsidRDefault="00000000">
            <w:pPr>
              <w:spacing w:after="0"/>
            </w:pPr>
            <w:r>
              <w:rPr>
                <w:sz w:val="17"/>
              </w:rPr>
              <w:t>Education and work</w:t>
            </w:r>
          </w:p>
        </w:tc>
        <w:tc>
          <w:tcPr>
            <w:tcW w:w="1728" w:type="dxa"/>
            <w:tcMar>
              <w:top w:w="70" w:type="dxa"/>
              <w:left w:w="110" w:type="dxa"/>
              <w:bottom w:w="70" w:type="dxa"/>
              <w:right w:w="110" w:type="dxa"/>
            </w:tcMar>
          </w:tcPr>
          <w:p w14:paraId="461DE41D" w14:textId="77777777" w:rsidR="006A27A2" w:rsidRDefault="00000000">
            <w:pPr>
              <w:spacing w:after="0"/>
            </w:pPr>
            <w:r>
              <w:rPr>
                <w:sz w:val="17"/>
              </w:rPr>
              <w:t>1 + 1</w:t>
            </w:r>
          </w:p>
        </w:tc>
        <w:tc>
          <w:tcPr>
            <w:tcW w:w="4493" w:type="dxa"/>
            <w:tcMar>
              <w:top w:w="70" w:type="dxa"/>
              <w:left w:w="110" w:type="dxa"/>
              <w:bottom w:w="70" w:type="dxa"/>
              <w:right w:w="110" w:type="dxa"/>
            </w:tcMar>
          </w:tcPr>
          <w:p w14:paraId="03C514B1" w14:textId="77777777" w:rsidR="006A27A2" w:rsidRDefault="00000000">
            <w:pPr>
              <w:spacing w:after="0"/>
            </w:pPr>
            <w:r>
              <w:rPr>
                <w:sz w:val="17"/>
              </w:rPr>
              <w:t>Student pass/fail classification and salary regression</w:t>
            </w:r>
          </w:p>
        </w:tc>
      </w:tr>
      <w:tr w:rsidR="006A27A2" w14:paraId="44FD4703" w14:textId="77777777">
        <w:tc>
          <w:tcPr>
            <w:tcW w:w="3139" w:type="dxa"/>
            <w:shd w:val="clear" w:color="auto" w:fill="F7F9FC"/>
            <w:tcMar>
              <w:top w:w="70" w:type="dxa"/>
              <w:left w:w="110" w:type="dxa"/>
              <w:bottom w:w="70" w:type="dxa"/>
              <w:right w:w="110" w:type="dxa"/>
            </w:tcMar>
          </w:tcPr>
          <w:p w14:paraId="29646F5E" w14:textId="77777777" w:rsidR="006A27A2" w:rsidRDefault="00000000">
            <w:pPr>
              <w:spacing w:after="0"/>
            </w:pPr>
            <w:r>
              <w:rPr>
                <w:sz w:val="17"/>
              </w:rPr>
              <w:t>Property and vehicles</w:t>
            </w:r>
          </w:p>
        </w:tc>
        <w:tc>
          <w:tcPr>
            <w:tcW w:w="1728" w:type="dxa"/>
            <w:shd w:val="clear" w:color="auto" w:fill="F7F9FC"/>
            <w:tcMar>
              <w:top w:w="70" w:type="dxa"/>
              <w:left w:w="110" w:type="dxa"/>
              <w:bottom w:w="70" w:type="dxa"/>
              <w:right w:w="110" w:type="dxa"/>
            </w:tcMar>
          </w:tcPr>
          <w:p w14:paraId="0D113235" w14:textId="77777777" w:rsidR="006A27A2" w:rsidRDefault="00000000">
            <w:pPr>
              <w:spacing w:after="0"/>
            </w:pPr>
            <w:r>
              <w:rPr>
                <w:sz w:val="17"/>
              </w:rPr>
              <w:t>2 regress</w:t>
            </w:r>
          </w:p>
        </w:tc>
        <w:tc>
          <w:tcPr>
            <w:tcW w:w="4493" w:type="dxa"/>
            <w:shd w:val="clear" w:color="auto" w:fill="F7F9FC"/>
            <w:tcMar>
              <w:top w:w="70" w:type="dxa"/>
              <w:left w:w="110" w:type="dxa"/>
              <w:bottom w:w="70" w:type="dxa"/>
              <w:right w:w="110" w:type="dxa"/>
            </w:tcMar>
          </w:tcPr>
          <w:p w14:paraId="67BFD28D" w14:textId="77777777" w:rsidR="006A27A2" w:rsidRDefault="00000000">
            <w:pPr>
              <w:spacing w:after="0"/>
            </w:pPr>
            <w:r>
              <w:rPr>
                <w:sz w:val="17"/>
              </w:rPr>
              <w:t>House-price and used-car-price estimation</w:t>
            </w:r>
          </w:p>
        </w:tc>
      </w:tr>
    </w:tbl>
    <w:p w14:paraId="439A051F" w14:textId="77777777" w:rsidR="006A27A2" w:rsidRDefault="00000000">
      <w:pPr>
        <w:spacing w:before="60" w:after="40"/>
      </w:pPr>
      <w:r>
        <w:rPr>
          <w:i/>
          <w:color w:val="595959"/>
          <w:sz w:val="17"/>
        </w:rPr>
        <w:t>Note: “selected” reflects the notebooks’ own metric-sorting rule; it is not a production validation result.</w:t>
      </w:r>
    </w:p>
    <w:p w14:paraId="06C35799" w14:textId="77777777" w:rsidR="006A27A2" w:rsidRDefault="00000000">
      <w:r>
        <w:br w:type="page"/>
      </w:r>
    </w:p>
    <w:p w14:paraId="0F043A30" w14:textId="77777777" w:rsidR="006A27A2" w:rsidRDefault="00000000">
      <w:pPr>
        <w:pStyle w:val="Heading1"/>
      </w:pPr>
      <w:r>
        <w:rPr>
          <w:rFonts w:ascii="Calibri" w:hAnsi="Calibri"/>
        </w:rPr>
        <w:lastRenderedPageBreak/>
        <w:t>Classification Models: Finance and Customers</w:t>
      </w:r>
    </w:p>
    <w:p w14:paraId="3039005B" w14:textId="77777777" w:rsidR="006A27A2" w:rsidRDefault="00000000">
      <w:pPr>
        <w:pStyle w:val="Heading2"/>
        <w:spacing w:before="120"/>
      </w:pPr>
      <w:r>
        <w:rPr>
          <w:rFonts w:ascii="Calibri" w:hAnsi="Calibri"/>
        </w:rPr>
        <w:t>1. Loan Approval Prediction</w:t>
      </w:r>
    </w:p>
    <w:p w14:paraId="15CF7063" w14:textId="77777777" w:rsidR="006A27A2" w:rsidRDefault="00000000">
      <w:pPr>
        <w:spacing w:after="40" w:line="247" w:lineRule="auto"/>
      </w:pPr>
      <w:r>
        <w:rPr>
          <w:b/>
          <w:color w:val="1F4E79"/>
          <w:sz w:val="20"/>
        </w:rPr>
        <w:t xml:space="preserve">Use case: </w:t>
      </w:r>
      <w:r>
        <w:rPr>
          <w:sz w:val="20"/>
        </w:rPr>
        <w:t>Classify an applicant as approved or rejected.</w:t>
      </w:r>
    </w:p>
    <w:p w14:paraId="52174AD3" w14:textId="77777777" w:rsidR="006A27A2" w:rsidRDefault="00000000">
      <w:pPr>
        <w:spacing w:after="40" w:line="247" w:lineRule="auto"/>
      </w:pPr>
      <w:r>
        <w:rPr>
          <w:b/>
          <w:color w:val="1F4E79"/>
          <w:sz w:val="20"/>
        </w:rPr>
        <w:t xml:space="preserve">Notebook workflow: </w:t>
      </w:r>
      <w:r>
        <w:rPr>
          <w:sz w:val="20"/>
        </w:rPr>
        <w:t>The notebook drops loan ID and several asset-detail fields, standardizes numeric features, one-hot encodes categories, and compares six classifiers on a 75/25 split. It ranks candidates by test F1 score, then applies GridSearchCV to the selected XGBoost model.</w:t>
      </w:r>
    </w:p>
    <w:p w14:paraId="629E57B8" w14:textId="77777777" w:rsidR="006A27A2" w:rsidRDefault="00000000">
      <w:pPr>
        <w:spacing w:after="40" w:line="247" w:lineRule="auto"/>
      </w:pPr>
      <w:r>
        <w:rPr>
          <w:b/>
          <w:color w:val="1F4E79"/>
          <w:sz w:val="20"/>
        </w:rPr>
        <w:t xml:space="preserve">Reported evidence: </w:t>
      </w:r>
      <w:r>
        <w:rPr>
          <w:sz w:val="20"/>
        </w:rPr>
        <w:t>XGBoost is selected; its saved test accuracy is 98.78%. Random forest and decision tree also show near-perfect training accuracy.</w:t>
      </w:r>
    </w:p>
    <w:p w14:paraId="6F980A3A" w14:textId="77777777" w:rsidR="006A27A2" w:rsidRDefault="00000000">
      <w:pPr>
        <w:spacing w:after="40" w:line="247" w:lineRule="auto"/>
      </w:pPr>
      <w:r>
        <w:rPr>
          <w:b/>
          <w:color w:val="1F4E79"/>
          <w:sz w:val="20"/>
        </w:rPr>
        <w:t xml:space="preserve">What this means: </w:t>
      </w:r>
      <w:r>
        <w:rPr>
          <w:sz w:val="20"/>
        </w:rPr>
        <w:t>The workflow is clear and metrics go beyond accuracy. However, the unusually high scores make it important to test for target leakage and to compare cross-validated F1 rather than only one split.</w:t>
      </w:r>
    </w:p>
    <w:p w14:paraId="36CD51DA" w14:textId="77777777" w:rsidR="006A27A2" w:rsidRDefault="00000000">
      <w:pPr>
        <w:spacing w:after="40" w:line="247" w:lineRule="auto"/>
      </w:pPr>
      <w:r>
        <w:rPr>
          <w:b/>
          <w:color w:val="1F4E79"/>
          <w:sz w:val="20"/>
        </w:rPr>
        <w:t xml:space="preserve">Inputs and preparation: </w:t>
      </w:r>
      <w:r>
        <w:rPr>
          <w:sz w:val="20"/>
        </w:rPr>
        <w:t>Dependents, annual income, loan amount, loan term, CIBIL score, and aggregated asset information; loan ID and multiple asset components are removed.</w:t>
      </w:r>
    </w:p>
    <w:p w14:paraId="7DC9D88E" w14:textId="77777777" w:rsidR="006A27A2" w:rsidRDefault="00000000">
      <w:pPr>
        <w:pStyle w:val="Heading2"/>
        <w:spacing w:before="120"/>
      </w:pPr>
      <w:r>
        <w:rPr>
          <w:rFonts w:ascii="Calibri" w:hAnsi="Calibri"/>
        </w:rPr>
        <w:t>2. Credit Card Fraud Detection</w:t>
      </w:r>
    </w:p>
    <w:p w14:paraId="4385C0EA" w14:textId="77777777" w:rsidR="006A27A2" w:rsidRDefault="00000000">
      <w:pPr>
        <w:spacing w:after="40" w:line="247" w:lineRule="auto"/>
      </w:pPr>
      <w:r>
        <w:rPr>
          <w:b/>
          <w:color w:val="1F4E79"/>
          <w:sz w:val="20"/>
        </w:rPr>
        <w:t xml:space="preserve">Use case: </w:t>
      </w:r>
      <w:r>
        <w:rPr>
          <w:sz w:val="20"/>
        </w:rPr>
        <w:t>Identify transactions that may be fraudulent.</w:t>
      </w:r>
    </w:p>
    <w:p w14:paraId="7D46981D" w14:textId="77777777" w:rsidR="006A27A2" w:rsidRDefault="00000000">
      <w:pPr>
        <w:spacing w:after="40" w:line="247" w:lineRule="auto"/>
      </w:pPr>
      <w:r>
        <w:rPr>
          <w:b/>
          <w:color w:val="1F4E79"/>
          <w:sz w:val="20"/>
        </w:rPr>
        <w:t xml:space="preserve">Notebook workflow: </w:t>
      </w:r>
      <w:r>
        <w:rPr>
          <w:sz w:val="20"/>
        </w:rPr>
        <w:t>Transaction ID is removed; merchant category is label encoded and amount, device-trust score, and cardholder age are standardized. A stratified 75/25 split preserves the fraud proportion. Six classifiers are assessed using accuracy, precision, recall, F1, and ROC-AUC.</w:t>
      </w:r>
    </w:p>
    <w:p w14:paraId="184678D7" w14:textId="77777777" w:rsidR="006A27A2" w:rsidRDefault="00000000">
      <w:pPr>
        <w:spacing w:after="40" w:line="247" w:lineRule="auto"/>
      </w:pPr>
      <w:r>
        <w:rPr>
          <w:b/>
          <w:color w:val="1F4E79"/>
          <w:sz w:val="20"/>
        </w:rPr>
        <w:t xml:space="preserve">Reported evidence: </w:t>
      </w:r>
      <w:r>
        <w:rPr>
          <w:sz w:val="20"/>
        </w:rPr>
        <w:t>The notebook ranks by ROC-AUC and selects SVC. Random forest shows the highest listed accuracy (97.80%), while SVC records recall of 97.37%.</w:t>
      </w:r>
    </w:p>
    <w:p w14:paraId="62967D96" w14:textId="77777777" w:rsidR="006A27A2" w:rsidRDefault="00000000">
      <w:pPr>
        <w:spacing w:after="40" w:line="247" w:lineRule="auto"/>
      </w:pPr>
      <w:r>
        <w:rPr>
          <w:b/>
          <w:color w:val="1F4E79"/>
          <w:sz w:val="20"/>
        </w:rPr>
        <w:t xml:space="preserve">What this means: </w:t>
      </w:r>
      <w:r>
        <w:rPr>
          <w:sz w:val="20"/>
        </w:rPr>
        <w:t>This is a good example of selecting a metric for the business risk: high recall reduces missed fraud, but precision and alert volume must be reviewed at the final operating threshold.</w:t>
      </w:r>
    </w:p>
    <w:p w14:paraId="425CC726" w14:textId="77777777" w:rsidR="006A27A2" w:rsidRDefault="00000000">
      <w:pPr>
        <w:spacing w:after="40" w:line="247" w:lineRule="auto"/>
      </w:pPr>
      <w:r>
        <w:rPr>
          <w:b/>
          <w:color w:val="1F4E79"/>
          <w:sz w:val="20"/>
        </w:rPr>
        <w:t xml:space="preserve">Inputs and preparation: </w:t>
      </w:r>
      <w:r>
        <w:rPr>
          <w:sz w:val="20"/>
        </w:rPr>
        <w:t>Amount, merchant category, device-trust score, cardholder age, and transaction/device attributes. The notebook also demonstrates predictions on unseen rows.</w:t>
      </w:r>
    </w:p>
    <w:p w14:paraId="7C50C69B" w14:textId="77777777" w:rsidR="006A27A2" w:rsidRDefault="00000000">
      <w:pPr>
        <w:pStyle w:val="Heading2"/>
        <w:spacing w:before="120"/>
      </w:pPr>
      <w:r>
        <w:rPr>
          <w:rFonts w:ascii="Calibri" w:hAnsi="Calibri"/>
        </w:rPr>
        <w:t>3. Customer Churn Prediction</w:t>
      </w:r>
    </w:p>
    <w:p w14:paraId="41E0254A" w14:textId="77777777" w:rsidR="006A27A2" w:rsidRDefault="00000000">
      <w:pPr>
        <w:spacing w:after="40" w:line="247" w:lineRule="auto"/>
      </w:pPr>
      <w:r>
        <w:rPr>
          <w:b/>
          <w:color w:val="1F4E79"/>
          <w:sz w:val="20"/>
        </w:rPr>
        <w:t xml:space="preserve">Use case: </w:t>
      </w:r>
      <w:r>
        <w:rPr>
          <w:sz w:val="20"/>
        </w:rPr>
        <w:t>Predict whether a telecommunications customer will leave.</w:t>
      </w:r>
    </w:p>
    <w:p w14:paraId="4F0360D2" w14:textId="77777777" w:rsidR="006A27A2" w:rsidRDefault="00000000">
      <w:pPr>
        <w:spacing w:after="40" w:line="247" w:lineRule="auto"/>
      </w:pPr>
      <w:r>
        <w:rPr>
          <w:b/>
          <w:color w:val="1F4E79"/>
          <w:sz w:val="20"/>
        </w:rPr>
        <w:t xml:space="preserve">Notebook workflow: </w:t>
      </w:r>
      <w:r>
        <w:rPr>
          <w:sz w:val="20"/>
        </w:rPr>
        <w:t>The notebook removes customer ID and several service/demographic columns, one-hot encodes remaining categories, standardizes tenure and monthly charges, and compares six classifiers on a 70/30 split. It ranks models by test F1 score and later inspects XGBoost feature importance.</w:t>
      </w:r>
    </w:p>
    <w:p w14:paraId="4FA6496E" w14:textId="77777777" w:rsidR="006A27A2" w:rsidRDefault="00000000">
      <w:pPr>
        <w:spacing w:after="40" w:line="247" w:lineRule="auto"/>
      </w:pPr>
      <w:r>
        <w:rPr>
          <w:b/>
          <w:color w:val="1F4E79"/>
          <w:sz w:val="20"/>
        </w:rPr>
        <w:t xml:space="preserve">Reported evidence: </w:t>
      </w:r>
      <w:r>
        <w:rPr>
          <w:sz w:val="20"/>
        </w:rPr>
        <w:t>XGBoost is selected with test accuracy of 84.06%. It also produces churn probabilities for unseen customers.</w:t>
      </w:r>
    </w:p>
    <w:p w14:paraId="395BE571" w14:textId="77777777" w:rsidR="006A27A2" w:rsidRDefault="00000000">
      <w:pPr>
        <w:spacing w:after="40" w:line="247" w:lineRule="auto"/>
      </w:pPr>
      <w:r>
        <w:rPr>
          <w:b/>
          <w:color w:val="1F4E79"/>
          <w:sz w:val="20"/>
        </w:rPr>
        <w:t xml:space="preserve">What this means: </w:t>
      </w:r>
      <w:r>
        <w:rPr>
          <w:sz w:val="20"/>
        </w:rPr>
        <w:t>Probability output makes the project more actionable: a retention team can prioritize customers above a chosen risk threshold instead of treating every predicted churner identically.</w:t>
      </w:r>
    </w:p>
    <w:p w14:paraId="157DE9C8" w14:textId="77777777" w:rsidR="006A27A2" w:rsidRDefault="00000000">
      <w:pPr>
        <w:spacing w:after="40" w:line="247" w:lineRule="auto"/>
      </w:pPr>
      <w:r>
        <w:rPr>
          <w:b/>
          <w:color w:val="1F4E79"/>
          <w:sz w:val="20"/>
        </w:rPr>
        <w:t xml:space="preserve">Inputs and preparation: </w:t>
      </w:r>
      <w:r>
        <w:rPr>
          <w:sz w:val="20"/>
        </w:rPr>
        <w:t>Tenure, monthly charges, contract/billing/service fields, payment method, and selected customer-service indicators.</w:t>
      </w:r>
    </w:p>
    <w:p w14:paraId="1A7E6D4F" w14:textId="77777777" w:rsidR="006A27A2" w:rsidRDefault="00000000">
      <w:r>
        <w:br w:type="page"/>
      </w:r>
    </w:p>
    <w:p w14:paraId="7F342665" w14:textId="77777777" w:rsidR="006A27A2" w:rsidRDefault="00000000">
      <w:pPr>
        <w:pStyle w:val="Heading1"/>
      </w:pPr>
      <w:r>
        <w:rPr>
          <w:rFonts w:ascii="Calibri" w:hAnsi="Calibri"/>
        </w:rPr>
        <w:lastRenderedPageBreak/>
        <w:t>Classification Models: Health and People</w:t>
      </w:r>
    </w:p>
    <w:p w14:paraId="0EB1E176" w14:textId="77777777" w:rsidR="006A27A2" w:rsidRDefault="00000000">
      <w:pPr>
        <w:pStyle w:val="Heading2"/>
        <w:spacing w:before="120"/>
      </w:pPr>
      <w:r>
        <w:rPr>
          <w:rFonts w:ascii="Calibri" w:hAnsi="Calibri"/>
        </w:rPr>
        <w:t>4. Diabetes Prediction</w:t>
      </w:r>
    </w:p>
    <w:p w14:paraId="59232D94" w14:textId="77777777" w:rsidR="006A27A2" w:rsidRDefault="00000000">
      <w:pPr>
        <w:spacing w:after="40" w:line="247" w:lineRule="auto"/>
      </w:pPr>
      <w:r>
        <w:rPr>
          <w:b/>
          <w:color w:val="1F4E79"/>
          <w:sz w:val="20"/>
        </w:rPr>
        <w:t xml:space="preserve">Use case: </w:t>
      </w:r>
      <w:r>
        <w:rPr>
          <w:sz w:val="20"/>
        </w:rPr>
        <w:t>Classify diabetes risk from health records.</w:t>
      </w:r>
    </w:p>
    <w:p w14:paraId="35986C12" w14:textId="77777777" w:rsidR="006A27A2" w:rsidRDefault="00000000">
      <w:pPr>
        <w:spacing w:after="40" w:line="247" w:lineRule="auto"/>
      </w:pPr>
      <w:r>
        <w:rPr>
          <w:b/>
          <w:color w:val="1F4E79"/>
          <w:sz w:val="20"/>
        </w:rPr>
        <w:t xml:space="preserve">Notebook workflow: </w:t>
      </w:r>
      <w:r>
        <w:rPr>
          <w:sz w:val="20"/>
        </w:rPr>
        <w:t>Smoking-history values are consolidated before preprocessing. Gender and smoking history are one-hot encoded; age, BMI, HbA1c level, and blood-glucose level are standardized. Five classifiers are compared on a 70/30 split, ranked by test recall, and KNN is tuned with RandomizedSearchCV.</w:t>
      </w:r>
    </w:p>
    <w:p w14:paraId="3376B832" w14:textId="77777777" w:rsidR="006A27A2" w:rsidRDefault="00000000">
      <w:pPr>
        <w:spacing w:after="40" w:line="247" w:lineRule="auto"/>
      </w:pPr>
      <w:r>
        <w:rPr>
          <w:b/>
          <w:color w:val="1F4E79"/>
          <w:sz w:val="20"/>
        </w:rPr>
        <w:t xml:space="preserve">Reported evidence: </w:t>
      </w:r>
      <w:r>
        <w:rPr>
          <w:sz w:val="20"/>
        </w:rPr>
        <w:t>KNN is selected because the notebook prioritizes recall. XGBoost has the highest listed accuracy at 98.07%.</w:t>
      </w:r>
    </w:p>
    <w:p w14:paraId="6C851ED8" w14:textId="77777777" w:rsidR="006A27A2" w:rsidRDefault="00000000">
      <w:pPr>
        <w:spacing w:after="40" w:line="247" w:lineRule="auto"/>
      </w:pPr>
      <w:r>
        <w:rPr>
          <w:b/>
          <w:color w:val="1F4E79"/>
          <w:sz w:val="20"/>
        </w:rPr>
        <w:t xml:space="preserve">What this means: </w:t>
      </w:r>
      <w:r>
        <w:rPr>
          <w:sz w:val="20"/>
        </w:rPr>
        <w:t>Prioritizing recall is sensible for screening because false negatives matter. A future version should report class prevalence, precision–recall curves, calibration, and an externally validated threshold.</w:t>
      </w:r>
    </w:p>
    <w:p w14:paraId="49FD25A7" w14:textId="77777777" w:rsidR="006A27A2" w:rsidRDefault="00000000">
      <w:pPr>
        <w:spacing w:after="40" w:line="247" w:lineRule="auto"/>
      </w:pPr>
      <w:r>
        <w:rPr>
          <w:b/>
          <w:color w:val="1F4E79"/>
          <w:sz w:val="20"/>
        </w:rPr>
        <w:t xml:space="preserve">Inputs and preparation: </w:t>
      </w:r>
      <w:r>
        <w:rPr>
          <w:sz w:val="20"/>
        </w:rPr>
        <w:t>Gender, smoking history, age, BMI, HbA1c level, blood-glucose level, hypertension, and heart-disease-related indicators.</w:t>
      </w:r>
    </w:p>
    <w:p w14:paraId="0F9A41C6" w14:textId="77777777" w:rsidR="006A27A2" w:rsidRDefault="00000000">
      <w:pPr>
        <w:pStyle w:val="Heading2"/>
        <w:spacing w:before="120"/>
      </w:pPr>
      <w:r>
        <w:rPr>
          <w:rFonts w:ascii="Calibri" w:hAnsi="Calibri"/>
        </w:rPr>
        <w:t>5. Employee Attrition Prediction</w:t>
      </w:r>
    </w:p>
    <w:p w14:paraId="2BDA150F" w14:textId="77777777" w:rsidR="006A27A2" w:rsidRDefault="00000000">
      <w:pPr>
        <w:spacing w:after="40" w:line="247" w:lineRule="auto"/>
      </w:pPr>
      <w:r>
        <w:rPr>
          <w:b/>
          <w:color w:val="1F4E79"/>
          <w:sz w:val="20"/>
        </w:rPr>
        <w:t xml:space="preserve">Use case: </w:t>
      </w:r>
      <w:r>
        <w:rPr>
          <w:sz w:val="20"/>
        </w:rPr>
        <w:t>Predict whether an employee may leave the organization.</w:t>
      </w:r>
    </w:p>
    <w:p w14:paraId="6866A8E7" w14:textId="77777777" w:rsidR="006A27A2" w:rsidRDefault="00000000">
      <w:pPr>
        <w:spacing w:after="40" w:line="247" w:lineRule="auto"/>
      </w:pPr>
      <w:r>
        <w:rPr>
          <w:b/>
          <w:color w:val="1F4E79"/>
          <w:sz w:val="20"/>
        </w:rPr>
        <w:t xml:space="preserve">Notebook workflow: </w:t>
      </w:r>
      <w:r>
        <w:rPr>
          <w:sz w:val="20"/>
        </w:rPr>
        <w:t>The notebook intentionally narrows the HR data to 13 fields, including age, department, gender, job level/satisfaction, income, overtime, performance, tenure, and promotion history. Numeric features are standardized, categories are one-hot encoded, six classifiers are ranked by F1, and random forest is tuned with GridSearchCV.</w:t>
      </w:r>
    </w:p>
    <w:p w14:paraId="456A988F" w14:textId="77777777" w:rsidR="006A27A2" w:rsidRDefault="00000000">
      <w:pPr>
        <w:spacing w:after="40" w:line="247" w:lineRule="auto"/>
      </w:pPr>
      <w:r>
        <w:rPr>
          <w:b/>
          <w:color w:val="1F4E79"/>
          <w:sz w:val="20"/>
        </w:rPr>
        <w:t xml:space="preserve">Reported evidence: </w:t>
      </w:r>
      <w:r>
        <w:rPr>
          <w:sz w:val="20"/>
        </w:rPr>
        <w:t>Random forest is selected with 90.28% saved test accuracy.</w:t>
      </w:r>
    </w:p>
    <w:p w14:paraId="256B7C58" w14:textId="77777777" w:rsidR="006A27A2" w:rsidRDefault="00000000">
      <w:pPr>
        <w:spacing w:after="40" w:line="247" w:lineRule="auto"/>
      </w:pPr>
      <w:r>
        <w:rPr>
          <w:b/>
          <w:color w:val="1F4E79"/>
          <w:sz w:val="20"/>
        </w:rPr>
        <w:t xml:space="preserve">What this means: </w:t>
      </w:r>
      <w:r>
        <w:rPr>
          <w:sz w:val="20"/>
        </w:rPr>
        <w:t>The selected fields are interpretable for HR analytics, but the project should be framed as a support tool—not an automated employment decision—and audited for disparate impact.</w:t>
      </w:r>
    </w:p>
    <w:p w14:paraId="278E0001" w14:textId="77777777" w:rsidR="006A27A2" w:rsidRDefault="00000000">
      <w:pPr>
        <w:spacing w:after="40" w:line="247" w:lineRule="auto"/>
      </w:pPr>
      <w:r>
        <w:rPr>
          <w:b/>
          <w:color w:val="1F4E79"/>
          <w:sz w:val="20"/>
        </w:rPr>
        <w:t xml:space="preserve">Inputs and preparation: </w:t>
      </w:r>
      <w:r>
        <w:rPr>
          <w:sz w:val="20"/>
        </w:rPr>
        <w:t>Age, department, education, gender, job level/satisfaction, monthly income, overtime, performance rating, work-life balance, tenure, and years since promotion.</w:t>
      </w:r>
    </w:p>
    <w:p w14:paraId="0DA2FD82" w14:textId="77777777" w:rsidR="006A27A2" w:rsidRDefault="00000000">
      <w:pPr>
        <w:pStyle w:val="Heading2"/>
        <w:spacing w:before="120"/>
      </w:pPr>
      <w:r>
        <w:rPr>
          <w:rFonts w:ascii="Calibri" w:hAnsi="Calibri"/>
        </w:rPr>
        <w:t>6. Heart Disease Prediction</w:t>
      </w:r>
    </w:p>
    <w:p w14:paraId="40E42138" w14:textId="77777777" w:rsidR="006A27A2" w:rsidRDefault="00000000">
      <w:pPr>
        <w:spacing w:after="40" w:line="247" w:lineRule="auto"/>
      </w:pPr>
      <w:r>
        <w:rPr>
          <w:b/>
          <w:color w:val="1F4E79"/>
          <w:sz w:val="20"/>
        </w:rPr>
        <w:t xml:space="preserve">Use case: </w:t>
      </w:r>
      <w:r>
        <w:rPr>
          <w:sz w:val="20"/>
        </w:rPr>
        <w:t>Classify whether heart disease is present.</w:t>
      </w:r>
    </w:p>
    <w:p w14:paraId="0ADB35A4" w14:textId="77777777" w:rsidR="006A27A2" w:rsidRDefault="00000000">
      <w:pPr>
        <w:spacing w:after="40" w:line="247" w:lineRule="auto"/>
      </w:pPr>
      <w:r>
        <w:rPr>
          <w:b/>
          <w:color w:val="1F4E79"/>
          <w:sz w:val="20"/>
        </w:rPr>
        <w:t xml:space="preserve">Notebook workflow: </w:t>
      </w:r>
      <w:r>
        <w:rPr>
          <w:sz w:val="20"/>
        </w:rPr>
        <w:t>The notebook checks missing values and class balance, visualizes feature correlations, standardizes all predictors after a 77/23 split, compares six classifiers by recall, then tunes random forest with GridSearchCV and calculates feature importance.</w:t>
      </w:r>
    </w:p>
    <w:p w14:paraId="16A59552" w14:textId="77777777" w:rsidR="006A27A2" w:rsidRDefault="00000000">
      <w:pPr>
        <w:spacing w:after="40" w:line="247" w:lineRule="auto"/>
      </w:pPr>
      <w:r>
        <w:rPr>
          <w:b/>
          <w:color w:val="1F4E79"/>
          <w:sz w:val="20"/>
        </w:rPr>
        <w:t xml:space="preserve">Reported evidence: </w:t>
      </w:r>
      <w:r>
        <w:rPr>
          <w:sz w:val="20"/>
        </w:rPr>
        <w:t>Random forest is selected; the tuned run reports 97.44% test accuracy.</w:t>
      </w:r>
    </w:p>
    <w:p w14:paraId="695E1BDD" w14:textId="77777777" w:rsidR="006A27A2" w:rsidRDefault="00000000">
      <w:pPr>
        <w:spacing w:after="40" w:line="247" w:lineRule="auto"/>
      </w:pPr>
      <w:r>
        <w:rPr>
          <w:b/>
          <w:color w:val="1F4E79"/>
          <w:sz w:val="20"/>
        </w:rPr>
        <w:t xml:space="preserve">What this means: </w:t>
      </w:r>
      <w:r>
        <w:rPr>
          <w:sz w:val="20"/>
        </w:rPr>
        <w:t>The compact workflow is strong for learning purposes. Medical use, however, requires sensitivity/specificity, confidence intervals, calibration, and validation on a truly independent clinical population.</w:t>
      </w:r>
    </w:p>
    <w:p w14:paraId="5A5FEC83" w14:textId="77777777" w:rsidR="006A27A2" w:rsidRDefault="00000000">
      <w:pPr>
        <w:spacing w:after="40" w:line="247" w:lineRule="auto"/>
      </w:pPr>
      <w:r>
        <w:rPr>
          <w:b/>
          <w:color w:val="1F4E79"/>
          <w:sz w:val="20"/>
        </w:rPr>
        <w:t xml:space="preserve">Inputs and preparation: </w:t>
      </w:r>
      <w:r>
        <w:rPr>
          <w:sz w:val="20"/>
        </w:rPr>
        <w:t>Thirteen clinical measurements and patient indicators from the heart-disease dataset.</w:t>
      </w:r>
    </w:p>
    <w:p w14:paraId="2D0147C4" w14:textId="77777777" w:rsidR="006A27A2" w:rsidRDefault="00000000">
      <w:r>
        <w:br w:type="page"/>
      </w:r>
    </w:p>
    <w:p w14:paraId="252AEC71" w14:textId="77777777" w:rsidR="006A27A2" w:rsidRDefault="00000000">
      <w:pPr>
        <w:pStyle w:val="Heading1"/>
      </w:pPr>
      <w:r>
        <w:rPr>
          <w:rFonts w:ascii="Calibri" w:hAnsi="Calibri"/>
        </w:rPr>
        <w:lastRenderedPageBreak/>
        <w:t>Classification and Regression: Education and Work</w:t>
      </w:r>
    </w:p>
    <w:p w14:paraId="7ABD7467" w14:textId="77777777" w:rsidR="006A27A2" w:rsidRDefault="00000000">
      <w:pPr>
        <w:pStyle w:val="Heading2"/>
        <w:spacing w:before="120"/>
      </w:pPr>
      <w:r>
        <w:rPr>
          <w:rFonts w:ascii="Calibri" w:hAnsi="Calibri"/>
        </w:rPr>
        <w:t>7. Student Performance Prediction</w:t>
      </w:r>
    </w:p>
    <w:p w14:paraId="51278CF3" w14:textId="77777777" w:rsidR="006A27A2" w:rsidRDefault="00000000">
      <w:pPr>
        <w:spacing w:after="40" w:line="247" w:lineRule="auto"/>
      </w:pPr>
      <w:r>
        <w:rPr>
          <w:b/>
          <w:color w:val="1F4E79"/>
          <w:sz w:val="20"/>
        </w:rPr>
        <w:t xml:space="preserve">Use case: </w:t>
      </w:r>
      <w:r>
        <w:rPr>
          <w:sz w:val="20"/>
        </w:rPr>
        <w:t>Classify students as pass/fail using an exam-score threshold of 35.</w:t>
      </w:r>
    </w:p>
    <w:p w14:paraId="755737F1" w14:textId="77777777" w:rsidR="006A27A2" w:rsidRDefault="00000000">
      <w:pPr>
        <w:spacing w:after="40" w:line="247" w:lineRule="auto"/>
      </w:pPr>
      <w:r>
        <w:rPr>
          <w:b/>
          <w:color w:val="1F4E79"/>
          <w:sz w:val="20"/>
        </w:rPr>
        <w:t xml:space="preserve">Notebook workflow: </w:t>
      </w:r>
      <w:r>
        <w:rPr>
          <w:sz w:val="20"/>
        </w:rPr>
        <w:t>The target is created from exam score, then exam score is removed. Social-media and Netflix hours are combined into entertainment hours; student ID, diet, age, and mental-health rating are removed. The remaining numeric features are standardized and categorical features one-hot encoded. Six classifiers are ranked by F1 and random forest is tuned.</w:t>
      </w:r>
    </w:p>
    <w:p w14:paraId="2E0A0772" w14:textId="77777777" w:rsidR="006A27A2" w:rsidRDefault="00000000">
      <w:pPr>
        <w:spacing w:after="40" w:line="247" w:lineRule="auto"/>
      </w:pPr>
      <w:r>
        <w:rPr>
          <w:b/>
          <w:color w:val="1F4E79"/>
          <w:sz w:val="20"/>
        </w:rPr>
        <w:t xml:space="preserve">Reported evidence: </w:t>
      </w:r>
      <w:r>
        <w:rPr>
          <w:sz w:val="20"/>
        </w:rPr>
        <w:t>Random forest is selected with 99.18% reported test accuracy; a tuned run is approximately 99.21%.</w:t>
      </w:r>
    </w:p>
    <w:p w14:paraId="51CC73A9" w14:textId="77777777" w:rsidR="006A27A2" w:rsidRDefault="00000000">
      <w:pPr>
        <w:spacing w:after="40" w:line="247" w:lineRule="auto"/>
      </w:pPr>
      <w:r>
        <w:rPr>
          <w:b/>
          <w:color w:val="1F4E79"/>
          <w:sz w:val="20"/>
        </w:rPr>
        <w:t xml:space="preserve">What this means: </w:t>
      </w:r>
      <w:r>
        <w:rPr>
          <w:sz w:val="20"/>
        </w:rPr>
        <w:t>The feature engineering is thoughtful, but the target construction needs a leakage audit: every input must be available before the final exam result and must not be a proxy for it.</w:t>
      </w:r>
    </w:p>
    <w:p w14:paraId="2B7DECAB" w14:textId="77777777" w:rsidR="006A27A2" w:rsidRDefault="00000000">
      <w:pPr>
        <w:spacing w:after="40" w:line="247" w:lineRule="auto"/>
      </w:pPr>
      <w:r>
        <w:rPr>
          <w:b/>
          <w:color w:val="1F4E79"/>
          <w:sz w:val="20"/>
        </w:rPr>
        <w:t xml:space="preserve">Inputs and preparation: </w:t>
      </w:r>
      <w:r>
        <w:rPr>
          <w:sz w:val="20"/>
        </w:rPr>
        <w:t>Study and sleep habits, attendance-related signals, entertainment hours, gender, part-time job, parental education, internet quality, and extracurricular participation.</w:t>
      </w:r>
    </w:p>
    <w:p w14:paraId="18ED2089" w14:textId="77777777" w:rsidR="006A27A2" w:rsidRDefault="00000000">
      <w:pPr>
        <w:pStyle w:val="Heading2"/>
        <w:spacing w:before="120"/>
      </w:pPr>
      <w:r>
        <w:rPr>
          <w:rFonts w:ascii="Calibri" w:hAnsi="Calibri"/>
        </w:rPr>
        <w:t>8. Employee Salary Prediction</w:t>
      </w:r>
    </w:p>
    <w:p w14:paraId="5C05D506" w14:textId="77777777" w:rsidR="006A27A2" w:rsidRDefault="00000000">
      <w:pPr>
        <w:spacing w:after="40" w:line="247" w:lineRule="auto"/>
      </w:pPr>
      <w:r>
        <w:rPr>
          <w:b/>
          <w:color w:val="1F4E79"/>
          <w:sz w:val="20"/>
        </w:rPr>
        <w:t xml:space="preserve">Use case: </w:t>
      </w:r>
      <w:r>
        <w:rPr>
          <w:sz w:val="20"/>
        </w:rPr>
        <w:t>Estimate salary in USD as a continuous value.</w:t>
      </w:r>
    </w:p>
    <w:p w14:paraId="66CA3C4A" w14:textId="77777777" w:rsidR="006A27A2" w:rsidRDefault="00000000">
      <w:pPr>
        <w:spacing w:after="40" w:line="247" w:lineRule="auto"/>
      </w:pPr>
      <w:r>
        <w:rPr>
          <w:b/>
          <w:color w:val="1F4E79"/>
          <w:sz w:val="20"/>
        </w:rPr>
        <w:t xml:space="preserve">Notebook workflow: </w:t>
      </w:r>
      <w:r>
        <w:rPr>
          <w:sz w:val="20"/>
        </w:rPr>
        <w:t>The notebook removes raw salary, currency, residence, and company-location fields, then uses one-hot encoding for experience level, employment type, company size, remote ratio, work year, and job title. Six regressors are compared on an 80/20 split, with random forest tuned through GridSearchCV.</w:t>
      </w:r>
    </w:p>
    <w:p w14:paraId="7777DF69" w14:textId="77777777" w:rsidR="006A27A2" w:rsidRDefault="00000000">
      <w:pPr>
        <w:spacing w:after="40" w:line="247" w:lineRule="auto"/>
      </w:pPr>
      <w:r>
        <w:rPr>
          <w:b/>
          <w:color w:val="1F4E79"/>
          <w:sz w:val="20"/>
        </w:rPr>
        <w:t xml:space="preserve">Reported evidence: </w:t>
      </w:r>
      <w:r>
        <w:rPr>
          <w:sz w:val="20"/>
        </w:rPr>
        <w:t>Random forest leads the reported results: test R² = 0.357 and MAE = 0.469 on the notebook’s transformed scale.</w:t>
      </w:r>
    </w:p>
    <w:p w14:paraId="4CC2BB00" w14:textId="77777777" w:rsidR="006A27A2" w:rsidRDefault="00000000">
      <w:pPr>
        <w:spacing w:after="40" w:line="247" w:lineRule="auto"/>
      </w:pPr>
      <w:r>
        <w:rPr>
          <w:b/>
          <w:color w:val="1F4E79"/>
          <w:sz w:val="20"/>
        </w:rPr>
        <w:t xml:space="preserve">What this means: </w:t>
      </w:r>
      <w:r>
        <w:rPr>
          <w:sz w:val="20"/>
        </w:rPr>
        <w:t>This model has useful baseline value but leaves much variance unexplained. Its next improvement should be errors converted back to USD, richer role/company features, and cross-validated R².</w:t>
      </w:r>
    </w:p>
    <w:p w14:paraId="658CD294" w14:textId="77777777" w:rsidR="006A27A2" w:rsidRDefault="00000000">
      <w:pPr>
        <w:spacing w:after="40" w:line="247" w:lineRule="auto"/>
      </w:pPr>
      <w:r>
        <w:rPr>
          <w:b/>
          <w:color w:val="1F4E79"/>
          <w:sz w:val="20"/>
        </w:rPr>
        <w:t xml:space="preserve">Inputs and preparation: </w:t>
      </w:r>
      <w:r>
        <w:rPr>
          <w:sz w:val="20"/>
        </w:rPr>
        <w:t>Experience level, employment type, company size, remote ratio, work year, job title, and salary in USD as the target.</w:t>
      </w:r>
    </w:p>
    <w:p w14:paraId="667760F7" w14:textId="77777777" w:rsidR="006A27A2" w:rsidRDefault="00000000">
      <w:r>
        <w:br w:type="page"/>
      </w:r>
    </w:p>
    <w:p w14:paraId="0CCFBE79" w14:textId="77777777" w:rsidR="006A27A2" w:rsidRDefault="00000000">
      <w:pPr>
        <w:pStyle w:val="Heading1"/>
      </w:pPr>
      <w:r>
        <w:rPr>
          <w:rFonts w:ascii="Calibri" w:hAnsi="Calibri"/>
        </w:rPr>
        <w:lastRenderedPageBreak/>
        <w:t>Regression Models: Property and Vehicles</w:t>
      </w:r>
    </w:p>
    <w:p w14:paraId="18CADA29" w14:textId="77777777" w:rsidR="006A27A2" w:rsidRDefault="00000000">
      <w:pPr>
        <w:pStyle w:val="Heading2"/>
        <w:spacing w:before="120"/>
      </w:pPr>
      <w:r>
        <w:rPr>
          <w:rFonts w:ascii="Calibri" w:hAnsi="Calibri"/>
        </w:rPr>
        <w:t>9. House Price Prediction</w:t>
      </w:r>
    </w:p>
    <w:p w14:paraId="39202532" w14:textId="77777777" w:rsidR="006A27A2" w:rsidRDefault="00000000">
      <w:pPr>
        <w:spacing w:after="40" w:line="247" w:lineRule="auto"/>
      </w:pPr>
      <w:r>
        <w:rPr>
          <w:b/>
          <w:color w:val="1F4E79"/>
          <w:sz w:val="20"/>
        </w:rPr>
        <w:t xml:space="preserve">Use case: </w:t>
      </w:r>
      <w:r>
        <w:rPr>
          <w:sz w:val="20"/>
        </w:rPr>
        <w:t>Estimate residential property price.</w:t>
      </w:r>
    </w:p>
    <w:p w14:paraId="213FC1E3" w14:textId="77777777" w:rsidR="006A27A2" w:rsidRDefault="00000000">
      <w:pPr>
        <w:spacing w:after="40" w:line="247" w:lineRule="auto"/>
      </w:pPr>
      <w:r>
        <w:rPr>
          <w:b/>
          <w:color w:val="1F4E79"/>
          <w:sz w:val="20"/>
        </w:rPr>
        <w:t xml:space="preserve">Notebook workflow: </w:t>
      </w:r>
      <w:r>
        <w:rPr>
          <w:sz w:val="20"/>
        </w:rPr>
        <w:t>ID is dropped and age is engineered as 2026 minus year built; the original year-built field is then removed. Numerical features are standardized and categorical features one-hot encoded. Linear regression, ElasticNet, Lasso, decision tree, and random forest are compared on a 70/30 split, after which ElasticNet is explored further.</w:t>
      </w:r>
    </w:p>
    <w:p w14:paraId="25FDE953" w14:textId="77777777" w:rsidR="006A27A2" w:rsidRDefault="00000000">
      <w:pPr>
        <w:spacing w:after="40" w:line="247" w:lineRule="auto"/>
      </w:pPr>
      <w:r>
        <w:rPr>
          <w:b/>
          <w:color w:val="1F4E79"/>
          <w:sz w:val="20"/>
        </w:rPr>
        <w:t xml:space="preserve">Reported evidence: </w:t>
      </w:r>
      <w:r>
        <w:rPr>
          <w:sz w:val="20"/>
        </w:rPr>
        <w:t>Reported test R² is near or below zero for all listed models; ElasticNet is least negative at approximately −0.0005.</w:t>
      </w:r>
    </w:p>
    <w:p w14:paraId="18ECD00C" w14:textId="77777777" w:rsidR="006A27A2" w:rsidRDefault="00000000">
      <w:pPr>
        <w:spacing w:after="40" w:line="247" w:lineRule="auto"/>
      </w:pPr>
      <w:r>
        <w:rPr>
          <w:b/>
          <w:color w:val="1F4E79"/>
          <w:sz w:val="20"/>
        </w:rPr>
        <w:t xml:space="preserve">What this means: </w:t>
      </w:r>
      <w:r>
        <w:rPr>
          <w:sz w:val="20"/>
        </w:rPr>
        <w:t>This is the portfolio’s clearest lesson in model diagnosis: tuning is not the answer until data quality, feature relevance, scale, and split design have been investigated.</w:t>
      </w:r>
    </w:p>
    <w:p w14:paraId="4FF62D5B" w14:textId="77777777" w:rsidR="006A27A2" w:rsidRDefault="00000000">
      <w:pPr>
        <w:spacing w:after="40" w:line="247" w:lineRule="auto"/>
      </w:pPr>
      <w:r>
        <w:rPr>
          <w:b/>
          <w:color w:val="1F4E79"/>
          <w:sz w:val="20"/>
        </w:rPr>
        <w:t xml:space="preserve">Inputs and preparation: </w:t>
      </w:r>
      <w:r>
        <w:rPr>
          <w:sz w:val="20"/>
        </w:rPr>
        <w:t>Engineered age, area and other numerical property attributes, plus categorical property features after preprocessing.</w:t>
      </w:r>
    </w:p>
    <w:p w14:paraId="3236E376" w14:textId="77777777" w:rsidR="006A27A2" w:rsidRDefault="00000000">
      <w:pPr>
        <w:pStyle w:val="Heading2"/>
        <w:spacing w:before="120"/>
      </w:pPr>
      <w:r>
        <w:rPr>
          <w:rFonts w:ascii="Calibri" w:hAnsi="Calibri"/>
        </w:rPr>
        <w:t>10. Used-Car Price Prediction</w:t>
      </w:r>
    </w:p>
    <w:p w14:paraId="7EC0F2D1" w14:textId="77777777" w:rsidR="006A27A2" w:rsidRDefault="00000000">
      <w:pPr>
        <w:spacing w:after="40" w:line="247" w:lineRule="auto"/>
      </w:pPr>
      <w:r>
        <w:rPr>
          <w:b/>
          <w:color w:val="1F4E79"/>
          <w:sz w:val="20"/>
        </w:rPr>
        <w:t xml:space="preserve">Use case: </w:t>
      </w:r>
      <w:r>
        <w:rPr>
          <w:sz w:val="20"/>
        </w:rPr>
        <w:t>Estimate used-vehicle selling price.</w:t>
      </w:r>
    </w:p>
    <w:p w14:paraId="4B302AAB" w14:textId="77777777" w:rsidR="006A27A2" w:rsidRDefault="00000000">
      <w:pPr>
        <w:spacing w:after="40" w:line="247" w:lineRule="auto"/>
      </w:pPr>
      <w:r>
        <w:rPr>
          <w:b/>
          <w:color w:val="1F4E79"/>
          <w:sz w:val="20"/>
        </w:rPr>
        <w:t xml:space="preserve">Notebook workflow: </w:t>
      </w:r>
      <w:r>
        <w:rPr>
          <w:sz w:val="20"/>
        </w:rPr>
        <w:t>Car name and brand are removed; model is label encoded. Vehicle age, kilometres driven, mileage, engine, maximum power, and seats are analyzed; several skewed inputs are log-transformed. Numeric features are standardized and seller type, fuel type, and transmission are one-hot encoded. Six regressors are compared on a 75/25 split and XGBoost is tuned via GridSearchCV.</w:t>
      </w:r>
    </w:p>
    <w:p w14:paraId="11E1CDCC" w14:textId="77777777" w:rsidR="006A27A2" w:rsidRDefault="00000000">
      <w:pPr>
        <w:spacing w:after="40" w:line="247" w:lineRule="auto"/>
      </w:pPr>
      <w:r>
        <w:rPr>
          <w:b/>
          <w:color w:val="1F4E79"/>
          <w:sz w:val="20"/>
        </w:rPr>
        <w:t xml:space="preserve">Reported evidence: </w:t>
      </w:r>
      <w:r>
        <w:rPr>
          <w:sz w:val="20"/>
        </w:rPr>
        <w:t>The final notebook trains tuned XGBoost with learning rate 0.1, maximum depth 7, and 200 estimators. Final test MAE/RMSE/R² are not preserved in the saved output.</w:t>
      </w:r>
    </w:p>
    <w:p w14:paraId="1EA0BF43" w14:textId="77777777" w:rsidR="006A27A2" w:rsidRDefault="00000000">
      <w:pPr>
        <w:spacing w:after="40" w:line="247" w:lineRule="auto"/>
      </w:pPr>
      <w:r>
        <w:rPr>
          <w:b/>
          <w:color w:val="1F4E79"/>
          <w:sz w:val="20"/>
        </w:rPr>
        <w:t xml:space="preserve">What this means: </w:t>
      </w:r>
      <w:r>
        <w:rPr>
          <w:sz w:val="20"/>
        </w:rPr>
        <w:t>The preprocessing is one of the portfolio’s most complete regression pipelines. Saving a final metric table and residual plot would make its performance much easier to evaluate.</w:t>
      </w:r>
    </w:p>
    <w:p w14:paraId="17D63101" w14:textId="77777777" w:rsidR="006A27A2" w:rsidRDefault="00000000">
      <w:pPr>
        <w:spacing w:after="40" w:line="247" w:lineRule="auto"/>
      </w:pPr>
      <w:r>
        <w:rPr>
          <w:b/>
          <w:color w:val="1F4E79"/>
          <w:sz w:val="20"/>
        </w:rPr>
        <w:t xml:space="preserve">Inputs and preparation: </w:t>
      </w:r>
      <w:r>
        <w:rPr>
          <w:sz w:val="20"/>
        </w:rPr>
        <w:t>Vehicle age, kilometres driven, mileage, engine, power, seats, model, seller type, fuel type, transmission, and selling price.</w:t>
      </w:r>
    </w:p>
    <w:p w14:paraId="0F22A7AB" w14:textId="77777777" w:rsidR="006A27A2" w:rsidRDefault="00000000">
      <w:r>
        <w:br w:type="page"/>
      </w:r>
    </w:p>
    <w:p w14:paraId="3F86F65B" w14:textId="77777777" w:rsidR="006A27A2" w:rsidRDefault="00000000">
      <w:pPr>
        <w:pStyle w:val="Heading1"/>
      </w:pPr>
      <w:r>
        <w:rPr>
          <w:rFonts w:ascii="Calibri" w:hAnsi="Calibri"/>
        </w:rPr>
        <w:lastRenderedPageBreak/>
        <w:t>Findings</w:t>
      </w:r>
    </w:p>
    <w:p w14:paraId="37A5D37B" w14:textId="77777777" w:rsidR="006A27A2" w:rsidRDefault="00000000">
      <w:pPr>
        <w:pStyle w:val="ListBullet"/>
        <w:spacing w:after="40" w:line="247" w:lineRule="auto"/>
      </w:pPr>
      <w:r>
        <w:rPr>
          <w:sz w:val="20"/>
        </w:rPr>
        <w:t>The portfolio demonstrates breadth: risk classification, customer behavior, health screening, HR analytics, education, and price estimation are all represented.</w:t>
      </w:r>
    </w:p>
    <w:p w14:paraId="6FAEE807" w14:textId="77777777" w:rsidR="006A27A2" w:rsidRDefault="00000000">
      <w:pPr>
        <w:pStyle w:val="ListBullet"/>
        <w:spacing w:after="40" w:line="247" w:lineRule="auto"/>
      </w:pPr>
      <w:r>
        <w:rPr>
          <w:sz w:val="20"/>
        </w:rPr>
        <w:t>Ensemble methods—especially random forest and XGBoost—are repeatedly selected, reflecting their effectiveness on structured tabular data and non-linear relationships.</w:t>
      </w:r>
    </w:p>
    <w:p w14:paraId="24084649" w14:textId="77777777" w:rsidR="006A27A2" w:rsidRDefault="00000000">
      <w:pPr>
        <w:pStyle w:val="ListBullet"/>
        <w:spacing w:after="40" w:line="247" w:lineRule="auto"/>
      </w:pPr>
      <w:r>
        <w:rPr>
          <w:sz w:val="20"/>
        </w:rPr>
        <w:t>Several classification notebooks show very high test scores. These should trigger structured checks for duplicate records, target leakage, class imbalance, and train/test contamination rather than immediate deployment claims.</w:t>
      </w:r>
    </w:p>
    <w:p w14:paraId="6C7D2E04" w14:textId="77777777" w:rsidR="006A27A2" w:rsidRDefault="00000000">
      <w:pPr>
        <w:pStyle w:val="ListBullet"/>
        <w:spacing w:after="40" w:line="247" w:lineRule="auto"/>
      </w:pPr>
      <w:r>
        <w:rPr>
          <w:sz w:val="20"/>
        </w:rPr>
        <w:t>The house-price notebook is an important counterexample: its poor R² makes the need for feature quality, correct preprocessing, and domain-aware validation explicit.</w:t>
      </w:r>
    </w:p>
    <w:p w14:paraId="195B44F2" w14:textId="77777777" w:rsidR="006A27A2" w:rsidRDefault="00000000">
      <w:pPr>
        <w:pStyle w:val="Heading1"/>
      </w:pPr>
      <w:r>
        <w:rPr>
          <w:rFonts w:ascii="Calibri" w:hAnsi="Calibri"/>
        </w:rPr>
        <w:t>Recommendations</w:t>
      </w:r>
    </w:p>
    <w:p w14:paraId="5D70A432" w14:textId="77777777" w:rsidR="006A27A2" w:rsidRDefault="00000000">
      <w:pPr>
        <w:pStyle w:val="ListNumber"/>
        <w:spacing w:after="60" w:line="252" w:lineRule="auto"/>
      </w:pPr>
      <w:r>
        <w:rPr>
          <w:sz w:val="20"/>
        </w:rPr>
        <w:t>Create a common evaluation template for every notebook: dataset version, target definition, split strategy, baseline score, chosen model, final test metrics, and a short limitations statement.</w:t>
      </w:r>
    </w:p>
    <w:p w14:paraId="4557F96A" w14:textId="77777777" w:rsidR="006A27A2" w:rsidRDefault="00000000">
      <w:pPr>
        <w:pStyle w:val="ListNumber"/>
        <w:spacing w:after="60" w:line="252" w:lineRule="auto"/>
      </w:pPr>
      <w:r>
        <w:rPr>
          <w:sz w:val="20"/>
        </w:rPr>
        <w:t>Use cross-validation and a separate final test set for model selection. For imbalanced classifiers, report precision–recall curves, confusion matrices, threshold rationale, and calibrated probabilities.</w:t>
      </w:r>
    </w:p>
    <w:p w14:paraId="5B083CE2" w14:textId="77777777" w:rsidR="006A27A2" w:rsidRDefault="00000000">
      <w:pPr>
        <w:pStyle w:val="ListNumber"/>
        <w:spacing w:after="60" w:line="252" w:lineRule="auto"/>
      </w:pPr>
      <w:r>
        <w:rPr>
          <w:sz w:val="20"/>
        </w:rPr>
        <w:t>Prioritize data leakage, fairness, and privacy review for credit, healthcare, and HR models. Human review should remain central for consequential decisions.</w:t>
      </w:r>
    </w:p>
    <w:p w14:paraId="6614A116" w14:textId="77777777" w:rsidR="006A27A2" w:rsidRDefault="00000000">
      <w:pPr>
        <w:pStyle w:val="ListNumber"/>
        <w:spacing w:after="60" w:line="252" w:lineRule="auto"/>
      </w:pPr>
      <w:r>
        <w:rPr>
          <w:sz w:val="20"/>
        </w:rPr>
        <w:t>Improve regression work by displaying results on the original price/salary scale, adding feature-importance analysis, and investigating the house-price data before additional tuning.</w:t>
      </w:r>
    </w:p>
    <w:p w14:paraId="4074B3EA" w14:textId="77777777" w:rsidR="006A27A2" w:rsidRDefault="00000000">
      <w:pPr>
        <w:pStyle w:val="Heading1"/>
      </w:pPr>
      <w:r>
        <w:rPr>
          <w:rFonts w:ascii="Calibri" w:hAnsi="Calibri"/>
        </w:rPr>
        <w:t>Appendix: Method and Data Notes</w:t>
      </w:r>
    </w:p>
    <w:p w14:paraId="5826F990" w14:textId="77777777" w:rsidR="006A27A2" w:rsidRDefault="00000000">
      <w:r>
        <w:t>Source reviewed: ten Jupyter notebooks in the “Predection Models” project folder. This report is based on notebook code and saved outputs, not independent reruns. Reported metrics are holdout results as recorded in those notebooks; changes in data versions, preprocessing, random seeds, or evaluation strategy can change them.</w:t>
      </w:r>
    </w:p>
    <w:p w14:paraId="6A40F62E" w14:textId="77777777" w:rsidR="006A27A2" w:rsidRDefault="00000000">
      <w:r>
        <w:t>Common classification metrics: accuracy, precision, recall, F1 score, and ROC-AUC. Common regression metrics: mean absolute error (MAE), root mean squared error (RMSE), and R². GridSearchCV or RandomizedSearchCV appears in several notebooks to tune selected estimators.</w:t>
      </w:r>
    </w:p>
    <w:sectPr w:rsidR="006A27A2" w:rsidSect="00034616">
      <w:pgSz w:w="12240" w:h="15840"/>
      <w:pgMar w:top="1123" w:right="1440" w:bottom="1123" w:left="1440" w:header="504" w:footer="50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0621306" w14:textId="77777777" w:rsidR="00534F4A" w:rsidRDefault="00534F4A">
      <w:pPr>
        <w:spacing w:after="0" w:line="240" w:lineRule="auto"/>
      </w:pPr>
      <w:r>
        <w:separator/>
      </w:r>
    </w:p>
  </w:endnote>
  <w:endnote w:type="continuationSeparator" w:id="0">
    <w:p w14:paraId="50E6BF43" w14:textId="77777777" w:rsidR="00534F4A" w:rsidRDefault="00534F4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4240E6E" w14:textId="77777777" w:rsidR="00534F4A" w:rsidRDefault="00534F4A">
      <w:pPr>
        <w:spacing w:after="0" w:line="240" w:lineRule="auto"/>
      </w:pPr>
      <w:r>
        <w:separator/>
      </w:r>
    </w:p>
  </w:footnote>
  <w:footnote w:type="continuationSeparator" w:id="0">
    <w:p w14:paraId="1B060379" w14:textId="77777777" w:rsidR="00534F4A" w:rsidRDefault="00534F4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89042507">
    <w:abstractNumId w:val="8"/>
  </w:num>
  <w:num w:numId="2" w16cid:durableId="1743988269">
    <w:abstractNumId w:val="6"/>
  </w:num>
  <w:num w:numId="3" w16cid:durableId="1088650123">
    <w:abstractNumId w:val="5"/>
  </w:num>
  <w:num w:numId="4" w16cid:durableId="81609127">
    <w:abstractNumId w:val="4"/>
  </w:num>
  <w:num w:numId="5" w16cid:durableId="539367148">
    <w:abstractNumId w:val="7"/>
  </w:num>
  <w:num w:numId="6" w16cid:durableId="681668908">
    <w:abstractNumId w:val="3"/>
  </w:num>
  <w:num w:numId="7" w16cid:durableId="1690139160">
    <w:abstractNumId w:val="2"/>
  </w:num>
  <w:num w:numId="8" w16cid:durableId="949702641">
    <w:abstractNumId w:val="1"/>
  </w:num>
  <w:num w:numId="9" w16cid:durableId="1416588106">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85CEB"/>
    <w:rsid w:val="0015074B"/>
    <w:rsid w:val="00261C2B"/>
    <w:rsid w:val="0029639D"/>
    <w:rsid w:val="00326F90"/>
    <w:rsid w:val="00534F4A"/>
    <w:rsid w:val="006A27A2"/>
    <w:rsid w:val="00AA1D8D"/>
    <w:rsid w:val="00B47730"/>
    <w:rsid w:val="00C742A7"/>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AC95ED5"/>
  <w14:defaultImageDpi w14:val="300"/>
  <w15:docId w15:val="{8E74306D-373D-6740-A831-7958C551BC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9" w:lineRule="auto"/>
    </w:pPr>
    <w:rPr>
      <w:rFonts w:ascii="Calibri" w:hAnsi="Calibri"/>
      <w:color w:val="000000"/>
      <w:sz w:val="21"/>
    </w:rPr>
  </w:style>
  <w:style w:type="paragraph" w:styleId="Heading1">
    <w:name w:val="heading 1"/>
    <w:basedOn w:val="Normal"/>
    <w:next w:val="Normal"/>
    <w:link w:val="Heading1Char"/>
    <w:uiPriority w:val="9"/>
    <w:qFormat/>
    <w:rsid w:val="00FC693F"/>
    <w:pPr>
      <w:keepNext/>
      <w:keepLines/>
      <w:spacing w:before="300" w:after="140"/>
      <w:outlineLvl w:val="0"/>
    </w:pPr>
    <w:rPr>
      <w:rFonts w:asciiTheme="majorHAnsi" w:eastAsiaTheme="majorEastAsia" w:hAnsiTheme="majorHAnsi" w:cstheme="majorBidi"/>
      <w:b/>
      <w:bCs/>
      <w:color w:val="2F80C3"/>
      <w:sz w:val="34"/>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b/>
      <w:bCs/>
      <w:color w:val="1F4E79"/>
      <w:sz w:val="25"/>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80" w:line="240" w:lineRule="auto"/>
      <w:contextualSpacing/>
    </w:pPr>
    <w:rPr>
      <w:rFonts w:asciiTheme="majorHAnsi" w:eastAsiaTheme="majorEastAsia" w:hAnsiTheme="majorHAnsi" w:cstheme="majorBidi"/>
      <w:b/>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60" w:line="280" w:lineRule="auto"/>
      <w:ind w:left="720"/>
      <w:contextualSpacing/>
    </w:pPr>
    <w:rPr>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60" w:line="280" w:lineRule="auto"/>
      <w:ind w:left="720"/>
      <w:contextualSpacing/>
    </w:pPr>
    <w:rPr>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6</Pages>
  <Words>2002</Words>
  <Characters>11417</Characters>
  <Application>Microsoft Office Word</Application>
  <DocSecurity>0</DocSecurity>
  <Lines>95</Lines>
  <Paragraphs>26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13393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dipson sharma</cp:lastModifiedBy>
  <cp:revision>3</cp:revision>
  <dcterms:created xsi:type="dcterms:W3CDTF">2026-08-10T10:39:00Z</dcterms:created>
  <dcterms:modified xsi:type="dcterms:W3CDTF">2026-08-10T10:40:00Z</dcterms:modified>
  <cp:category/>
</cp:coreProperties>
</file>