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40" w:after="120"/>
        <w:jc w:val="center"/>
      </w:pPr>
      <w:r>
        <w:rPr>
          <w:rFonts w:ascii="Times New Roman" w:hAnsi="Times New Roman"/>
          <w:b w:val="0"/>
          <w:i w:val="0"/>
          <w:color w:val="000000"/>
          <w:sz w:val="48"/>
        </w:rPr>
        <w:t>QWeave: Correctness-First Deterministic and Learned Qubit Routing</w:t>
      </w:r>
    </w:p>
    <w:p>
      <w:pPr>
        <w:spacing w:after="20"/>
        <w:jc w:val="center"/>
      </w:pPr>
      <w:r>
        <w:rPr>
          <w:rFonts w:ascii="Times New Roman" w:hAnsi="Times New Roman"/>
          <w:b w:val="0"/>
          <w:i w:val="0"/>
          <w:color w:val="000000"/>
          <w:sz w:val="22"/>
        </w:rPr>
        <w:t>Atharva Sheersh Pandey</w:t>
      </w:r>
      <w:r>
        <w:rPr>
          <w:rFonts w:ascii="Times New Roman" w:hAnsi="Times New Roman"/>
          <w:b w:val="0"/>
          <w:i w:val="0"/>
          <w:color w:val="000000"/>
          <w:sz w:val="14"/>
          <w:vertAlign w:val="superscript"/>
        </w:rPr>
        <w:t>1</w:t>
      </w:r>
      <w:r>
        <w:t xml:space="preserve">, </w:t>
      </w:r>
      <w:r>
        <w:rPr>
          <w:rFonts w:ascii="Times New Roman" w:hAnsi="Times New Roman"/>
          <w:b w:val="0"/>
          <w:i w:val="0"/>
          <w:color w:val="000000"/>
          <w:sz w:val="22"/>
        </w:rPr>
        <w:t>Diptesh Das</w:t>
      </w:r>
      <w:r>
        <w:rPr>
          <w:rFonts w:ascii="Times New Roman" w:hAnsi="Times New Roman"/>
          <w:b w:val="0"/>
          <w:i w:val="0"/>
          <w:color w:val="000000"/>
          <w:sz w:val="14"/>
          <w:vertAlign w:val="superscript"/>
        </w:rPr>
        <w:t>1</w:t>
      </w:r>
      <w:r>
        <w:t xml:space="preserve">, </w:t>
      </w:r>
      <w:r>
        <w:rPr>
          <w:rFonts w:ascii="Times New Roman" w:hAnsi="Times New Roman"/>
          <w:b w:val="0"/>
          <w:i w:val="0"/>
          <w:color w:val="000000"/>
          <w:sz w:val="22"/>
        </w:rPr>
        <w:t>Shrivardhini N</w:t>
      </w:r>
      <w:r>
        <w:rPr>
          <w:rFonts w:ascii="Times New Roman" w:hAnsi="Times New Roman"/>
          <w:b w:val="0"/>
          <w:i w:val="0"/>
          <w:color w:val="000000"/>
          <w:sz w:val="14"/>
          <w:vertAlign w:val="superscript"/>
        </w:rPr>
        <w:t>1</w:t>
      </w:r>
      <w:r>
        <w:t xml:space="preserve">, </w:t>
      </w:r>
      <w:r>
        <w:br/>
      </w:r>
      <w:r>
        <w:rPr>
          <w:rFonts w:ascii="Times New Roman" w:hAnsi="Times New Roman"/>
          <w:b w:val="0"/>
          <w:i w:val="0"/>
          <w:color w:val="000000"/>
          <w:sz w:val="22"/>
        </w:rPr>
        <w:t>Haridasu Sreedhar</w:t>
      </w:r>
      <w:r>
        <w:rPr>
          <w:rFonts w:ascii="Times New Roman" w:hAnsi="Times New Roman"/>
          <w:b w:val="0"/>
          <w:i w:val="0"/>
          <w:color w:val="000000"/>
          <w:sz w:val="14"/>
          <w:vertAlign w:val="superscript"/>
        </w:rPr>
        <w:t>1</w:t>
      </w:r>
      <w:r>
        <w:t xml:space="preserve">, </w:t>
      </w:r>
      <w:r>
        <w:rPr>
          <w:rFonts w:ascii="Times New Roman" w:hAnsi="Times New Roman"/>
          <w:b w:val="0"/>
          <w:i w:val="0"/>
          <w:color w:val="000000"/>
          <w:sz w:val="22"/>
        </w:rPr>
        <w:t>Prof. Bhuvaneswari M</w:t>
      </w:r>
      <w:r>
        <w:rPr>
          <w:rFonts w:ascii="Times New Roman" w:hAnsi="Times New Roman"/>
          <w:b w:val="0"/>
          <w:i w:val="0"/>
          <w:color w:val="000000"/>
          <w:sz w:val="14"/>
          <w:vertAlign w:val="superscript"/>
        </w:rPr>
        <w:t>2</w:t>
      </w:r>
    </w:p>
    <w:p>
      <w:pPr>
        <w:spacing w:after="0"/>
        <w:jc w:val="center"/>
      </w:pPr>
      <w:r>
        <w:rPr>
          <w:rFonts w:ascii="Times New Roman" w:hAnsi="Times New Roman"/>
          <w:b w:val="0"/>
          <w:i w:val="0"/>
          <w:color w:val="000000"/>
          <w:sz w:val="14"/>
          <w:vertAlign w:val="superscript"/>
        </w:rPr>
        <w:t>1</w:t>
      </w:r>
      <w:r>
        <w:rPr>
          <w:rFonts w:ascii="Times New Roman" w:hAnsi="Times New Roman"/>
          <w:b w:val="0"/>
          <w:i w:val="0"/>
          <w:color w:val="000000"/>
          <w:sz w:val="20"/>
        </w:rPr>
        <w:t>School of Computer Science and Engineering, VIT Vellore</w:t>
      </w:r>
    </w:p>
    <w:p>
      <w:pPr>
        <w:spacing w:after="0"/>
        <w:jc w:val="center"/>
      </w:pPr>
      <w:r>
        <w:rPr>
          <w:rFonts w:ascii="Times New Roman" w:hAnsi="Times New Roman"/>
          <w:b w:val="0"/>
          <w:i w:val="0"/>
          <w:color w:val="000000"/>
          <w:sz w:val="14"/>
          <w:vertAlign w:val="superscript"/>
        </w:rPr>
        <w:t>2</w:t>
      </w:r>
      <w:r>
        <w:rPr>
          <w:rFonts w:ascii="Times New Roman" w:hAnsi="Times New Roman"/>
          <w:b w:val="0"/>
          <w:i w:val="0"/>
          <w:color w:val="000000"/>
          <w:sz w:val="20"/>
        </w:rPr>
        <w:t>Faculty Guide, School of Computer Science and Engineering, VIT Vellore</w:t>
      </w:r>
    </w:p>
    <w:p>
      <w:pPr>
        <w:spacing w:after="80"/>
        <w:jc w:val="center"/>
      </w:pPr>
      <w:r>
        <w:rPr>
          <w:rFonts w:ascii="Courier New" w:hAnsi="Courier New"/>
          <w:b w:val="0"/>
          <w:i w:val="0"/>
          <w:color w:val="000000"/>
          <w:sz w:val="17"/>
        </w:rPr>
        <w:t>atharva.sheersh2024@vitstudent.ac.in; diptesh.das2024@vitstudent.ac.in; shrivardhini.n2024@vitstudent.ac.in; haridasu.sreedhar2024@vitstudent.ac.in</w:t>
      </w:r>
    </w:p>
    <w:p>
      <w:pPr>
        <w:sectPr>
          <w:pgSz w:w="12240" w:h="15840"/>
          <w:pgMar w:top="1080" w:right="900" w:bottom="1440" w:left="900" w:header="432" w:footer="432" w:gutter="0"/>
          <w:cols w:space="360" w:num="1"/>
          <w:docGrid w:linePitch="360"/>
        </w:sectPr>
      </w:pPr>
    </w:p>
    <w:p>
      <w:pPr>
        <w:spacing w:after="40" w:lineRule="exact" w:line="190"/>
        <w:jc w:val="both"/>
      </w:pPr>
      <w:r>
        <w:rPr>
          <w:rFonts w:ascii="Times New Roman" w:hAnsi="Times New Roman"/>
          <w:b/>
          <w:i/>
          <w:color w:val="000000"/>
          <w:sz w:val="18"/>
        </w:rPr>
        <w:t>Abstract-</w:t>
      </w:r>
      <w:r>
        <w:rPr>
          <w:rFonts w:ascii="Times New Roman" w:hAnsi="Times New Roman"/>
          <w:b w:val="0"/>
          <w:i/>
          <w:color w:val="000000"/>
          <w:sz w:val="18"/>
        </w:rPr>
        <w:t>Restricted two-qubit connectivity forces a compiler to place logical qubits on physical sites and insert movement before nonlocal interactions. This paper studies QWeave as a correctness-first compiler rather than treating low depth alone as sufficient evidence. The deterministic path combines weighted initial mapping, strict local improvement, and shortest-path SWAP routing; identity mapping, Qiskit SABRE, and a small exact initial-mapping oracle are distinct references. We prove termination of the finite mapping descent, preservation of the routing layout invariant and supported unitary semantics, feasibility and fixed-DAG optimality of the list scheduler, equivalence of directed-CNOT lowering, and termination of the guarded learned route. These guarantees do not prove policy quality. That question is evaluated on frozen benchmark v2: 180 synthetic cases, five final training seeds, and 792 held-out outputs. Every tested output passed its applicable numerical semantic check and every direction-lowered cost circuit passed ordered-coupler legality. The paired GNN-PPO minus weighted depth difference was 0 gates with a 95% bootstrap interval of [0,0]; GNN-PPO and no-message-passing PPO also had paired median depth and SWAP differences of 0. Training improved markedly on an untrained policy, but the study supplies no evidence of a message-passing or learned-routing advantage over the deterministic references.</w:t>
      </w:r>
    </w:p>
    <w:p>
      <w:pPr>
        <w:spacing w:after="60"/>
        <w:jc w:val="both"/>
      </w:pPr>
      <w:r>
        <w:rPr>
          <w:rFonts w:ascii="Times New Roman" w:hAnsi="Times New Roman"/>
          <w:b/>
          <w:i/>
          <w:color w:val="000000"/>
          <w:sz w:val="18"/>
        </w:rPr>
        <w:t>Index Terms-</w:t>
      </w:r>
      <w:r>
        <w:rPr>
          <w:rFonts w:ascii="Times New Roman" w:hAnsi="Times New Roman"/>
          <w:b w:val="0"/>
          <w:i/>
          <w:color w:val="000000"/>
          <w:sz w:val="18"/>
        </w:rPr>
        <w:t>quantum compilation, qubit mapping, qubit routing, reinforcement learning, graph neural networks, scheduling</w:t>
      </w:r>
    </w:p>
    <w:p>
      <w:pPr>
        <w:spacing w:before="100" w:after="40"/>
        <w:jc w:val="center"/>
      </w:pPr>
      <w:r>
        <w:rPr>
          <w:rFonts w:ascii="Times New Roman" w:hAnsi="Times New Roman"/>
          <w:b w:val="0"/>
          <w:i w:val="0"/>
          <w:smallCaps/>
          <w:color w:val="000000"/>
          <w:sz w:val="20"/>
        </w:rPr>
        <w:t>I. INTRODUCTION</w:t>
      </w:r>
    </w:p>
    <w:p>
      <w:pPr>
        <w:spacing w:before="0" w:after="0" w:lineRule="exact" w:line="216"/>
        <w:ind w:firstLine="0"/>
        <w:jc w:val="both"/>
      </w:pPr>
      <w:r>
        <w:rPr>
          <w:rFonts w:ascii="Times New Roman" w:hAnsi="Times New Roman"/>
          <w:b w:val="0"/>
          <w:i w:val="0"/>
          <w:color w:val="000000"/>
          <w:sz w:val="20"/>
        </w:rPr>
        <w:t>Quantum algorithms are commonly written with unrestricted two-qubit interactions, whereas a device exposes a finite coupling graph. Compilation must therefore choose an initial placement and transform every nonlocal interaction into operations supported by that graph. Qiskit describes layout, routing, translation, optimization, and scheduling as separate stages [1]. SABRE uses bidirectional heuristic search for layout and SWAP selection [2]; it is consequently a substantive baseline.</w:t>
      </w:r>
    </w:p>
    <w:p>
      <w:pPr>
        <w:spacing w:before="0" w:after="0" w:lineRule="exact" w:line="216"/>
        <w:ind w:firstLine="202"/>
        <w:jc w:val="both"/>
      </w:pPr>
      <w:r>
        <w:rPr>
          <w:rFonts w:ascii="Times New Roman" w:hAnsi="Times New Roman"/>
          <w:b w:val="0"/>
          <w:i w:val="0"/>
          <w:color w:val="000000"/>
          <w:sz w:val="20"/>
        </w:rPr>
        <w:t>QWeave asks a narrower question: under a declared circuit language, topology, mapping convention, and validation protocol, what do deterministic placement, guarded learned routing, and post-routing scheduling each contribute? The answer requires more than an edge-legality check. An emitted circuit can use only valid couplers and still implement the wrong logical computation if a layout update, source SWAP, parameter, or classical destination is mishandled. For that reason, QWeave combines trace replay with numerical checks and keeps mapping, routing, scheduling, and direction lowering as separately reported stages.</w:t>
      </w:r>
    </w:p>
    <w:p>
      <w:pPr>
        <w:spacing w:before="0" w:after="0" w:lineRule="exact" w:line="216"/>
        <w:ind w:firstLine="202"/>
        <w:jc w:val="both"/>
      </w:pPr>
      <w:r>
        <w:rPr>
          <w:rFonts w:ascii="Times New Roman" w:hAnsi="Times New Roman"/>
          <w:b w:val="0"/>
          <w:i w:val="0"/>
          <w:color w:val="000000"/>
          <w:sz w:val="20"/>
        </w:rPr>
        <w:t>This paper contributes (i) an explicit deterministic compiler and adapter contract, (ii) formal correctness arguments for the invariants that can be proved from that contract, (iii) a guarded GNN-PPO implementation with message-passing and training controls, and (iv) a frozen held-out comparison with paired uncertainty estimates and counterexamples. Learning-based routing already exists [3], [4]; neither the use of PPO nor a graph encoder is claimed as novel. The result is also deliberately bounded: the tested policy does not outperform the weighted deterministic reference.</w:t>
      </w:r>
    </w:p>
    <w:p>
      <w:pPr>
        <w:spacing w:before="100" w:after="40"/>
        <w:jc w:val="center"/>
      </w:pPr>
      <w:r>
        <w:rPr>
          <w:rFonts w:ascii="Times New Roman" w:hAnsi="Times New Roman"/>
          <w:b w:val="0"/>
          <w:i w:val="0"/>
          <w:smallCaps/>
          <w:color w:val="000000"/>
          <w:sz w:val="20"/>
        </w:rPr>
        <w:t>II. RELATED WORK</w:t>
      </w:r>
    </w:p>
    <w:p>
      <w:pPr>
        <w:spacing w:before="0" w:after="0" w:lineRule="exact" w:line="216"/>
        <w:ind w:firstLine="0"/>
        <w:jc w:val="both"/>
      </w:pPr>
      <w:r>
        <w:rPr>
          <w:rFonts w:ascii="Times New Roman" w:hAnsi="Times New Roman"/>
          <w:b w:val="0"/>
          <w:i w:val="0"/>
          <w:color w:val="000000"/>
          <w:sz w:val="20"/>
        </w:rPr>
        <w:t>NISQ compilation sits between abstract circuit descriptions and devices whose connectivity, native gates, timing, and error characteristics constrain execution. Standard references establish the computational model and the NISQ setting, while Qiskit, OpenQL, and t|ket&gt; illustrate retargetable compiler stacks [5], [6], [7], [8], [9], [10], [11]. QWeave follows this staged view and reports placement, routing, lowering, and scheduling separately.</w:t>
      </w:r>
    </w:p>
    <w:p>
      <w:pPr>
        <w:spacing w:before="0" w:after="0" w:lineRule="exact" w:line="216"/>
        <w:ind w:firstLine="202"/>
        <w:jc w:val="both"/>
      </w:pPr>
      <w:r>
        <w:rPr>
          <w:rFonts w:ascii="Times New Roman" w:hAnsi="Times New Roman"/>
          <w:b w:val="0"/>
          <w:i w:val="0"/>
          <w:color w:val="000000"/>
          <w:sz w:val="20"/>
        </w:rPr>
        <w:t>Qubit mapping has been approached through compiler allocation, search, graph methods, and local rewriting. Siraichi et al. formulate allocation directly; Zulehner et al. use architecture-aware search; and Cowtan et al. and Childs et al. study routing independently of a particular device [12], [13], [14], [15]. Look-ahead nearest-neighbor optimization, exact minimum-SWAP search, subgraph-isomorphism placement, commutation-aware transformation, gate absorption, and topology-aware assignment further show that routing cost depends on both circuit structure and the permitted rewrite space [16], [17], [18], [19], [20], [21]. SABRE's bidirectional layout and heuristic SWAP search remains a substantive scalable baseline [2], [22].</w:t>
      </w:r>
    </w:p>
    <w:p>
      <w:pPr>
        <w:spacing w:before="0" w:after="0" w:lineRule="exact" w:line="216"/>
        <w:ind w:firstLine="202"/>
        <w:jc w:val="both"/>
      </w:pPr>
      <w:r>
        <w:rPr>
          <w:rFonts w:ascii="Times New Roman" w:hAnsi="Times New Roman"/>
          <w:b w:val="0"/>
          <w:i w:val="0"/>
          <w:color w:val="000000"/>
          <w:sz w:val="20"/>
        </w:rPr>
        <w:t>Connectivity is only one hardware constraint. Noise-adaptive, variability- aware, and error-aware compilers incorporate calibration information, while timing-aware mappers and scheduling studies distinguish depth from duration [23], [24], [25], [26], [27]. Full-stack hardware studies and teleportation-assisted mapping broaden the cost model beyond SWAP count [28], [29]. QWeave's hardware-cost study remains synthetic and therefore does not claim calibration-derived fidelity.</w:t>
      </w:r>
    </w:p>
    <w:p>
      <w:pPr>
        <w:spacing w:before="0" w:after="0" w:lineRule="exact" w:line="216"/>
        <w:ind w:firstLine="202"/>
        <w:jc w:val="both"/>
      </w:pPr>
      <w:r>
        <w:rPr>
          <w:rFonts w:ascii="Times New Roman" w:hAnsi="Times New Roman"/>
          <w:b w:val="0"/>
          <w:i w:val="0"/>
          <w:color w:val="000000"/>
          <w:sz w:val="20"/>
        </w:rPr>
        <w:t>Scaling beyond a monolithic coupling graph introduces partitioning and communication choices. Time-sliced partitioning, QUBO mapping for modular architectures, Hamiltonian-simulation-specific compilation, and structured design-space exploration expose tradeoffs between routing quality, latency, and compiler runtime [30], [31], [32], [33]. These methods motivate QWeave's explicit topology and metric declarations, although the present experiments use only connected single-device graphs.</w:t>
      </w:r>
    </w:p>
    <w:p>
      <w:pPr>
        <w:spacing w:before="0" w:after="0" w:lineRule="exact" w:line="216"/>
        <w:ind w:firstLine="202"/>
        <w:jc w:val="both"/>
      </w:pPr>
      <w:r>
        <w:rPr>
          <w:rFonts w:ascii="Times New Roman" w:hAnsi="Times New Roman"/>
          <w:b w:val="0"/>
          <w:i w:val="0"/>
          <w:color w:val="000000"/>
          <w:sz w:val="20"/>
        </w:rPr>
        <w:t>Learning-based mapping includes reinforcement-learning policies, learned initial layouts, and graph-guided search [3], [4], [34], [35]. QWeave uses an edge-conditioned actor-critic whose encoder draws on graph convolution and message passing, and whose update uses PPO with generalized advantage estimation [36], [37], [38], [39]. Neither PPO nor message passing is claimed as novel; the ablations test whether either helps under the frozen protocol.</w:t>
      </w:r>
    </w:p>
    <w:p>
      <w:pPr>
        <w:spacing w:before="0" w:after="0" w:lineRule="exact" w:line="216"/>
        <w:ind w:firstLine="202"/>
        <w:jc w:val="both"/>
      </w:pPr>
      <w:r>
        <w:rPr>
          <w:rFonts w:ascii="Times New Roman" w:hAnsi="Times New Roman"/>
          <w:b w:val="0"/>
          <w:i w:val="0"/>
          <w:color w:val="000000"/>
          <w:sz w:val="20"/>
        </w:rPr>
        <w:t>Exact optimization and automated planning provide reference solutions for small instances. Integer programming can jointly model assignment and routing, whereas temporal planning represents hardware actions and resource constraints [40], [41], [42]. QWeave's CP-SAT component is intentionally smaller: it optimizes only a static initial-mapping surrogate for at most eight logical qubits and therefore cannot certify minimum SWAP count or routed depth.</w:t>
      </w:r>
    </w:p>
    <w:p>
      <w:pPr>
        <w:spacing w:before="0" w:after="0" w:lineRule="exact" w:line="216"/>
        <w:ind w:firstLine="202"/>
        <w:jc w:val="both"/>
      </w:pPr>
      <w:r>
        <w:rPr>
          <w:rFonts w:ascii="Times New Roman" w:hAnsi="Times New Roman"/>
          <w:b w:val="0"/>
          <w:i w:val="0"/>
          <w:color w:val="000000"/>
          <w:sz w:val="20"/>
        </w:rPr>
        <w:t>Evaluation methodology also affects conclusions. Interaction-graph characterization, randomized model circuits, volumetric benchmarks, holistic stack benchmarks, SupermarQ, and QASMBench emphasize complementary notions of scale, structure, capability, and application relevance [43], [44], [45], [46], [47], [48]. QWeave consequently freezes circuit families, topologies, seeds, validity checks, and paired statistics before interpreting method-level differences.</w:t>
      </w:r>
    </w:p>
    <w:p>
      <w:pPr>
        <w:spacing w:before="100" w:after="40"/>
        <w:jc w:val="center"/>
      </w:pPr>
      <w:r>
        <w:rPr>
          <w:rFonts w:ascii="Times New Roman" w:hAnsi="Times New Roman"/>
          <w:b w:val="0"/>
          <w:i w:val="0"/>
          <w:smallCaps/>
          <w:color w:val="000000"/>
          <w:sz w:val="20"/>
        </w:rPr>
        <w:t>III. PROBLEM FORMULATION AND DETERMINISTIC PATH</w:t>
      </w:r>
    </w:p>
    <w:p>
      <w:pPr>
        <w:spacing w:before="0" w:after="0" w:lineRule="exact" w:line="216"/>
        <w:ind w:firstLine="0"/>
        <w:jc w:val="both"/>
      </w:pPr>
      <w:r>
        <w:rPr>
          <w:rFonts w:ascii="Times New Roman" w:hAnsi="Times New Roman"/>
          <w:b w:val="0"/>
          <w:i w:val="0"/>
          <w:color w:val="000000"/>
          <w:sz w:val="20"/>
        </w:rPr>
        <w:t>Let C=(g_1,...,g_T) be an ordered supported circuit on logical qubits L=0,...,n-1 and let H=(P,E_H) be a connected undirected routing graph. An initial mapping m_0:L-&gt; P is injective and uses the convention m(logical)=physical. The interaction graph G_C includes isolated logical qubits. An edge (i,j) has weight w_ij equal to its two-qubit interaction count. QWeave minimizes the placement surrogate</w:t>
      </w:r>
    </w:p>
    <w:p>
      <w:pPr>
        <w:spacing w:line="240" w:lineRule="auto" w:before="40" w:after="40"/>
        <w:jc w:val="center"/>
      </w:pPr>
      <w:r>
        <w:drawing>
          <wp:inline xmlns:a="http://schemas.openxmlformats.org/drawingml/2006/main" xmlns:pic="http://schemas.openxmlformats.org/drawingml/2006/picture">
            <wp:extent cx="2971800" cy="502544"/>
            <wp:docPr id="1" name="Picture 1"/>
            <wp:cNvGraphicFramePr>
              <a:graphicFrameLocks noChangeAspect="1"/>
            </wp:cNvGraphicFramePr>
            <a:graphic>
              <a:graphicData uri="http://schemas.openxmlformats.org/drawingml/2006/picture">
                <pic:pic>
                  <pic:nvPicPr>
                    <pic:cNvPr id="0" name="equation_1.png"/>
                    <pic:cNvPicPr/>
                  </pic:nvPicPr>
                  <pic:blipFill>
                    <a:blip r:embed="rId9"/>
                    <a:stretch>
                      <a:fillRect/>
                    </a:stretch>
                  </pic:blipFill>
                  <pic:spPr>
                    <a:xfrm>
                      <a:off x="0" y="0"/>
                      <a:ext cx="2971800" cy="502544"/>
                    </a:xfrm>
                    <a:prstGeom prst="rect"/>
                  </pic:spPr>
                </pic:pic>
              </a:graphicData>
            </a:graphic>
          </wp:inline>
        </w:drawing>
      </w:r>
    </w:p>
    <w:p>
      <w:pPr>
        <w:spacing w:before="0" w:after="0" w:lineRule="exact" w:line="216"/>
        <w:ind w:firstLine="202"/>
        <w:jc w:val="both"/>
      </w:pPr>
      <w:r>
        <w:rPr>
          <w:rFonts w:ascii="Times New Roman" w:hAnsi="Times New Roman"/>
          <w:b w:val="0"/>
          <w:i w:val="0"/>
          <w:color w:val="000000"/>
          <w:sz w:val="20"/>
        </w:rPr>
        <w:t>where d_H is shortest-path distance. Optional temporal decay replaces an interaction count by ^t, but benchmark v2 uses integer counts.</w:t>
      </w:r>
    </w:p>
    <w:p>
      <w:pPr>
        <w:spacing w:before="0" w:after="0" w:lineRule="exact" w:line="216"/>
        <w:ind w:firstLine="202"/>
        <w:jc w:val="both"/>
      </w:pPr>
      <w:r>
        <w:rPr>
          <w:rFonts w:ascii="Times New Roman" w:hAnsi="Times New Roman"/>
          <w:b w:val="0"/>
          <w:i w:val="0"/>
          <w:color w:val="000000"/>
          <w:sz w:val="20"/>
        </w:rPr>
        <w:t>The mapper places a high weighted-degree logical qubit on a high-centrality physical node, then greedily assigns the remaining logical qubits using interaction weight and partial distance cost. Deterministic ordering resolves ties. Pairwise local search evaluates exchanges of occupied physical sites and accepts the best exchange only when it strictly decreases J.</w:t>
      </w:r>
    </w:p>
    <w:p>
      <w:pPr>
        <w:spacing w:before="0" w:after="0" w:lineRule="exact" w:line="216"/>
        <w:ind w:firstLine="202"/>
        <w:jc w:val="both"/>
      </w:pPr>
      <w:r>
        <w:rPr>
          <w:rFonts w:ascii="Times New Roman" w:hAnsi="Times New Roman"/>
          <w:b w:val="0"/>
          <w:i w:val="0"/>
          <w:color w:val="000000"/>
          <w:sz w:val="20"/>
        </w:rPr>
        <w:t>For each source operation, the deterministic router emits an adjacent one- or two-qubit gate immediately. If a two-qubit gate is nonlocal, it selects a deterministic shortest path and moves the first logical qubit toward the second through edge-local SWAPs. Both forward and inverse layouts are updated after every inserted SWAP. The Basic reference supplies identity mapping to this router; weighted mapping supplies the greedy local-search layout. SABRE is a separate Qiskit compiler path with a fixed seed.</w:t>
      </w:r>
    </w:p>
    <w:p>
      <w:pPr>
        <w:spacing w:before="0" w:after="0" w:lineRule="exact" w:line="216"/>
        <w:ind w:firstLine="202"/>
        <w:jc w:val="both"/>
      </w:pPr>
      <w:r>
        <w:rPr>
          <w:rFonts w:ascii="Times New Roman" w:hAnsi="Times New Roman"/>
          <w:b w:val="0"/>
          <w:i w:val="0"/>
          <w:color w:val="000000"/>
          <w:sz w:val="20"/>
        </w:rPr>
        <w:t>The Qiskit adapter accepts unconditioned one- and two-qubit gates, one-qubit resets, and a terminal measurement suffix while preserving global phase and classical destinations. It rejects barriers, higher-arity gates, dynamic control flow, and classically conditioned operations instead of silently passing unsupported semantics. A trace records one event for each source gate or inserted SWAP. Replay checks source order, parameters, targets, layout updates, and the final mapping. SABRE receives both orientations of every undirected routing edge so all methods share the same adjacency interpretation.</w:t>
      </w:r>
    </w:p>
    <w:p>
      <w:pPr>
        <w:spacing w:before="100" w:after="40"/>
        <w:jc w:val="center"/>
      </w:pPr>
      <w:r>
        <w:rPr>
          <w:rFonts w:ascii="Times New Roman" w:hAnsi="Times New Roman"/>
          <w:b w:val="0"/>
          <w:i w:val="0"/>
          <w:smallCaps/>
          <w:color w:val="000000"/>
          <w:sz w:val="20"/>
        </w:rPr>
        <w:t>IV. FORMAL CORRECTNESS ARGUMENTS</w:t>
      </w:r>
    </w:p>
    <w:p>
      <w:pPr>
        <w:spacing w:before="0" w:after="0" w:lineRule="exact" w:line="244"/>
        <w:ind w:firstLine="0"/>
        <w:jc w:val="both"/>
      </w:pPr>
      <w:r>
        <w:rPr>
          <w:rFonts w:ascii="Times New Roman" w:hAnsi="Times New Roman"/>
          <w:b w:val="0"/>
          <w:i w:val="0"/>
          <w:color w:val="000000"/>
          <w:sz w:val="22"/>
        </w:rPr>
        <w:t>The propositions below cover algorithmic invariants under the stated input contract. They do not establish that the static objective predicts minimum route cost, that a learned policy is good, or that finite numerical probes are a proof over all inputs.</w:t>
      </w:r>
    </w:p>
    <w:p>
      <w:pPr>
        <w:spacing w:before="40"/>
      </w:pPr>
      <w:r>
        <w:rPr>
          <w:rFonts w:ascii="Times New Roman" w:hAnsi="Times New Roman"/>
          <w:b/>
          <w:i/>
          <w:color w:val="000000"/>
          <w:sz w:val="23"/>
        </w:rPr>
        <w:t xml:space="preserve">Proposition 1 (mapping-search termination). </w:t>
      </w:r>
    </w:p>
    <w:p>
      <w:pPr>
        <w:spacing w:before="0" w:after="0" w:lineRule="exact" w:line="244"/>
        <w:ind w:firstLine="0"/>
        <w:jc w:val="both"/>
      </w:pPr>
      <w:r>
        <w:rPr>
          <w:rFonts w:ascii="Times New Roman" w:hAnsi="Times New Roman"/>
          <w:b w:val="0"/>
          <w:i w:val="0"/>
          <w:color w:val="000000"/>
          <w:sz w:val="22"/>
        </w:rPr>
        <w:t>The strict pair-exchange local search terminates after finitely many accepted moves.</w:t>
      </w:r>
    </w:p>
    <w:p>
      <w:pPr>
        <w:spacing w:before="40"/>
      </w:pPr>
      <w:r>
        <w:rPr>
          <w:rFonts w:ascii="Times New Roman" w:hAnsi="Times New Roman"/>
          <w:b/>
          <w:i/>
          <w:color w:val="000000"/>
          <w:sz w:val="23"/>
        </w:rPr>
        <w:t xml:space="preserve">Proof. </w:t>
      </w:r>
    </w:p>
    <w:p>
      <w:pPr>
        <w:spacing w:before="0" w:after="0" w:lineRule="exact" w:line="244"/>
        <w:ind w:firstLine="0"/>
        <w:jc w:val="both"/>
      </w:pPr>
      <w:r>
        <w:rPr>
          <w:rFonts w:ascii="Times New Roman" w:hAnsi="Times New Roman"/>
          <w:b w:val="0"/>
          <w:i w:val="0"/>
          <w:color w:val="000000"/>
          <w:sz w:val="22"/>
        </w:rPr>
        <w:t>There are |P|!/(|P|-|L|)! injective maps from L to P, so the search space is finite. Every accepted move produces a previously unvisited objective level with strictly smaller J. A strictly descending sequence over a finite set cannot be infinite. The implementation's iteration cap is therefore an additional guard, not the basis of termination.</w:t>
      </w:r>
    </w:p>
    <w:p>
      <w:pPr>
        <w:spacing w:before="40"/>
      </w:pPr>
      <w:r>
        <w:rPr>
          <w:rFonts w:ascii="Times New Roman" w:hAnsi="Times New Roman"/>
          <w:b/>
          <w:i/>
          <w:color w:val="000000"/>
          <w:sz w:val="23"/>
        </w:rPr>
        <w:t xml:space="preserve">Proposition 2 (layout and legality invariant). </w:t>
      </w:r>
    </w:p>
    <w:p>
      <w:pPr>
        <w:spacing w:before="0" w:after="0" w:lineRule="exact" w:line="244"/>
        <w:ind w:firstLine="0"/>
        <w:jc w:val="both"/>
      </w:pPr>
      <w:r>
        <w:rPr>
          <w:rFonts w:ascii="Times New Roman" w:hAnsi="Times New Roman"/>
          <w:b w:val="0"/>
          <w:i w:val="0"/>
          <w:color w:val="000000"/>
          <w:sz w:val="22"/>
        </w:rPr>
        <w:t>After every emitted operation, the forward layout remains injective, its inverse agrees on occupied sites, and every emitted two-qubit operation uses an edge of E_H.</w:t>
      </w:r>
    </w:p>
    <w:p>
      <w:pPr>
        <w:spacing w:before="40"/>
      </w:pPr>
      <w:r>
        <w:rPr>
          <w:rFonts w:ascii="Times New Roman" w:hAnsi="Times New Roman"/>
          <w:b/>
          <w:i/>
          <w:color w:val="000000"/>
          <w:sz w:val="23"/>
        </w:rPr>
        <w:t xml:space="preserve">Proof. </w:t>
      </w:r>
    </w:p>
    <w:p>
      <w:pPr>
        <w:spacing w:before="0" w:after="0" w:lineRule="exact" w:line="244"/>
        <w:ind w:firstLine="0"/>
        <w:jc w:val="both"/>
      </w:pPr>
      <w:r>
        <w:rPr>
          <w:rFonts w:ascii="Times New Roman" w:hAnsi="Times New Roman"/>
          <w:b w:val="0"/>
          <w:i w:val="0"/>
          <w:color w:val="000000"/>
          <w:sz w:val="22"/>
        </w:rPr>
        <w:t>The claim holds initially by the mapping contract. An inserted SWAP exchanges the logical occupants of two adjacent physical sites; updating both maps by the same transposition preserves injectivity and inverse agreement. A source one-qubit gate cannot violate edge legality. A source two-qubit gate is emitted only when its current images are adjacent, either immediately or after the shortest-path swaps. Induction over the emitted sequence proves the claim.</w:t>
      </w:r>
    </w:p>
    <w:p>
      <w:pPr>
        <w:spacing w:before="40"/>
      </w:pPr>
      <w:r>
        <w:rPr>
          <w:rFonts w:ascii="Times New Roman" w:hAnsi="Times New Roman"/>
          <w:b/>
          <w:i/>
          <w:color w:val="000000"/>
          <w:sz w:val="23"/>
        </w:rPr>
        <w:t xml:space="preserve">Theorem 1 (supported unitary semantics). </w:t>
      </w:r>
    </w:p>
    <w:p>
      <w:pPr>
        <w:spacing w:before="0" w:after="0" w:lineRule="exact" w:line="244"/>
        <w:ind w:firstLine="0"/>
        <w:jc w:val="both"/>
      </w:pPr>
      <w:r>
        <w:rPr>
          <w:rFonts w:ascii="Times New Roman" w:hAnsi="Times New Roman"/>
          <w:b w:val="0"/>
          <w:i w:val="0"/>
          <w:color w:val="000000"/>
          <w:sz w:val="22"/>
        </w:rPr>
        <w:t>For an equal-width circuit containing only supported unitary one- and two-qubit gates, let R_k be the physical route after the first k source gates, let C_k be the corresponding logical prefix, and let m_k be the current layout. With P_m denoting the wire permutation induced by m,</w:t>
      </w:r>
    </w:p>
    <w:p>
      <w:pPr>
        <w:spacing w:line="240" w:lineRule="auto" w:before="40" w:after="40"/>
        <w:jc w:val="center"/>
      </w:pPr>
      <w:r>
        <w:drawing>
          <wp:inline xmlns:a="http://schemas.openxmlformats.org/drawingml/2006/main" xmlns:pic="http://schemas.openxmlformats.org/drawingml/2006/picture">
            <wp:extent cx="2971800" cy="306316"/>
            <wp:docPr id="2" name="Picture 2"/>
            <wp:cNvGraphicFramePr>
              <a:graphicFrameLocks noChangeAspect="1"/>
            </wp:cNvGraphicFramePr>
            <a:graphic>
              <a:graphicData uri="http://schemas.openxmlformats.org/drawingml/2006/picture">
                <pic:pic>
                  <pic:nvPicPr>
                    <pic:cNvPr id="0" name="equation_2.png"/>
                    <pic:cNvPicPr/>
                  </pic:nvPicPr>
                  <pic:blipFill>
                    <a:blip r:embed="rId10"/>
                    <a:stretch>
                      <a:fillRect/>
                    </a:stretch>
                  </pic:blipFill>
                  <pic:spPr>
                    <a:xfrm>
                      <a:off x="0" y="0"/>
                      <a:ext cx="2971800" cy="306316"/>
                    </a:xfrm>
                    <a:prstGeom prst="rect"/>
                  </pic:spPr>
                </pic:pic>
              </a:graphicData>
            </a:graphic>
          </wp:inline>
        </w:drawing>
      </w:r>
    </w:p>
    <w:p>
      <w:pPr>
        <w:spacing w:before="40"/>
      </w:pPr>
      <w:r>
        <w:rPr>
          <w:rFonts w:ascii="Times New Roman" w:hAnsi="Times New Roman"/>
          <w:b/>
          <w:i/>
          <w:color w:val="000000"/>
          <w:sz w:val="23"/>
        </w:rPr>
        <w:t xml:space="preserve">Proof. </w:t>
      </w:r>
    </w:p>
    <w:p>
      <w:pPr>
        <w:spacing w:before="0" w:after="0" w:lineRule="exact" w:line="244"/>
        <w:ind w:firstLine="0"/>
        <w:jc w:val="both"/>
      </w:pPr>
      <w:r>
        <w:rPr>
          <w:rFonts w:ascii="Times New Roman" w:hAnsi="Times New Roman"/>
          <w:b w:val="0"/>
          <w:i w:val="0"/>
          <w:color w:val="000000"/>
          <w:sz w:val="22"/>
        </w:rPr>
        <w:t>At k=0 both prefixes are identities, so the equality holds. Assume it holds through source gate k. Every inserted physical SWAP permutes two adjacent wires, and the layout update records exactly that same transposition. The physical state interpreted through the updated layout therefore represents the same logical state. Once the operands are adjacent, applying the source gate to their current physical images has the same action as applying the logical gate before the current wire permutation. Composing these steps with the induction hypothesis proves the invariant for k+1. At k=T, the final routed unitary equals the logical unitary up to the declared initial and final permutations.</w:t>
      </w:r>
    </w:p>
    <w:p>
      <w:pPr>
        <w:spacing w:before="40"/>
      </w:pPr>
      <w:r>
        <w:rPr>
          <w:rFonts w:ascii="Times New Roman" w:hAnsi="Times New Roman"/>
          <w:b/>
          <w:i/>
          <w:color w:val="000000"/>
          <w:sz w:val="23"/>
        </w:rPr>
        <w:t xml:space="preserve">Proposition 3 (fixed-route scheduling). </w:t>
      </w:r>
    </w:p>
    <w:p>
      <w:pPr>
        <w:spacing w:before="0" w:after="0" w:lineRule="exact" w:line="244"/>
        <w:ind w:firstLine="0"/>
        <w:jc w:val="both"/>
      </w:pPr>
      <w:r>
        <w:rPr>
          <w:rFonts w:ascii="Times New Roman" w:hAnsi="Times New Roman"/>
          <w:b w:val="0"/>
          <w:i w:val="0"/>
          <w:color w:val="000000"/>
          <w:sz w:val="22"/>
        </w:rPr>
        <w:t>For positive operation durations and no resource constraints beyond physical qubit exclusivity, the list scheduler returns a feasible schedule. Its makespan equals the weighted critical-path length of the fixed per-qubit precedence DAG and is therefore minimal among schedules that preserve that DAG.</w:t>
      </w:r>
    </w:p>
    <w:p>
      <w:pPr>
        <w:spacing w:before="40"/>
      </w:pPr>
      <w:r>
        <w:rPr>
          <w:rFonts w:ascii="Times New Roman" w:hAnsi="Times New Roman"/>
          <w:b/>
          <w:i/>
          <w:color w:val="000000"/>
          <w:sz w:val="23"/>
        </w:rPr>
        <w:t xml:space="preserve">Proof. </w:t>
      </w:r>
    </w:p>
    <w:p>
      <w:pPr>
        <w:spacing w:before="0" w:after="0" w:lineRule="exact" w:line="244"/>
        <w:ind w:firstLine="0"/>
        <w:jc w:val="both"/>
      </w:pPr>
      <w:r>
        <w:rPr>
          <w:rFonts w:ascii="Times New Roman" w:hAnsi="Times New Roman"/>
          <w:b w:val="0"/>
          <w:i w:val="0"/>
          <w:color w:val="000000"/>
          <w:sz w:val="22"/>
        </w:rPr>
        <w:t>The DAG contains an edge between successive operations on each physical qubit. Consequently, incomparable ready operations share no qubit and may overlap. For operation i, the scheduler uses</w:t>
      </w:r>
    </w:p>
    <w:p>
      <w:pPr>
        <w:spacing w:line="240" w:lineRule="auto" w:before="40" w:after="40"/>
        <w:jc w:val="center"/>
      </w:pPr>
      <w:r>
        <w:drawing>
          <wp:inline xmlns:a="http://schemas.openxmlformats.org/drawingml/2006/main" xmlns:pic="http://schemas.openxmlformats.org/drawingml/2006/picture">
            <wp:extent cx="2971800" cy="324394"/>
            <wp:docPr id="3" name="Picture 3"/>
            <wp:cNvGraphicFramePr>
              <a:graphicFrameLocks noChangeAspect="1"/>
            </wp:cNvGraphicFramePr>
            <a:graphic>
              <a:graphicData uri="http://schemas.openxmlformats.org/drawingml/2006/picture">
                <pic:pic>
                  <pic:nvPicPr>
                    <pic:cNvPr id="0" name="equation_3.png"/>
                    <pic:cNvPicPr/>
                  </pic:nvPicPr>
                  <pic:blipFill>
                    <a:blip r:embed="rId11"/>
                    <a:stretch>
                      <a:fillRect/>
                    </a:stretch>
                  </pic:blipFill>
                  <pic:spPr>
                    <a:xfrm>
                      <a:off x="0" y="0"/>
                      <a:ext cx="2971800" cy="324394"/>
                    </a:xfrm>
                    <a:prstGeom prst="rect"/>
                  </pic:spPr>
                </pic:pic>
              </a:graphicData>
            </a:graphic>
          </wp:inline>
        </w:drawing>
      </w:r>
    </w:p>
    <w:p>
      <w:pPr>
        <w:spacing w:before="0" w:after="0" w:lineRule="exact" w:line="244"/>
        <w:ind w:firstLine="202"/>
        <w:jc w:val="both"/>
      </w:pPr>
      <w:r>
        <w:rPr>
          <w:rFonts w:ascii="Times New Roman" w:hAnsi="Times New Roman"/>
          <w:b w:val="0"/>
          <w:i w:val="0"/>
          <w:color w:val="000000"/>
          <w:sz w:val="22"/>
        </w:rPr>
        <w:t>with an empty maximum equal to zero. Thus each operation starts after every predecessor finishes, proving feasibility. Every schedule respecting the DAG has makespan at least its weighted critical path. Earliest-start recursion attains that bound, so the returned makespan is optimal for this fixed DAG. This statement does not allow gate commutation or model control electronics.</w:t>
      </w:r>
    </w:p>
    <w:p>
      <w:pPr>
        <w:spacing w:before="40"/>
      </w:pPr>
      <w:r>
        <w:rPr>
          <w:rFonts w:ascii="Times New Roman" w:hAnsi="Times New Roman"/>
          <w:b/>
          <w:i/>
          <w:color w:val="000000"/>
          <w:sz w:val="23"/>
        </w:rPr>
        <w:t xml:space="preserve">Proposition 4 (directed lowering). </w:t>
      </w:r>
    </w:p>
    <w:p>
      <w:pPr>
        <w:spacing w:before="0" w:after="0" w:lineRule="exact" w:line="244"/>
        <w:ind w:firstLine="0"/>
        <w:jc w:val="both"/>
      </w:pPr>
      <w:r>
        <w:rPr>
          <w:rFonts w:ascii="Times New Roman" w:hAnsi="Times New Roman"/>
          <w:b w:val="0"/>
          <w:i w:val="0"/>
          <w:color w:val="000000"/>
          <w:sz w:val="22"/>
        </w:rPr>
        <w:t>If at least one orientation of an undirected routing edge supports CNOT, the lowering pass implements either requested CNOT orientation and an edge-local SWAP using only declared directed CNOTs and one-qubit Hadamards.</w:t>
      </w:r>
    </w:p>
    <w:p>
      <w:pPr>
        <w:spacing w:before="40"/>
      </w:pPr>
      <w:r>
        <w:rPr>
          <w:rFonts w:ascii="Times New Roman" w:hAnsi="Times New Roman"/>
          <w:b/>
          <w:i/>
          <w:color w:val="000000"/>
          <w:sz w:val="23"/>
        </w:rPr>
        <w:t xml:space="preserve">Proof. </w:t>
      </w:r>
    </w:p>
    <w:p>
      <w:pPr>
        <w:spacing w:before="0" w:after="0" w:lineRule="exact" w:line="244"/>
        <w:ind w:firstLine="0"/>
        <w:jc w:val="both"/>
      </w:pPr>
      <w:r>
        <w:rPr>
          <w:rFonts w:ascii="Times New Roman" w:hAnsi="Times New Roman"/>
          <w:b w:val="0"/>
          <w:i w:val="0"/>
          <w:color w:val="000000"/>
          <w:sz w:val="22"/>
        </w:rPr>
        <w:t>For a supported physical CNOT directed from v to u, the opposite orientation satisfies</w:t>
      </w:r>
    </w:p>
    <w:p>
      <w:pPr>
        <w:spacing w:line="240" w:lineRule="auto" w:before="40" w:after="40"/>
        <w:jc w:val="center"/>
      </w:pPr>
      <w:r>
        <w:drawing>
          <wp:inline xmlns:a="http://schemas.openxmlformats.org/drawingml/2006/main" xmlns:pic="http://schemas.openxmlformats.org/drawingml/2006/picture">
            <wp:extent cx="2971800" cy="271694"/>
            <wp:docPr id="4" name="Picture 4"/>
            <wp:cNvGraphicFramePr>
              <a:graphicFrameLocks noChangeAspect="1"/>
            </wp:cNvGraphicFramePr>
            <a:graphic>
              <a:graphicData uri="http://schemas.openxmlformats.org/drawingml/2006/picture">
                <pic:pic>
                  <pic:nvPicPr>
                    <pic:cNvPr id="0" name="equation_4.png"/>
                    <pic:cNvPicPr/>
                  </pic:nvPicPr>
                  <pic:blipFill>
                    <a:blip r:embed="rId12"/>
                    <a:stretch>
                      <a:fillRect/>
                    </a:stretch>
                  </pic:blipFill>
                  <pic:spPr>
                    <a:xfrm>
                      <a:off x="0" y="0"/>
                      <a:ext cx="2971800" cy="271694"/>
                    </a:xfrm>
                    <a:prstGeom prst="rect"/>
                  </pic:spPr>
                </pic:pic>
              </a:graphicData>
            </a:graphic>
          </wp:inline>
        </w:drawing>
      </w:r>
    </w:p>
    <w:p>
      <w:pPr>
        <w:spacing w:before="0" w:after="0" w:lineRule="exact" w:line="244"/>
        <w:ind w:firstLine="202"/>
        <w:jc w:val="both"/>
      </w:pPr>
      <w:r>
        <w:rPr>
          <w:rFonts w:ascii="Times New Roman" w:hAnsi="Times New Roman"/>
          <w:b w:val="0"/>
          <w:i w:val="0"/>
          <w:color w:val="000000"/>
          <w:sz w:val="22"/>
        </w:rPr>
        <w:t>An undirected SWAP is three alternating CNOTs. Replacing each unavailable orientation by (4) preserves the product unitary and leaves every two-qubit instruction on an allowed ordered arc.</w:t>
      </w:r>
    </w:p>
    <w:p>
      <w:pPr>
        <w:spacing w:before="40"/>
      </w:pPr>
      <w:r>
        <w:rPr>
          <w:rFonts w:ascii="Times New Roman" w:hAnsi="Times New Roman"/>
          <w:b/>
          <w:i/>
          <w:color w:val="000000"/>
          <w:sz w:val="23"/>
        </w:rPr>
        <w:t xml:space="preserve">Proposition 5 (guarded-route termination). </w:t>
      </w:r>
    </w:p>
    <w:p>
      <w:pPr>
        <w:spacing w:before="0" w:after="0" w:lineRule="exact" w:line="244"/>
        <w:ind w:firstLine="0"/>
        <w:jc w:val="both"/>
      </w:pPr>
      <w:r>
        <w:rPr>
          <w:rFonts w:ascii="Times New Roman" w:hAnsi="Times New Roman"/>
          <w:b w:val="0"/>
          <w:i w:val="0"/>
          <w:color w:val="000000"/>
          <w:sz w:val="22"/>
        </w:rPr>
        <w:t>For a finite supported circuit on a finite connected routing graph, the guarded learned environment terminates and returns a legal route.</w:t>
      </w:r>
    </w:p>
    <w:p>
      <w:pPr>
        <w:spacing w:before="40"/>
      </w:pPr>
      <w:r>
        <w:rPr>
          <w:rFonts w:ascii="Times New Roman" w:hAnsi="Times New Roman"/>
          <w:b/>
          <w:i/>
          <w:color w:val="000000"/>
          <w:sz w:val="23"/>
        </w:rPr>
        <w:t xml:space="preserve">Proof. </w:t>
      </w:r>
    </w:p>
    <w:p>
      <w:pPr>
        <w:spacing w:before="0" w:after="0" w:lineRule="exact" w:line="244"/>
        <w:ind w:firstLine="0"/>
        <w:jc w:val="both"/>
      </w:pPr>
      <w:r>
        <w:rPr>
          <w:rFonts w:ascii="Times New Roman" w:hAnsi="Times New Roman"/>
          <w:b w:val="0"/>
          <w:i w:val="0"/>
          <w:color w:val="000000"/>
          <w:sz w:val="22"/>
        </w:rPr>
        <w:t>Each policy-controlled segment has a finite step limit. On repeated nonprogress or exhaustion, fallback selects a finite shortest path, performs adjacent swaps, and executes the current gate. Hence fallback advances the source index. A finite circuit permits only finitely many such advances, and Proposition 2 gives legality for every fallback operation. Replay validation must succeed before the environment returns a result.</w:t>
      </w:r>
    </w:p>
    <w:p>
      <w:pPr>
        <w:spacing w:before="100" w:after="40"/>
        <w:jc w:val="center"/>
      </w:pPr>
      <w:r>
        <w:rPr>
          <w:rFonts w:ascii="Times New Roman" w:hAnsi="Times New Roman"/>
          <w:b w:val="0"/>
          <w:i w:val="0"/>
          <w:smallCaps/>
          <w:color w:val="000000"/>
          <w:sz w:val="20"/>
        </w:rPr>
        <w:t>V. LEARNED ROUTER</w:t>
      </w:r>
    </w:p>
    <w:p>
      <w:pPr>
        <w:spacing w:before="0" w:after="0" w:lineRule="exact" w:line="216"/>
        <w:ind w:firstLine="0"/>
        <w:jc w:val="both"/>
      </w:pPr>
      <w:r>
        <w:rPr>
          <w:rFonts w:ascii="Times New Roman" w:hAnsi="Times New Roman"/>
          <w:b w:val="0"/>
          <w:i w:val="0"/>
          <w:color w:val="000000"/>
          <w:sz w:val="20"/>
        </w:rPr>
        <w:t>The Gymnasium environment exposes an Execute action and one SWAP action for every sorted hardware edge. Its observation contains five features per physical node, four per hardware edge, a five-value frontier description, the current logical-to-physical mapping, and a binary legal-action mask. Illegal actions do not mutate the circuit or layout. Fallback counts are reported because the termination guard can conceal a weak policy.</w:t>
      </w:r>
    </w:p>
    <w:p>
      <w:pPr>
        <w:spacing w:before="0" w:after="0" w:lineRule="exact" w:line="216"/>
        <w:ind w:firstLine="202"/>
        <w:jc w:val="both"/>
      </w:pPr>
      <w:r>
        <w:rPr>
          <w:rFonts w:ascii="Times New Roman" w:hAnsi="Times New Roman"/>
          <w:b w:val="0"/>
          <w:i w:val="0"/>
          <w:color w:val="000000"/>
          <w:sz w:val="20"/>
        </w:rPr>
        <w:t>The actor-critic performs two rounds of edge-conditioned message passing and scores every edge SWAP plus Execute. PPO uses clipped policy ratios, generalized advantage estimation, value and entropy terms, and gradient clipping [38], [39]. A zero-message-passing PPO control preserves the optimizer and reward, while an untrained graph control preserves the architecture without PPO updates. All variants start from the weighted deterministic map, making this a routing-policy comparison rather than a learned-layout experiment.</w:t>
      </w:r>
    </w:p>
    <w:p>
      <w:pPr>
        <w:spacing w:before="100" w:after="40"/>
        <w:jc w:val="center"/>
      </w:pPr>
      <w:r>
        <w:rPr>
          <w:rFonts w:ascii="Times New Roman" w:hAnsi="Times New Roman"/>
          <w:b w:val="0"/>
          <w:i w:val="0"/>
          <w:smallCaps/>
          <w:color w:val="000000"/>
          <w:sz w:val="20"/>
        </w:rPr>
        <w:t>VI. VALIDATION AND EXPERIMENTAL PROTOCOL</w:t>
      </w:r>
    </w:p>
    <w:p>
      <w:pPr>
        <w:spacing w:before="0" w:after="0" w:lineRule="exact" w:line="216"/>
        <w:ind w:firstLine="0"/>
        <w:jc w:val="both"/>
      </w:pPr>
      <w:r>
        <w:rPr>
          <w:rFonts w:ascii="Times New Roman" w:hAnsi="Times New Roman"/>
          <w:b w:val="0"/>
          <w:i w:val="0"/>
          <w:color w:val="000000"/>
          <w:sz w:val="20"/>
        </w:rPr>
        <w:t>Structural replay checks mapping completeness, injectivity, source-gate order, inserted SWAP consistency, global phase, and edge legality. For equal-width unitary circuits of at most six qubits, QWeave evaluates (2) at k=T as an exact operator equality. Wider unitary circuits and outputs with idle physical sites use reproducible layout-aware statevector probes up to 12 physical qubits. Exact equality is a semantic proof for the evaluated circuit; a finite probe set is evidence that can detect faults but is not a universal proof. Reset and terminal-measurement circuits receive structural replay. Branch-dependent dynamic control remains unsupported.</w:t>
      </w:r>
    </w:p>
    <w:p>
      <w:pPr>
        <w:spacing w:before="0" w:after="0" w:lineRule="exact" w:line="216"/>
        <w:ind w:firstLine="202"/>
        <w:jc w:val="both"/>
      </w:pPr>
      <w:r>
        <w:rPr>
          <w:rFonts w:ascii="Times New Roman" w:hAnsi="Times New Roman"/>
          <w:b w:val="0"/>
          <w:i w:val="0"/>
          <w:color w:val="000000"/>
          <w:sz w:val="20"/>
        </w:rPr>
        <w:t>After routing, the fixed-route scheduler measures depth or declared-duration makespan on the same legal route. A separate hardware-cost pass lowers CNOTs and SWAPs to declared directed couplers, validates ordered arcs, then evaluates the schedule and an independent-error proxy. Durations and edge errors are synthetic assumptions rather than device calibrations.</w:t>
      </w:r>
    </w:p>
    <w:p>
      <w:pPr>
        <w:spacing w:before="0" w:after="0" w:lineRule="exact" w:line="216"/>
        <w:ind w:firstLine="202"/>
        <w:jc w:val="both"/>
      </w:pPr>
      <w:r>
        <w:rPr>
          <w:rFonts w:ascii="Times New Roman" w:hAnsi="Times New Roman"/>
          <w:b w:val="0"/>
          <w:i w:val="0"/>
          <w:color w:val="000000"/>
          <w:sz w:val="20"/>
        </w:rPr>
        <w:t>Benchmark version 2.0 freezes 180 cases at four, six, and eight logical qubits, with two instances per family. Sixty training cases use GHZ, layered-CX, seeded-interaction, Bernstein-Vazirani, and QAOA MaxCut families; the latter follows the alternating-operator construction of Farhi et al. [49]. Eighty-four validation cases test topology transfer and held-out families. The 36 untouched test cases combine QFT circuits, motivated by the approximate transform of Coppersmith [50], and hardware-efficient circuits with two-row grids, chorded rings, and larger grids containing idle sites. Every case stores QASM, source hash, undirected and directed edges, and declared synthetic error values.</w:t>
      </w:r>
    </w:p>
    <w:p>
      <w:pPr>
        <w:spacing w:before="0" w:after="0" w:lineRule="exact" w:line="216"/>
        <w:ind w:firstLine="202"/>
        <w:jc w:val="both"/>
      </w:pPr>
      <w:r>
        <w:rPr>
          <w:rFonts w:ascii="Times New Roman" w:hAnsi="Times New Roman"/>
          <w:b w:val="0"/>
          <w:i w:val="0"/>
          <w:color w:val="000000"/>
          <w:sz w:val="20"/>
        </w:rPr>
        <w:t>Three candidates receive 1,024 training steps and validation seed 101. The selection score is median depth plus half the SWAP count plus five times the fallback count. The selected candidate is trained for 4,096 steps at seeds 7, 17, 29, 41, and 53 for both GNN-PPO and the no-message control. The untrained control uses the same initialization seeds. SABRE uses the same five seeds; Basic and weighted routing are deterministic. Runtime is the median of three measurements after one warmup. Seeds are collapsed within each case before paired differences are formed. Confidence intervals use 5,000 deterministic bootstrap resamples with seed 20260921.</w:t>
      </w:r>
    </w:p>
    <w:p>
      <w:pPr>
        <w:spacing w:before="100" w:after="40"/>
        <w:jc w:val="center"/>
      </w:pPr>
      <w:r>
        <w:rPr>
          <w:rFonts w:ascii="Times New Roman" w:hAnsi="Times New Roman"/>
          <w:b w:val="0"/>
          <w:i w:val="0"/>
          <w:smallCaps/>
          <w:color w:val="000000"/>
          <w:sz w:val="20"/>
        </w:rPr>
        <w:t>VII. RESULTS</w:t>
      </w:r>
    </w:p>
    <w:p>
      <w:pPr>
        <w:spacing w:before="0" w:after="0" w:lineRule="exact" w:line="216"/>
        <w:ind w:firstLine="0"/>
        <w:jc w:val="both"/>
      </w:pPr>
      <w:r>
        <w:rPr>
          <w:rFonts w:ascii="Times New Roman" w:hAnsi="Times New Roman"/>
          <w:b w:val="0"/>
          <w:i w:val="0"/>
          <w:color w:val="000000"/>
          <w:sz w:val="20"/>
        </w:rPr>
        <w:t>A fresh local run passed 69 tests under Python 3.11.15 and Qiskit 2.5.2. The aggressive validation candidate scored 19.5; conservative and standard each scored 24.0. Table I summarizes the 36 held-out cases. For seeded methods, each case contributes its within-case seed median. All 792 outputs passed their applicable numerical check. QWeave routes also passed symbolic replay; SABRE has no QWeave trace. Every unit-duration scheduling delta was zero, as expected when circuit depth already expresses the same per-qubit precedence.</w:t>
      </w:r>
    </w:p>
    <w:p>
      <w:pPr>
        <w:sectPr>
          <w:type w:val="continuous"/>
          <w:pgSz w:w="12240" w:h="15840"/>
          <w:pgMar w:top="1080" w:right="900" w:bottom="1440" w:left="900" w:header="432" w:footer="432" w:gutter="0"/>
          <w:cols w:space="360" w:num="2"/>
          <w:docGrid w:linePitch="360"/>
        </w:sectPr>
      </w:pPr>
    </w:p>
    <w:p>
      <w:pPr>
        <w:spacing w:after="0"/>
        <w:jc w:val="center"/>
      </w:pPr>
      <w:r>
        <w:rPr>
          <w:rFonts w:ascii="Times New Roman" w:hAnsi="Times New Roman"/>
          <w:b w:val="0"/>
          <w:i w:val="0"/>
          <w:color w:val="000000"/>
          <w:sz w:val="16"/>
        </w:rPr>
        <w:t>TABLE I</w:t>
      </w:r>
    </w:p>
    <w:p>
      <w:pPr>
        <w:spacing w:after="40"/>
        <w:jc w:val="center"/>
      </w:pPr>
      <w:r>
        <w:rPr>
          <w:rFonts w:ascii="Times New Roman" w:hAnsi="Times New Roman"/>
          <w:b w:val="0"/>
          <w:i w:val="0"/>
          <w:color w:val="000000"/>
          <w:sz w:val="16"/>
        </w:rPr>
        <w:t>BENCHMARK-V2 TEST SUMMARY. RUNTIME IS MEDIAN WALL TIME IN SECONDS.</w:t>
      </w:r>
    </w:p>
    <w:tbl>
      <w:tblPr>
        <w:tblW w:type="auto" w:w="0"/>
        <w:jc w:val="center"/>
        <w:tblLayout w:type="fixed"/>
        <w:tblLook w:firstColumn="1" w:firstRow="1" w:lastColumn="0" w:lastRow="0" w:noHBand="0" w:noVBand="1" w:val="04A0"/>
        <w:tblBorders>
          <w:top w:val="single" w:sz="6" w:color="000000"/>
          <w:insideH w:val="single" w:sz="6" w:color="000000"/>
          <w:bottom w:val="single" w:sz="6" w:color="000000"/>
          <w:left w:val="nil"/>
          <w:insideV w:val="nil"/>
          <w:right w:val="nil"/>
        </w:tblBorders>
      </w:tblPr>
      <w:tblGrid>
        <w:gridCol w:w="3024"/>
        <w:gridCol w:w="1152"/>
        <w:gridCol w:w="1152"/>
        <w:gridCol w:w="1440"/>
        <w:gridCol w:w="1440"/>
      </w:tblGrid>
      <w:tr>
        <w:tc>
          <w:tcPr>
            <w:tcW w:type="dxa" w:w="2088"/>
            <w:vAlign w:val="center"/>
          </w:tcPr>
          <w:p>
            <w:pPr>
              <w:jc w:val="left"/>
            </w:pPr>
            <w:r>
              <w:rPr>
                <w:rFonts w:ascii="Times New Roman" w:hAnsi="Times New Roman"/>
                <w:b/>
                <w:i w:val="0"/>
                <w:color w:val="000000"/>
                <w:sz w:val="16"/>
              </w:rPr>
              <w:t>Method</w:t>
            </w:r>
          </w:p>
        </w:tc>
        <w:tc>
          <w:tcPr>
            <w:tcW w:type="dxa" w:w="2088"/>
            <w:vAlign w:val="center"/>
          </w:tcPr>
          <w:p>
            <w:pPr>
              <w:jc w:val="center"/>
            </w:pPr>
            <w:r>
              <w:rPr>
                <w:rFonts w:ascii="Times New Roman" w:hAnsi="Times New Roman"/>
                <w:b/>
                <w:i w:val="0"/>
                <w:color w:val="000000"/>
                <w:sz w:val="16"/>
              </w:rPr>
              <w:t>Depth</w:t>
            </w:r>
          </w:p>
        </w:tc>
        <w:tc>
          <w:tcPr>
            <w:tcW w:type="dxa" w:w="2088"/>
            <w:vAlign w:val="center"/>
          </w:tcPr>
          <w:p>
            <w:pPr>
              <w:jc w:val="center"/>
            </w:pPr>
            <w:r>
              <w:rPr>
                <w:rFonts w:ascii="Times New Roman" w:hAnsi="Times New Roman"/>
                <w:b/>
                <w:i w:val="0"/>
                <w:color w:val="000000"/>
                <w:sz w:val="16"/>
              </w:rPr>
              <w:t>SWAP</w:t>
            </w:r>
          </w:p>
        </w:tc>
        <w:tc>
          <w:tcPr>
            <w:tcW w:type="dxa" w:w="2088"/>
            <w:vAlign w:val="center"/>
          </w:tcPr>
          <w:p>
            <w:pPr>
              <w:jc w:val="center"/>
            </w:pPr>
            <w:r>
              <w:rPr>
                <w:rFonts w:ascii="Times New Roman" w:hAnsi="Times New Roman"/>
                <w:b/>
                <w:i w:val="0"/>
                <w:color w:val="000000"/>
                <w:sz w:val="16"/>
              </w:rPr>
              <w:t>Runtime</w:t>
            </w:r>
          </w:p>
        </w:tc>
        <w:tc>
          <w:tcPr>
            <w:tcW w:type="dxa" w:w="2088"/>
            <w:vAlign w:val="center"/>
          </w:tcPr>
          <w:p>
            <w:pPr>
              <w:jc w:val="center"/>
            </w:pPr>
            <w:r>
              <w:rPr>
                <w:rFonts w:ascii="Times New Roman" w:hAnsi="Times New Roman"/>
                <w:b/>
                <w:i w:val="0"/>
                <w:color w:val="000000"/>
                <w:sz w:val="16"/>
              </w:rPr>
              <w:t>Fallback</w:t>
            </w:r>
          </w:p>
        </w:tc>
      </w:tr>
      <w:tr>
        <w:tc>
          <w:tcPr>
            <w:tcW w:type="dxa" w:w="3024"/>
            <w:vAlign w:val="center"/>
          </w:tcPr>
          <w:p>
            <w:pPr>
              <w:jc w:val="left"/>
            </w:pPr>
            <w:r>
              <w:rPr>
                <w:rFonts w:ascii="Times New Roman" w:hAnsi="Times New Roman"/>
                <w:b w:val="0"/>
                <w:i w:val="0"/>
                <w:color w:val="000000"/>
                <w:sz w:val="16"/>
              </w:rPr>
              <w:t>Basic</w:t>
            </w:r>
          </w:p>
        </w:tc>
        <w:tc>
          <w:tcPr>
            <w:tcW w:type="dxa" w:w="1152"/>
            <w:vAlign w:val="center"/>
          </w:tcPr>
          <w:p>
            <w:pPr>
              <w:jc w:val="center"/>
            </w:pPr>
            <w:r>
              <w:rPr>
                <w:rFonts w:ascii="Times New Roman" w:hAnsi="Times New Roman"/>
                <w:b w:val="0"/>
                <w:i w:val="0"/>
                <w:color w:val="000000"/>
                <w:sz w:val="16"/>
              </w:rPr>
              <w:t>48.5</w:t>
            </w:r>
          </w:p>
        </w:tc>
        <w:tc>
          <w:tcPr>
            <w:tcW w:type="dxa" w:w="1152"/>
            <w:vAlign w:val="center"/>
          </w:tcPr>
          <w:p>
            <w:pPr>
              <w:jc w:val="center"/>
            </w:pPr>
            <w:r>
              <w:rPr>
                <w:rFonts w:ascii="Times New Roman" w:hAnsi="Times New Roman"/>
                <w:b w:val="0"/>
                <w:i w:val="0"/>
                <w:color w:val="000000"/>
                <w:sz w:val="16"/>
              </w:rPr>
              <w:t>11.5</w:t>
            </w:r>
          </w:p>
        </w:tc>
        <w:tc>
          <w:tcPr>
            <w:tcW w:type="dxa" w:w="1440"/>
            <w:vAlign w:val="center"/>
          </w:tcPr>
          <w:p>
            <w:pPr>
              <w:jc w:val="center"/>
            </w:pPr>
            <w:r>
              <w:rPr>
                <w:rFonts w:ascii="Times New Roman" w:hAnsi="Times New Roman"/>
                <w:b w:val="0"/>
                <w:i w:val="0"/>
                <w:color w:val="000000"/>
                <w:sz w:val="16"/>
              </w:rPr>
              <w:t>0.0022</w:t>
            </w:r>
          </w:p>
        </w:tc>
        <w:tc>
          <w:tcPr>
            <w:tcW w:type="dxa" w:w="1440"/>
            <w:vAlign w:val="center"/>
          </w:tcPr>
          <w:p>
            <w:pPr>
              <w:jc w:val="center"/>
            </w:pPr>
            <w:r>
              <w:rPr>
                <w:rFonts w:ascii="Times New Roman" w:hAnsi="Times New Roman"/>
                <w:b w:val="0"/>
                <w:i w:val="0"/>
                <w:color w:val="000000"/>
                <w:sz w:val="16"/>
              </w:rPr>
              <w:t>0</w:t>
            </w:r>
          </w:p>
        </w:tc>
      </w:tr>
      <w:tr>
        <w:tc>
          <w:tcPr>
            <w:tcW w:type="dxa" w:w="3024"/>
            <w:vAlign w:val="center"/>
          </w:tcPr>
          <w:p>
            <w:pPr>
              <w:jc w:val="left"/>
            </w:pPr>
            <w:r>
              <w:rPr>
                <w:rFonts w:ascii="Times New Roman" w:hAnsi="Times New Roman"/>
                <w:b w:val="0"/>
                <w:i w:val="0"/>
                <w:color w:val="000000"/>
                <w:sz w:val="16"/>
              </w:rPr>
              <w:t>Weighted</w:t>
            </w:r>
          </w:p>
        </w:tc>
        <w:tc>
          <w:tcPr>
            <w:tcW w:type="dxa" w:w="1152"/>
            <w:vAlign w:val="center"/>
          </w:tcPr>
          <w:p>
            <w:pPr>
              <w:jc w:val="center"/>
            </w:pPr>
            <w:r>
              <w:rPr>
                <w:rFonts w:ascii="Times New Roman" w:hAnsi="Times New Roman"/>
                <w:b w:val="0"/>
                <w:i w:val="0"/>
                <w:color w:val="000000"/>
                <w:sz w:val="16"/>
              </w:rPr>
              <w:t>36.0</w:t>
            </w:r>
          </w:p>
        </w:tc>
        <w:tc>
          <w:tcPr>
            <w:tcW w:type="dxa" w:w="1152"/>
            <w:vAlign w:val="center"/>
          </w:tcPr>
          <w:p>
            <w:pPr>
              <w:jc w:val="center"/>
            </w:pPr>
            <w:r>
              <w:rPr>
                <w:rFonts w:ascii="Times New Roman" w:hAnsi="Times New Roman"/>
                <w:b w:val="0"/>
                <w:i w:val="0"/>
                <w:color w:val="000000"/>
                <w:sz w:val="16"/>
              </w:rPr>
              <w:t>0.0</w:t>
            </w:r>
          </w:p>
        </w:tc>
        <w:tc>
          <w:tcPr>
            <w:tcW w:type="dxa" w:w="1440"/>
            <w:vAlign w:val="center"/>
          </w:tcPr>
          <w:p>
            <w:pPr>
              <w:jc w:val="center"/>
            </w:pPr>
            <w:r>
              <w:rPr>
                <w:rFonts w:ascii="Times New Roman" w:hAnsi="Times New Roman"/>
                <w:b w:val="0"/>
                <w:i w:val="0"/>
                <w:color w:val="000000"/>
                <w:sz w:val="16"/>
              </w:rPr>
              <w:t>0.0036</w:t>
            </w:r>
          </w:p>
        </w:tc>
        <w:tc>
          <w:tcPr>
            <w:tcW w:type="dxa" w:w="1440"/>
            <w:vAlign w:val="center"/>
          </w:tcPr>
          <w:p>
            <w:pPr>
              <w:jc w:val="center"/>
            </w:pPr>
            <w:r>
              <w:rPr>
                <w:rFonts w:ascii="Times New Roman" w:hAnsi="Times New Roman"/>
                <w:b w:val="0"/>
                <w:i w:val="0"/>
                <w:color w:val="000000"/>
                <w:sz w:val="16"/>
              </w:rPr>
              <w:t>0</w:t>
            </w:r>
          </w:p>
        </w:tc>
      </w:tr>
      <w:tr>
        <w:tc>
          <w:tcPr>
            <w:tcW w:type="dxa" w:w="3024"/>
            <w:vAlign w:val="center"/>
          </w:tcPr>
          <w:p>
            <w:pPr>
              <w:jc w:val="left"/>
            </w:pPr>
            <w:r>
              <w:rPr>
                <w:rFonts w:ascii="Times New Roman" w:hAnsi="Times New Roman"/>
                <w:b w:val="0"/>
                <w:i w:val="0"/>
                <w:color w:val="000000"/>
                <w:sz w:val="16"/>
              </w:rPr>
              <w:t>SABRE</w:t>
            </w:r>
          </w:p>
        </w:tc>
        <w:tc>
          <w:tcPr>
            <w:tcW w:type="dxa" w:w="1152"/>
            <w:vAlign w:val="center"/>
          </w:tcPr>
          <w:p>
            <w:pPr>
              <w:jc w:val="center"/>
            </w:pPr>
            <w:r>
              <w:rPr>
                <w:rFonts w:ascii="Times New Roman" w:hAnsi="Times New Roman"/>
                <w:b w:val="0"/>
                <w:i w:val="0"/>
                <w:color w:val="000000"/>
                <w:sz w:val="16"/>
              </w:rPr>
              <w:t>46.0</w:t>
            </w:r>
          </w:p>
        </w:tc>
        <w:tc>
          <w:tcPr>
            <w:tcW w:type="dxa" w:w="1152"/>
            <w:vAlign w:val="center"/>
          </w:tcPr>
          <w:p>
            <w:pPr>
              <w:jc w:val="center"/>
            </w:pPr>
            <w:r>
              <w:rPr>
                <w:rFonts w:ascii="Times New Roman" w:hAnsi="Times New Roman"/>
                <w:b w:val="0"/>
                <w:i w:val="0"/>
                <w:color w:val="000000"/>
                <w:sz w:val="16"/>
              </w:rPr>
              <w:t>7.0</w:t>
            </w:r>
          </w:p>
        </w:tc>
        <w:tc>
          <w:tcPr>
            <w:tcW w:type="dxa" w:w="1440"/>
            <w:vAlign w:val="center"/>
          </w:tcPr>
          <w:p>
            <w:pPr>
              <w:jc w:val="center"/>
            </w:pPr>
            <w:r>
              <w:rPr>
                <w:rFonts w:ascii="Times New Roman" w:hAnsi="Times New Roman"/>
                <w:b w:val="0"/>
                <w:i w:val="0"/>
                <w:color w:val="000000"/>
                <w:sz w:val="16"/>
              </w:rPr>
              <w:t>0.0028</w:t>
            </w:r>
          </w:p>
        </w:tc>
        <w:tc>
          <w:tcPr>
            <w:tcW w:type="dxa" w:w="1440"/>
            <w:vAlign w:val="center"/>
          </w:tcPr>
          <w:p>
            <w:pPr>
              <w:jc w:val="center"/>
            </w:pPr>
            <w:r>
              <w:rPr>
                <w:rFonts w:ascii="Times New Roman" w:hAnsi="Times New Roman"/>
                <w:b w:val="0"/>
                <w:i w:val="0"/>
                <w:color w:val="000000"/>
                <w:sz w:val="16"/>
              </w:rPr>
              <w:t>0</w:t>
            </w:r>
          </w:p>
        </w:tc>
      </w:tr>
      <w:tr>
        <w:tc>
          <w:tcPr>
            <w:tcW w:type="dxa" w:w="3024"/>
            <w:vAlign w:val="center"/>
          </w:tcPr>
          <w:p>
            <w:pPr>
              <w:jc w:val="left"/>
            </w:pPr>
            <w:r>
              <w:rPr>
                <w:rFonts w:ascii="Times New Roman" w:hAnsi="Times New Roman"/>
                <w:b w:val="0"/>
                <w:i w:val="0"/>
                <w:color w:val="000000"/>
                <w:sz w:val="16"/>
              </w:rPr>
              <w:t>GNN-PPO</w:t>
            </w:r>
          </w:p>
        </w:tc>
        <w:tc>
          <w:tcPr>
            <w:tcW w:type="dxa" w:w="1152"/>
            <w:vAlign w:val="center"/>
          </w:tcPr>
          <w:p>
            <w:pPr>
              <w:jc w:val="center"/>
            </w:pPr>
            <w:r>
              <w:rPr>
                <w:rFonts w:ascii="Times New Roman" w:hAnsi="Times New Roman"/>
                <w:b w:val="0"/>
                <w:i w:val="0"/>
                <w:color w:val="000000"/>
                <w:sz w:val="16"/>
              </w:rPr>
              <w:t>37.5</w:t>
            </w:r>
          </w:p>
        </w:tc>
        <w:tc>
          <w:tcPr>
            <w:tcW w:type="dxa" w:w="1152"/>
            <w:vAlign w:val="center"/>
          </w:tcPr>
          <w:p>
            <w:pPr>
              <w:jc w:val="center"/>
            </w:pPr>
            <w:r>
              <w:rPr>
                <w:rFonts w:ascii="Times New Roman" w:hAnsi="Times New Roman"/>
                <w:b w:val="0"/>
                <w:i w:val="0"/>
                <w:color w:val="000000"/>
                <w:sz w:val="16"/>
              </w:rPr>
              <w:t>0.0</w:t>
            </w:r>
          </w:p>
        </w:tc>
        <w:tc>
          <w:tcPr>
            <w:tcW w:type="dxa" w:w="1440"/>
            <w:vAlign w:val="center"/>
          </w:tcPr>
          <w:p>
            <w:pPr>
              <w:jc w:val="center"/>
            </w:pPr>
            <w:r>
              <w:rPr>
                <w:rFonts w:ascii="Times New Roman" w:hAnsi="Times New Roman"/>
                <w:b w:val="0"/>
                <w:i w:val="0"/>
                <w:color w:val="000000"/>
                <w:sz w:val="16"/>
              </w:rPr>
              <w:t>0.3473</w:t>
            </w:r>
          </w:p>
        </w:tc>
        <w:tc>
          <w:tcPr>
            <w:tcW w:type="dxa" w:w="1440"/>
            <w:vAlign w:val="center"/>
          </w:tcPr>
          <w:p>
            <w:pPr>
              <w:jc w:val="center"/>
            </w:pPr>
            <w:r>
              <w:rPr>
                <w:rFonts w:ascii="Times New Roman" w:hAnsi="Times New Roman"/>
                <w:b w:val="0"/>
                <w:i w:val="0"/>
                <w:color w:val="000000"/>
                <w:sz w:val="16"/>
              </w:rPr>
              <w:t>4543</w:t>
            </w:r>
          </w:p>
        </w:tc>
      </w:tr>
      <w:tr>
        <w:tc>
          <w:tcPr>
            <w:tcW w:type="dxa" w:w="3024"/>
            <w:vAlign w:val="center"/>
          </w:tcPr>
          <w:p>
            <w:pPr>
              <w:jc w:val="left"/>
            </w:pPr>
            <w:r>
              <w:rPr>
                <w:rFonts w:ascii="Times New Roman" w:hAnsi="Times New Roman"/>
                <w:b w:val="0"/>
                <w:i w:val="0"/>
                <w:color w:val="000000"/>
                <w:sz w:val="16"/>
              </w:rPr>
              <w:t>No-message PPO</w:t>
            </w:r>
          </w:p>
        </w:tc>
        <w:tc>
          <w:tcPr>
            <w:tcW w:type="dxa" w:w="1152"/>
            <w:vAlign w:val="center"/>
          </w:tcPr>
          <w:p>
            <w:pPr>
              <w:jc w:val="center"/>
            </w:pPr>
            <w:r>
              <w:rPr>
                <w:rFonts w:ascii="Times New Roman" w:hAnsi="Times New Roman"/>
                <w:b w:val="0"/>
                <w:i w:val="0"/>
                <w:color w:val="000000"/>
                <w:sz w:val="16"/>
              </w:rPr>
              <w:t>36.0</w:t>
            </w:r>
          </w:p>
        </w:tc>
        <w:tc>
          <w:tcPr>
            <w:tcW w:type="dxa" w:w="1152"/>
            <w:vAlign w:val="center"/>
          </w:tcPr>
          <w:p>
            <w:pPr>
              <w:jc w:val="center"/>
            </w:pPr>
            <w:r>
              <w:rPr>
                <w:rFonts w:ascii="Times New Roman" w:hAnsi="Times New Roman"/>
                <w:b w:val="0"/>
                <w:i w:val="0"/>
                <w:color w:val="000000"/>
                <w:sz w:val="16"/>
              </w:rPr>
              <w:t>0.0</w:t>
            </w:r>
          </w:p>
        </w:tc>
        <w:tc>
          <w:tcPr>
            <w:tcW w:type="dxa" w:w="1440"/>
            <w:vAlign w:val="center"/>
          </w:tcPr>
          <w:p>
            <w:pPr>
              <w:jc w:val="center"/>
            </w:pPr>
            <w:r>
              <w:rPr>
                <w:rFonts w:ascii="Times New Roman" w:hAnsi="Times New Roman"/>
                <w:b w:val="0"/>
                <w:i w:val="0"/>
                <w:color w:val="000000"/>
                <w:sz w:val="16"/>
              </w:rPr>
              <w:t>0.1040</w:t>
            </w:r>
          </w:p>
        </w:tc>
        <w:tc>
          <w:tcPr>
            <w:tcW w:type="dxa" w:w="1440"/>
            <w:vAlign w:val="center"/>
          </w:tcPr>
          <w:p>
            <w:pPr>
              <w:jc w:val="center"/>
            </w:pPr>
            <w:r>
              <w:rPr>
                <w:rFonts w:ascii="Times New Roman" w:hAnsi="Times New Roman"/>
                <w:b w:val="0"/>
                <w:i w:val="0"/>
                <w:color w:val="000000"/>
                <w:sz w:val="16"/>
              </w:rPr>
              <w:t>742</w:t>
            </w:r>
          </w:p>
        </w:tc>
      </w:tr>
      <w:tr>
        <w:tc>
          <w:tcPr>
            <w:tcW w:type="dxa" w:w="3024"/>
            <w:vAlign w:val="center"/>
          </w:tcPr>
          <w:p>
            <w:pPr>
              <w:jc w:val="left"/>
            </w:pPr>
            <w:r>
              <w:rPr>
                <w:rFonts w:ascii="Times New Roman" w:hAnsi="Times New Roman"/>
                <w:b w:val="0"/>
                <w:i w:val="0"/>
                <w:color w:val="000000"/>
                <w:sz w:val="16"/>
              </w:rPr>
              <w:t>Untrained GNN</w:t>
            </w:r>
          </w:p>
        </w:tc>
        <w:tc>
          <w:tcPr>
            <w:tcW w:type="dxa" w:w="1152"/>
            <w:vAlign w:val="center"/>
          </w:tcPr>
          <w:p>
            <w:pPr>
              <w:jc w:val="center"/>
            </w:pPr>
            <w:r>
              <w:rPr>
                <w:rFonts w:ascii="Times New Roman" w:hAnsi="Times New Roman"/>
                <w:b w:val="0"/>
                <w:i w:val="0"/>
                <w:color w:val="000000"/>
                <w:sz w:val="16"/>
              </w:rPr>
              <w:t>198.0</w:t>
            </w:r>
          </w:p>
        </w:tc>
        <w:tc>
          <w:tcPr>
            <w:tcW w:type="dxa" w:w="1152"/>
            <w:vAlign w:val="center"/>
          </w:tcPr>
          <w:p>
            <w:pPr>
              <w:jc w:val="center"/>
            </w:pPr>
            <w:r>
              <w:rPr>
                <w:rFonts w:ascii="Times New Roman" w:hAnsi="Times New Roman"/>
                <w:b w:val="0"/>
                <w:i w:val="0"/>
                <w:color w:val="000000"/>
                <w:sz w:val="16"/>
              </w:rPr>
              <w:t>193.0</w:t>
            </w:r>
          </w:p>
        </w:tc>
        <w:tc>
          <w:tcPr>
            <w:tcW w:type="dxa" w:w="1440"/>
            <w:vAlign w:val="center"/>
          </w:tcPr>
          <w:p>
            <w:pPr>
              <w:jc w:val="center"/>
            </w:pPr>
            <w:r>
              <w:rPr>
                <w:rFonts w:ascii="Times New Roman" w:hAnsi="Times New Roman"/>
                <w:b w:val="0"/>
                <w:i w:val="0"/>
                <w:color w:val="000000"/>
                <w:sz w:val="16"/>
              </w:rPr>
              <w:t>0.6681</w:t>
            </w:r>
          </w:p>
        </w:tc>
        <w:tc>
          <w:tcPr>
            <w:tcW w:type="dxa" w:w="1440"/>
            <w:vAlign w:val="center"/>
          </w:tcPr>
          <w:p>
            <w:pPr>
              <w:jc w:val="center"/>
            </w:pPr>
            <w:r>
              <w:rPr>
                <w:rFonts w:ascii="Times New Roman" w:hAnsi="Times New Roman"/>
                <w:b w:val="0"/>
                <w:i w:val="0"/>
                <w:color w:val="000000"/>
                <w:sz w:val="16"/>
              </w:rPr>
              <w:t>8059</w:t>
            </w:r>
          </w:p>
        </w:tc>
      </w:tr>
    </w:tbl>
    <w:p>
      <w:pPr>
        <w:sectPr>
          <w:type w:val="continuous"/>
          <w:pgSz w:w="12240" w:h="15840"/>
          <w:pgMar w:top="1080" w:right="900" w:bottom="1440" w:left="900" w:header="432" w:footer="432" w:gutter="0"/>
          <w:cols w:space="360" w:num="1"/>
          <w:docGrid w:linePitch="360"/>
        </w:sectPr>
      </w:pPr>
    </w:p>
    <w:p>
      <w:pPr>
        <w:spacing w:before="0" w:after="0" w:lineRule="exact" w:line="216"/>
        <w:ind w:firstLine="0"/>
        <w:jc w:val="both"/>
      </w:pPr>
      <w:r>
        <w:rPr>
          <w:rFonts w:ascii="Times New Roman" w:hAnsi="Times New Roman"/>
          <w:b w:val="0"/>
          <w:i w:val="0"/>
          <w:color w:val="000000"/>
          <w:sz w:val="20"/>
        </w:rPr>
        <w:t>The paired GNN-PPO minus weighted depth difference was 0 gates with interval [0,0]; versus SABRE it was 0 with interval [0,5]. Its paired SWAP difference versus weighted routing was 0 with interval [0,5]. GNN-PPO and no-message PPO had paired median depth and SWAP differences of 0 with intervals [0,0], so the experiment supplies no evidence that message passing helped. Training did matter relative to the untrained GNN: the paired depth difference was -162.5 with interval [-184,-106], and the SWAP difference was -175 with interval [-223,-148].</w:t>
      </w:r>
    </w:p>
    <w:p>
      <w:pPr>
        <w:spacing w:before="0" w:after="0" w:lineRule="exact" w:line="216"/>
        <w:ind w:firstLine="202"/>
        <w:jc w:val="both"/>
      </w:pPr>
      <w:r>
        <w:rPr>
          <w:rFonts w:ascii="Times New Roman" w:hAnsi="Times New Roman"/>
          <w:b w:val="0"/>
          <w:i w:val="0"/>
          <w:color w:val="000000"/>
          <w:sz w:val="20"/>
        </w:rPr>
        <w:t>Family results explain the aggregate. On hardware-efficient circuits, weighted, GNN-PPO, and no-message PPO all had median depth 27 and no SWAPs. On QFT, weighted routing had median depth 71.5 and 16.5 SWAPs, GNN-PPO had 83.5 and 41, and no-message PPO had 90 and 31.5. GNN-PPO improved by eight depth layers on qft_i1_6q_chorded_ring, but regressed by 89 layers and 130 SWAPs on qft_i1_8q_grid2. It invoked 4,543 test fallbacks, compared with 742 for no-message PPO and zero for deterministic methods. Seed 29 was unstable, ending with 212 training fallbacks and a recent mean return near -103.</w:t>
      </w:r>
    </w:p>
    <w:p>
      <w:pPr>
        <w:sectPr>
          <w:type w:val="continuous"/>
          <w:pgSz w:w="12240" w:h="15840"/>
          <w:pgMar w:top="1080" w:right="900" w:bottom="1440" w:left="900" w:header="432" w:footer="432" w:gutter="0"/>
          <w:cols w:space="360" w:num="2"/>
          <w:docGrid w:linePitch="360"/>
        </w:sectPr>
      </w:pPr>
    </w:p>
    <w:p>
      <w:pPr>
        <w:spacing w:line="240" w:lineRule="auto" w:after="20"/>
        <w:jc w:val="center"/>
      </w:pPr>
      <w:r>
        <w:drawing>
          <wp:inline xmlns:a="http://schemas.openxmlformats.org/drawingml/2006/main" xmlns:pic="http://schemas.openxmlformats.org/drawingml/2006/picture">
            <wp:extent cx="5394960" cy="3147060"/>
            <wp:docPr id="5" name="Picture 5"/>
            <wp:cNvGraphicFramePr>
              <a:graphicFrameLocks noChangeAspect="1"/>
            </wp:cNvGraphicFramePr>
            <a:graphic>
              <a:graphicData uri="http://schemas.openxmlformats.org/drawingml/2006/picture">
                <pic:pic>
                  <pic:nvPicPr>
                    <pic:cNvPr id="0" name="learning_curves.png"/>
                    <pic:cNvPicPr/>
                  </pic:nvPicPr>
                  <pic:blipFill>
                    <a:blip r:embed="rId13"/>
                    <a:stretch>
                      <a:fillRect/>
                    </a:stretch>
                  </pic:blipFill>
                  <pic:spPr>
                    <a:xfrm>
                      <a:off x="0" y="0"/>
                      <a:ext cx="5394960" cy="3147060"/>
                    </a:xfrm>
                    <a:prstGeom prst="rect"/>
                  </pic:spPr>
                </pic:pic>
              </a:graphicData>
            </a:graphic>
          </wp:inline>
        </w:drawing>
      </w:r>
    </w:p>
    <w:p>
      <w:pPr>
        <w:spacing w:after="40"/>
        <w:jc w:val="both"/>
      </w:pPr>
      <w:r>
        <w:rPr>
          <w:rFonts w:ascii="Times New Roman" w:hAnsi="Times New Roman"/>
          <w:b w:val="0"/>
          <w:i w:val="0"/>
          <w:color w:val="000000"/>
          <w:sz w:val="16"/>
        </w:rPr>
        <w:t>Fig. 1. Five-seed learning curves. Lines show the median recent episode return and bands show the interquartile range. Neither curve is monotone, and the GNN curve degrades more strongly late in training.</w:t>
      </w:r>
    </w:p>
    <w:p>
      <w:pPr>
        <w:sectPr>
          <w:type w:val="continuous"/>
          <w:pgSz w:w="12240" w:h="15840"/>
          <w:pgMar w:top="1080" w:right="900" w:bottom="1440" w:left="900" w:header="432" w:footer="432" w:gutter="0"/>
          <w:cols w:space="360" w:num="1"/>
          <w:docGrid w:linePitch="360"/>
        </w:sectPr>
      </w:pPr>
    </w:p>
    <w:p>
      <w:pPr>
        <w:spacing w:before="0" w:after="0" w:lineRule="exact" w:line="216"/>
        <w:ind w:firstLine="0"/>
        <w:jc w:val="both"/>
      </w:pPr>
      <w:r>
        <w:rPr>
          <w:rFonts w:ascii="Times New Roman" w:hAnsi="Times New Roman"/>
          <w:b w:val="0"/>
          <w:i w:val="0"/>
          <w:color w:val="000000"/>
          <w:sz w:val="20"/>
        </w:rPr>
        <w:t>Before direction lowering, most routes were illegal on the one-way couplers. After reverse-CNOT and SWAP synthesis, all 792 cost circuits passed ordered-arc legality. Median added depth was 32 for weighted routing, 34 for SABRE, 37.5 for GNN-PPO, 28.5 for no-message PPO, 57 for Basic, and 441 for the untrained GNN. The corrected paired GNN-PPO minus weighted makespan difference was 0 ns with interval [0,1113]. These synthetic proxy costs provide no learned advantage.</w:t>
      </w:r>
    </w:p>
    <w:p>
      <w:pPr>
        <w:spacing w:before="100" w:after="40"/>
        <w:jc w:val="center"/>
      </w:pPr>
      <w:r>
        <w:rPr>
          <w:rFonts w:ascii="Times New Roman" w:hAnsi="Times New Roman"/>
          <w:b w:val="0"/>
          <w:i w:val="0"/>
          <w:smallCaps/>
          <w:color w:val="000000"/>
          <w:sz w:val="20"/>
        </w:rPr>
        <w:t>VIII. THREATS TO VALIDITY</w:t>
      </w:r>
    </w:p>
    <w:p>
      <w:pPr>
        <w:spacing w:before="0" w:after="0" w:lineRule="exact" w:line="216"/>
        <w:ind w:firstLine="0"/>
        <w:jc w:val="both"/>
      </w:pPr>
      <w:r>
        <w:rPr>
          <w:rFonts w:ascii="Times New Roman" w:hAnsi="Times New Roman"/>
          <w:b w:val="0"/>
          <w:i w:val="0"/>
          <w:color w:val="000000"/>
          <w:sz w:val="20"/>
        </w:rPr>
        <w:t>The formal results depend on the supported gate contract, a connected routing graph, correct primitive gate implementations, and the absence of unmodelled shared hardware resources. They prove preservation properties of the algorithms, not software free of defects; tests and independent reruns address implementation risk. Numerical probes for wider circuits are incomplete by construction. Measurement, reset, and dynamic-control semantics do not receive the same exact unitary argument.</w:t>
      </w:r>
    </w:p>
    <w:p>
      <w:pPr>
        <w:spacing w:before="0" w:after="0" w:lineRule="exact" w:line="216"/>
        <w:ind w:firstLine="202"/>
        <w:jc w:val="both"/>
      </w:pPr>
      <w:r>
        <w:rPr>
          <w:rFonts w:ascii="Times New Roman" w:hAnsi="Times New Roman"/>
          <w:b w:val="0"/>
          <w:i w:val="0"/>
          <w:color w:val="000000"/>
          <w:sz w:val="20"/>
        </w:rPr>
        <w:t>The empirical study uses synthetic circuits, durations, and error rates. Its five seeds and 36 held-out cases support paired statements about benchmark v2, not general performance or state-of-the-art rank. Runtime is machine-specific, and fallback makes the learned methods safe while also weakening the interpretation of policy-only behavior. The retained pre-correction record is disclosed because its duration fields scheduled pre-lowering circuits; the schema-2.1 replay recomputed only direction-dependent cost fields from saved checkpoints and frozen cases.</w:t>
      </w:r>
    </w:p>
    <w:p>
      <w:pPr>
        <w:spacing w:before="100" w:after="40"/>
        <w:jc w:val="center"/>
      </w:pPr>
      <w:r>
        <w:rPr>
          <w:rFonts w:ascii="Times New Roman" w:hAnsi="Times New Roman"/>
          <w:b w:val="0"/>
          <w:i w:val="0"/>
          <w:smallCaps/>
          <w:color w:val="000000"/>
          <w:sz w:val="20"/>
        </w:rPr>
        <w:t>IX. CONCLUSION</w:t>
      </w:r>
    </w:p>
    <w:p>
      <w:pPr>
        <w:spacing w:before="0" w:after="0" w:lineRule="exact" w:line="216"/>
        <w:ind w:firstLine="0"/>
        <w:jc w:val="both"/>
      </w:pPr>
      <w:r>
        <w:rPr>
          <w:rFonts w:ascii="Times New Roman" w:hAnsi="Times New Roman"/>
          <w:b w:val="0"/>
          <w:i w:val="0"/>
          <w:color w:val="000000"/>
          <w:sz w:val="20"/>
        </w:rPr>
        <w:t>QWeave combines an explicit deterministic reference, a small mapping oracle, fixed-route scheduling, directed lowering, and a guarded learned router. Formal arguments now state why strict mapping descent terminates, why routing preserves the declared layout semantics, why the fixed-DAG scheduler is feasible and makespan-optimal under its model, why direction reversal is unitarily sound, and why fallback terminates. Benchmark v2 complements those proofs with held-out evidence. PPO training clearly improves on an untrained policy, but the tested message-passing component and learned route do not improve on weighted routing. Larger preregistered device-derived studies are needed before any superiority or calibrated-fidelity claim.</w:t>
      </w:r>
    </w:p>
    <w:p>
      <w:pPr>
        <w:spacing w:before="100" w:after="40"/>
        <w:jc w:val="center"/>
      </w:pPr>
      <w:r>
        <w:rPr>
          <w:rFonts w:ascii="Times New Roman" w:hAnsi="Times New Roman"/>
          <w:b w:val="0"/>
          <w:i w:val="0"/>
          <w:smallCaps/>
          <w:color w:val="000000"/>
          <w:sz w:val="20"/>
        </w:rPr>
        <w:t>REFERENCES</w:t>
      </w:r>
    </w:p>
    <w:p>
      <w:pPr>
        <w:spacing w:lineRule="exact" w:line="150"/>
        <w:ind w:left="245" w:hanging="245"/>
      </w:pPr>
      <w:r>
        <w:rPr>
          <w:rFonts w:ascii="Times New Roman" w:hAnsi="Times New Roman"/>
          <w:b w:val="0"/>
          <w:i w:val="0"/>
          <w:color w:val="000000"/>
          <w:sz w:val="15"/>
        </w:rPr>
        <w:t>[1] IBM Quantum, "Transpiler stages," IBM Quantum Documentation, 2026.</w:t>
      </w:r>
    </w:p>
    <w:p>
      <w:pPr>
        <w:spacing w:lineRule="exact" w:line="150"/>
        <w:ind w:left="245" w:hanging="245"/>
      </w:pPr>
      <w:r>
        <w:rPr>
          <w:rFonts w:ascii="Times New Roman" w:hAnsi="Times New Roman"/>
          <w:b w:val="0"/>
          <w:i w:val="0"/>
          <w:color w:val="000000"/>
          <w:sz w:val="15"/>
        </w:rPr>
        <w:t>[2] G. Li, Y. Ding, and Y. Xie, "Tackling the qubit mapping problem for NISQ-era quantum devices," in Proc. ASPLOS, 2019.</w:t>
      </w:r>
    </w:p>
    <w:p>
      <w:pPr>
        <w:spacing w:lineRule="exact" w:line="150"/>
        <w:ind w:left="245" w:hanging="245"/>
      </w:pPr>
      <w:r>
        <w:rPr>
          <w:rFonts w:ascii="Times New Roman" w:hAnsi="Times New Roman"/>
          <w:b w:val="0"/>
          <w:i w:val="0"/>
          <w:color w:val="000000"/>
          <w:sz w:val="15"/>
        </w:rPr>
        <w:t>[3] M. G. Pozzi, S. J. Herbert, A. Sengupta, and R. D. Mullins, "Using reinforcement learning to perform qubit routing in quantum compilers," arXiv:2007.15957, 2020.</w:t>
      </w:r>
    </w:p>
    <w:p>
      <w:pPr>
        <w:spacing w:lineRule="exact" w:line="150"/>
        <w:ind w:left="245" w:hanging="245"/>
      </w:pPr>
      <w:r>
        <w:rPr>
          <w:rFonts w:ascii="Times New Roman" w:hAnsi="Times New Roman"/>
          <w:b w:val="0"/>
          <w:i w:val="0"/>
          <w:color w:val="000000"/>
          <w:sz w:val="15"/>
        </w:rPr>
        <w:t>[4] A. Sinha, U. Azad, and H. Singh, "Qubit routing using graph neural network aided Monte Carlo tree search," in Proc. AAAI, 2022.</w:t>
      </w:r>
    </w:p>
    <w:p>
      <w:pPr>
        <w:spacing w:lineRule="exact" w:line="150"/>
        <w:ind w:left="245" w:hanging="245"/>
      </w:pPr>
      <w:r>
        <w:rPr>
          <w:rFonts w:ascii="Times New Roman" w:hAnsi="Times New Roman"/>
          <w:b w:val="0"/>
          <w:i w:val="0"/>
          <w:color w:val="000000"/>
          <w:sz w:val="15"/>
        </w:rPr>
        <w:t>[5] J. Preskill, "Quantum computing in the NISQ era and beyond," Quantum, vol. 2, p. 79, 2018.</w:t>
      </w:r>
    </w:p>
    <w:p>
      <w:pPr>
        <w:spacing w:lineRule="exact" w:line="150"/>
        <w:ind w:left="245" w:hanging="245"/>
      </w:pPr>
      <w:r>
        <w:rPr>
          <w:rFonts w:ascii="Times New Roman" w:hAnsi="Times New Roman"/>
          <w:b w:val="0"/>
          <w:i w:val="0"/>
          <w:color w:val="000000"/>
          <w:sz w:val="15"/>
        </w:rPr>
        <w:t>[6] K. Bharti et al., "Noisy intermediate-scale quantum algorithms," Rev. Mod. Phys., vol. 94, no. 1, p. 015004, 2022.</w:t>
      </w:r>
    </w:p>
    <w:p>
      <w:pPr>
        <w:spacing w:lineRule="exact" w:line="150"/>
        <w:ind w:left="245" w:hanging="245"/>
      </w:pPr>
      <w:r>
        <w:rPr>
          <w:rFonts w:ascii="Times New Roman" w:hAnsi="Times New Roman"/>
          <w:b w:val="0"/>
          <w:i w:val="0"/>
          <w:color w:val="000000"/>
          <w:sz w:val="15"/>
        </w:rPr>
        <w:t>[7] M. A. Nielsen and I. L. Chuang, Quantum Computation and Quantum Information, 10th anniversary ed. Cambridge, U.K.: Cambridge Univ. Press, 2010.</w:t>
      </w:r>
    </w:p>
    <w:p>
      <w:pPr>
        <w:spacing w:lineRule="exact" w:line="150"/>
        <w:ind w:left="245" w:hanging="245"/>
      </w:pPr>
      <w:r>
        <w:rPr>
          <w:rFonts w:ascii="Times New Roman" w:hAnsi="Times New Roman"/>
          <w:b w:val="0"/>
          <w:i w:val="0"/>
          <w:color w:val="000000"/>
          <w:sz w:val="15"/>
        </w:rPr>
        <w:t>[8] A. Javadi-Abhari et al., "Quantum computing with Qiskit," arXiv:2405.08810, 2024.</w:t>
      </w:r>
    </w:p>
    <w:p>
      <w:pPr>
        <w:spacing w:lineRule="exact" w:line="150"/>
        <w:ind w:left="245" w:hanging="245"/>
      </w:pPr>
      <w:r>
        <w:rPr>
          <w:rFonts w:ascii="Times New Roman" w:hAnsi="Times New Roman"/>
          <w:b w:val="0"/>
          <w:i w:val="0"/>
          <w:color w:val="000000"/>
          <w:sz w:val="15"/>
        </w:rPr>
        <w:t>[9] N. Khammassi et al., "OpenQL: A portable quantum programming framework for quantum accelerators," ACM J. Emerg. Technol. Comput. Syst., vol. 18, no. 1, pp. 1-24, 2021.</w:t>
      </w:r>
    </w:p>
    <w:p>
      <w:pPr>
        <w:spacing w:lineRule="exact" w:line="150"/>
        <w:ind w:left="245" w:hanging="245"/>
      </w:pPr>
      <w:r>
        <w:rPr>
          <w:rFonts w:ascii="Times New Roman" w:hAnsi="Times New Roman"/>
          <w:b w:val="0"/>
          <w:i w:val="0"/>
          <w:color w:val="000000"/>
          <w:sz w:val="15"/>
        </w:rPr>
        <w:t>[10] S. Sivarajah, S. Dilkes, A. Cowtan, W. Simmons, A. Edgington, and R. Duncan, "t|ket&gt;: A retargetable compiler for NISQ devices," Quantum Sci. Technol., vol. 6, no. 1, p. 014003, 2020.</w:t>
      </w:r>
    </w:p>
    <w:p>
      <w:pPr>
        <w:spacing w:lineRule="exact" w:line="150"/>
        <w:ind w:left="245" w:hanging="245"/>
      </w:pPr>
      <w:r>
        <w:rPr>
          <w:rFonts w:ascii="Times New Roman" w:hAnsi="Times New Roman"/>
          <w:b w:val="0"/>
          <w:i w:val="0"/>
          <w:color w:val="000000"/>
          <w:sz w:val="15"/>
        </w:rPr>
        <w:t>[11] M. Bandic, S. Feld, and C. G. Almudever, "Full-stack quantum computing systems in the NISQ era: Algorithm-driven and hardware-aware compilation techniques," in Proc. DATE, pp. 1-6, 2022.</w:t>
      </w:r>
    </w:p>
    <w:p>
      <w:pPr>
        <w:spacing w:lineRule="exact" w:line="150"/>
        <w:ind w:left="245" w:hanging="245"/>
      </w:pPr>
      <w:r>
        <w:rPr>
          <w:rFonts w:ascii="Times New Roman" w:hAnsi="Times New Roman"/>
          <w:b w:val="0"/>
          <w:i w:val="0"/>
          <w:color w:val="000000"/>
          <w:sz w:val="15"/>
        </w:rPr>
        <w:t>[12] M. Y. Siraichi, V. F. dos Santos, S. Collange, and F. M. Q. Pereira, "Qubit allocation," in Proc. CGO, pp. 113-125, 2018.</w:t>
      </w:r>
    </w:p>
    <w:p>
      <w:pPr>
        <w:spacing w:lineRule="exact" w:line="150"/>
        <w:ind w:left="245" w:hanging="245"/>
      </w:pPr>
      <w:r>
        <w:rPr>
          <w:rFonts w:ascii="Times New Roman" w:hAnsi="Times New Roman"/>
          <w:b w:val="0"/>
          <w:i w:val="0"/>
          <w:color w:val="000000"/>
          <w:sz w:val="15"/>
        </w:rPr>
        <w:t>[13] A. Zulehner, A. Paler, and R. Wille, "An efficient methodology for mapping quantum circuits to the IBM QX architectures," IEEE Trans. Comput.-Aided Design Integr. Circuits Syst., vol. 38, no. 7, pp. 1226-1236, 2019.</w:t>
      </w:r>
    </w:p>
    <w:p>
      <w:pPr>
        <w:spacing w:lineRule="exact" w:line="150"/>
        <w:ind w:left="245" w:hanging="245"/>
      </w:pPr>
      <w:r>
        <w:rPr>
          <w:rFonts w:ascii="Times New Roman" w:hAnsi="Times New Roman"/>
          <w:b w:val="0"/>
          <w:i w:val="0"/>
          <w:color w:val="000000"/>
          <w:sz w:val="15"/>
        </w:rPr>
        <w:t>[14] A. Cowtan, S. Dilkes, R. Duncan, A. Krajenbrink, W. Simmons, and S. Sivarajah, "On the qubit routing problem," in Proc. TQC, LIPIcs, vol. 135, pp. 5:1-5:32, 2019.</w:t>
      </w:r>
    </w:p>
    <w:p>
      <w:pPr>
        <w:spacing w:lineRule="exact" w:line="150"/>
        <w:ind w:left="245" w:hanging="245"/>
      </w:pPr>
      <w:r>
        <w:rPr>
          <w:rFonts w:ascii="Times New Roman" w:hAnsi="Times New Roman"/>
          <w:b w:val="0"/>
          <w:i w:val="0"/>
          <w:color w:val="000000"/>
          <w:sz w:val="15"/>
        </w:rPr>
        <w:t>[15] A. M. Childs, E. Schoute, and C. M. Unsal, "Circuit transformations for quantum architectures," in Proc. TQC, LIPIcs, vol. 135, pp. 3:1-3:24, 2019.</w:t>
      </w:r>
    </w:p>
    <w:p>
      <w:pPr>
        <w:spacing w:lineRule="exact" w:line="150"/>
        <w:ind w:left="245" w:hanging="245"/>
      </w:pPr>
      <w:r>
        <w:rPr>
          <w:rFonts w:ascii="Times New Roman" w:hAnsi="Times New Roman"/>
          <w:b w:val="0"/>
          <w:i w:val="0"/>
          <w:color w:val="000000"/>
          <w:sz w:val="15"/>
        </w:rPr>
        <w:t>[16] R. Wille, O. Keszocze, M. Walter, P. Rohrs, A. Chattopadhyay, and R. Drechsler, "Look-ahead schemes for nearest neighbor optimization of 1D and 2D quantum circuits," in Proc. ASP-DAC, pp. 292-297, 2016.</w:t>
      </w:r>
    </w:p>
    <w:p>
      <w:pPr>
        <w:spacing w:lineRule="exact" w:line="150"/>
        <w:ind w:left="245" w:hanging="245"/>
      </w:pPr>
      <w:r>
        <w:rPr>
          <w:rFonts w:ascii="Times New Roman" w:hAnsi="Times New Roman"/>
          <w:b w:val="0"/>
          <w:i w:val="0"/>
          <w:color w:val="000000"/>
          <w:sz w:val="15"/>
        </w:rPr>
        <w:t>[17] A. Lye, R. Wille, and R. Drechsler, "Determining the minimal number of SWAP gates for multi-dimensional nearest neighbor quantum circuits," in Proc. ASP-DAC, pp. 178-183, 2015.</w:t>
      </w:r>
    </w:p>
    <w:p>
      <w:pPr>
        <w:spacing w:lineRule="exact" w:line="150"/>
        <w:ind w:left="245" w:hanging="245"/>
      </w:pPr>
      <w:r>
        <w:rPr>
          <w:rFonts w:ascii="Times New Roman" w:hAnsi="Times New Roman"/>
          <w:b w:val="0"/>
          <w:i w:val="0"/>
          <w:color w:val="000000"/>
          <w:sz w:val="15"/>
        </w:rPr>
        <w:t>[18] S. Li, X. Zhou, and Y. Feng, "Qubit mapping based on subgraph isomorphism and filtered depth-limited search," IEEE Trans. Comput., vol. 70, no. 11, pp. 1777-1788, 2021.</w:t>
      </w:r>
    </w:p>
    <w:p>
      <w:pPr>
        <w:spacing w:lineRule="exact" w:line="150"/>
        <w:ind w:left="245" w:hanging="245"/>
      </w:pPr>
      <w:r>
        <w:rPr>
          <w:rFonts w:ascii="Times New Roman" w:hAnsi="Times New Roman"/>
          <w:b w:val="0"/>
          <w:i w:val="0"/>
          <w:color w:val="000000"/>
          <w:sz w:val="15"/>
        </w:rPr>
        <w:t>[19] T. Itoko, R. Raymond, T. Imamichi, and A. Matsuo, "Optimization of quantum circuit mapping using gate transformation and commutation," Integration, vol. 70, pp. 43-50, 2020.</w:t>
      </w:r>
    </w:p>
    <w:p>
      <w:pPr>
        <w:spacing w:lineRule="exact" w:line="150"/>
        <w:ind w:left="245" w:hanging="245"/>
      </w:pPr>
      <w:r>
        <w:rPr>
          <w:rFonts w:ascii="Times New Roman" w:hAnsi="Times New Roman"/>
          <w:b w:val="0"/>
          <w:i w:val="0"/>
          <w:color w:val="000000"/>
          <w:sz w:val="15"/>
        </w:rPr>
        <w:t>[20] B. Tan and J. Cong, "Optimal qubit mapping with simultaneous gate absorption," arXiv:2109.06445, 2021.</w:t>
      </w:r>
    </w:p>
    <w:p>
      <w:pPr>
        <w:spacing w:lineRule="exact" w:line="150"/>
        <w:ind w:left="245" w:hanging="245"/>
      </w:pPr>
      <w:r>
        <w:rPr>
          <w:rFonts w:ascii="Times New Roman" w:hAnsi="Times New Roman"/>
          <w:b w:val="0"/>
          <w:i w:val="0"/>
          <w:color w:val="000000"/>
          <w:sz w:val="15"/>
        </w:rPr>
        <w:t>[21] M. A. Steinberg, S. Feld, C. G. Almudever, M. Marthaler, and J.-M. Reiner, "Topological-graph dependencies and scaling properties of a heuristic qubit-assignment algorithm," IEEE Trans. Quantum Eng., vol. 3, pp. 1-14, 2022.</w:t>
      </w:r>
    </w:p>
    <w:p>
      <w:pPr>
        <w:spacing w:lineRule="exact" w:line="150"/>
        <w:ind w:left="245" w:hanging="245"/>
      </w:pPr>
      <w:r>
        <w:rPr>
          <w:rFonts w:ascii="Times New Roman" w:hAnsi="Times New Roman"/>
          <w:b w:val="0"/>
          <w:i w:val="0"/>
          <w:color w:val="000000"/>
          <w:sz w:val="15"/>
        </w:rPr>
        <w:t>[22] IBM Quantum, "SabreLayout API reference," IBM Quantum Documentation, 2026.</w:t>
      </w:r>
    </w:p>
    <w:p>
      <w:pPr>
        <w:spacing w:lineRule="exact" w:line="150"/>
        <w:ind w:left="245" w:hanging="245"/>
      </w:pPr>
      <w:r>
        <w:rPr>
          <w:rFonts w:ascii="Times New Roman" w:hAnsi="Times New Roman"/>
          <w:b w:val="0"/>
          <w:i w:val="0"/>
          <w:color w:val="000000"/>
          <w:sz w:val="15"/>
        </w:rPr>
        <w:t>[23] P. Murali, J. M. Baker, A. Javadi-Abhari, F. T. Chong, and M. Martonosi, "Noise-adaptive compiler mappings for noisy intermediate-scale quantum computers," in Proc. ASPLOS, pp. 1015-1029, 2019.</w:t>
      </w:r>
    </w:p>
    <w:p>
      <w:pPr>
        <w:spacing w:lineRule="exact" w:line="150"/>
        <w:ind w:left="245" w:hanging="245"/>
      </w:pPr>
      <w:r>
        <w:rPr>
          <w:rFonts w:ascii="Times New Roman" w:hAnsi="Times New Roman"/>
          <w:b w:val="0"/>
          <w:i w:val="0"/>
          <w:color w:val="000000"/>
          <w:sz w:val="15"/>
        </w:rPr>
        <w:t>[24] S. S. Tannu and M. K. Qureshi, "Not all qubits are created equal: A case for variability-aware policies for NISQ-era quantum computers," in Proc. ASPLOS, pp. 987-999, 2019.</w:t>
      </w:r>
    </w:p>
    <w:p>
      <w:pPr>
        <w:spacing w:lineRule="exact" w:line="150"/>
        <w:ind w:left="245" w:hanging="245"/>
      </w:pPr>
      <w:r>
        <w:rPr>
          <w:rFonts w:ascii="Times New Roman" w:hAnsi="Times New Roman"/>
          <w:b w:val="0"/>
          <w:i w:val="0"/>
          <w:color w:val="000000"/>
          <w:sz w:val="15"/>
        </w:rPr>
        <w:t>[25] S. Nishio, Y. Pan, T. Satoh, H. Amano, and R. Van Meter, "Extracting success from IBM's 20-qubit machines using error-aware compilation," ACM J. Emerg. Technol. Comput. Syst., vol. 16, no. 3, pp. 1-25, 2020.</w:t>
      </w:r>
    </w:p>
    <w:p>
      <w:pPr>
        <w:spacing w:lineRule="exact" w:line="150"/>
        <w:ind w:left="245" w:hanging="245"/>
      </w:pPr>
      <w:r>
        <w:rPr>
          <w:rFonts w:ascii="Times New Roman" w:hAnsi="Times New Roman"/>
          <w:b w:val="0"/>
          <w:i w:val="0"/>
          <w:color w:val="000000"/>
          <w:sz w:val="15"/>
        </w:rPr>
        <w:t>[26] L. Lao, H. van Someren, I. Ashraf, and C. G. Almudever, "Timing and resource-aware mapping of quantum circuits to superconducting processors," IEEE Trans. Comput.-Aided Design Integr. Circuits Syst., vol. 41, no. 2, pp. 359-371, 2022.</w:t>
      </w:r>
    </w:p>
    <w:p>
      <w:pPr>
        <w:spacing w:lineRule="exact" w:line="150"/>
        <w:ind w:left="245" w:hanging="245"/>
      </w:pPr>
      <w:r>
        <w:rPr>
          <w:rFonts w:ascii="Times New Roman" w:hAnsi="Times New Roman"/>
          <w:b w:val="0"/>
          <w:i w:val="0"/>
          <w:color w:val="000000"/>
          <w:sz w:val="15"/>
        </w:rPr>
        <w:t>[27] G. G. Guerreschi and J. Park, "Two-step approach to scheduling quantum circuits," Quantum Sci. Technol., vol. 3, no. 4, p. 045003, 2018.</w:t>
      </w:r>
    </w:p>
    <w:p>
      <w:pPr>
        <w:spacing w:lineRule="exact" w:line="150"/>
        <w:ind w:left="245" w:hanging="245"/>
      </w:pPr>
      <w:r>
        <w:rPr>
          <w:rFonts w:ascii="Times New Roman" w:hAnsi="Times New Roman"/>
          <w:b w:val="0"/>
          <w:i w:val="0"/>
          <w:color w:val="000000"/>
          <w:sz w:val="15"/>
        </w:rPr>
        <w:t>[28] P. Murali et al., "Full-stack, real-system quantum computer studies: Architectural comparisons and design insights," in Proc. ISCA, pp. 527-540, 2019.</w:t>
      </w:r>
    </w:p>
    <w:p>
      <w:pPr>
        <w:spacing w:lineRule="exact" w:line="150"/>
        <w:ind w:left="245" w:hanging="245"/>
      </w:pPr>
      <w:r>
        <w:rPr>
          <w:rFonts w:ascii="Times New Roman" w:hAnsi="Times New Roman"/>
          <w:b w:val="0"/>
          <w:i w:val="0"/>
          <w:color w:val="000000"/>
          <w:sz w:val="15"/>
        </w:rPr>
        <w:t>[29] S. Hillmich, A. Zulehner, and R. Wille, "Exploiting quantum teleportation in quantum circuit mapping," in Proc. ASP-DAC, pp. 792-797, 2021.</w:t>
      </w:r>
    </w:p>
    <w:p>
      <w:pPr>
        <w:spacing w:lineRule="exact" w:line="150"/>
        <w:ind w:left="245" w:hanging="245"/>
      </w:pPr>
      <w:r>
        <w:rPr>
          <w:rFonts w:ascii="Times New Roman" w:hAnsi="Times New Roman"/>
          <w:b w:val="0"/>
          <w:i w:val="0"/>
          <w:color w:val="000000"/>
          <w:sz w:val="15"/>
        </w:rPr>
        <w:t>[30] J. M. Baker, C. Duckering, A. Hoover, and F. T. Chong, "Time-sliced quantum circuit partitioning for modular architectures," in Proc. Computing Frontiers, pp. 98-107, 2020.</w:t>
      </w:r>
    </w:p>
    <w:p>
      <w:pPr>
        <w:spacing w:lineRule="exact" w:line="150"/>
        <w:ind w:left="245" w:hanging="245"/>
      </w:pPr>
      <w:r>
        <w:rPr>
          <w:rFonts w:ascii="Times New Roman" w:hAnsi="Times New Roman"/>
          <w:b w:val="0"/>
          <w:i w:val="0"/>
          <w:color w:val="000000"/>
          <w:sz w:val="15"/>
        </w:rPr>
        <w:t>[31] M. Bandic et al., "Mapping quantum circuits to modular architectures with QUBO," arXiv:2305.06687, 2023.</w:t>
      </w:r>
    </w:p>
    <w:p>
      <w:pPr>
        <w:spacing w:lineRule="exact" w:line="150"/>
        <w:ind w:left="245" w:hanging="245"/>
      </w:pPr>
      <w:r>
        <w:rPr>
          <w:rFonts w:ascii="Times New Roman" w:hAnsi="Times New Roman"/>
          <w:b w:val="0"/>
          <w:i w:val="0"/>
          <w:color w:val="000000"/>
          <w:sz w:val="15"/>
        </w:rPr>
        <w:t>[32] L. Lao and D. E. Browne, "2QAN: A quantum compiler for 2-local qubit Hamiltonian simulation algorithms," arXiv:2108.02099, 2021.</w:t>
      </w:r>
    </w:p>
    <w:p>
      <w:pPr>
        <w:spacing w:lineRule="exact" w:line="150"/>
        <w:ind w:left="245" w:hanging="245"/>
      </w:pPr>
      <w:r>
        <w:rPr>
          <w:rFonts w:ascii="Times New Roman" w:hAnsi="Times New Roman"/>
          <w:b w:val="0"/>
          <w:i w:val="0"/>
          <w:color w:val="000000"/>
          <w:sz w:val="15"/>
        </w:rPr>
        <w:t>[33] M. Bandic, H. Zarein, E. Alarcon, and C. G. Almudever, "On structured design space exploration for mapping of quantum algorithms," in Proc. DCIS, pp. 1-6, 2020.</w:t>
      </w:r>
    </w:p>
    <w:p>
      <w:pPr>
        <w:spacing w:lineRule="exact" w:line="150"/>
        <w:ind w:left="245" w:hanging="245"/>
      </w:pPr>
      <w:r>
        <w:rPr>
          <w:rFonts w:ascii="Times New Roman" w:hAnsi="Times New Roman"/>
          <w:b w:val="0"/>
          <w:i w:val="0"/>
          <w:color w:val="000000"/>
          <w:sz w:val="15"/>
        </w:rPr>
        <w:t>[34] S. Herbert and A. Sengupta, "Using reinforcement learning to find efficient qubit routing policies for deployment in near-term quantum computers," arXiv:1812.11619, 2018.</w:t>
      </w:r>
    </w:p>
    <w:p>
      <w:pPr>
        <w:spacing w:lineRule="exact" w:line="150"/>
        <w:ind w:left="245" w:hanging="245"/>
      </w:pPr>
      <w:r>
        <w:rPr>
          <w:rFonts w:ascii="Times New Roman" w:hAnsi="Times New Roman"/>
          <w:b w:val="0"/>
          <w:i w:val="0"/>
          <w:color w:val="000000"/>
          <w:sz w:val="15"/>
        </w:rPr>
        <w:t>[35] G. Acampora and R. Schiattarella, "Deep neural networks for quantum circuit mapping," Neural Comput. Appl., vol. 33, pp. 13723-13743, 2021.</w:t>
      </w:r>
    </w:p>
    <w:p>
      <w:pPr>
        <w:spacing w:lineRule="exact" w:line="150"/>
        <w:ind w:left="245" w:hanging="245"/>
      </w:pPr>
      <w:r>
        <w:rPr>
          <w:rFonts w:ascii="Times New Roman" w:hAnsi="Times New Roman"/>
          <w:b w:val="0"/>
          <w:i w:val="0"/>
          <w:color w:val="000000"/>
          <w:sz w:val="15"/>
        </w:rPr>
        <w:t>[36] T. N. Kipf and M. Welling, "Semi-supervised classification with graph convolutional networks," in Proc. ICLR, 2017.</w:t>
      </w:r>
    </w:p>
    <w:p>
      <w:pPr>
        <w:spacing w:lineRule="exact" w:line="150"/>
        <w:ind w:left="245" w:hanging="245"/>
      </w:pPr>
      <w:r>
        <w:rPr>
          <w:rFonts w:ascii="Times New Roman" w:hAnsi="Times New Roman"/>
          <w:b w:val="0"/>
          <w:i w:val="0"/>
          <w:color w:val="000000"/>
          <w:sz w:val="15"/>
        </w:rPr>
        <w:t>[37] J. Gilmer, S. S. Schoenholz, P. F. Riley, O. Vinyals, and G. E. Dahl, "Neural message passing for quantum chemistry," in Proc. ICML, PMLR, vol. 70, pp. 1263-1272, 2017.</w:t>
      </w:r>
    </w:p>
    <w:p>
      <w:pPr>
        <w:spacing w:lineRule="exact" w:line="150"/>
        <w:ind w:left="245" w:hanging="245"/>
      </w:pPr>
      <w:r>
        <w:rPr>
          <w:rFonts w:ascii="Times New Roman" w:hAnsi="Times New Roman"/>
          <w:b w:val="0"/>
          <w:i w:val="0"/>
          <w:color w:val="000000"/>
          <w:sz w:val="15"/>
        </w:rPr>
        <w:t>[38] J. Schulman, F. Wolski, P. Dhariwal, A. Radford, and O. Klimov, "Proximal policy optimization algorithms," arXiv:1707.06347, 2017.</w:t>
      </w:r>
    </w:p>
    <w:p>
      <w:pPr>
        <w:spacing w:lineRule="exact" w:line="150"/>
        <w:ind w:left="245" w:hanging="245"/>
      </w:pPr>
      <w:r>
        <w:rPr>
          <w:rFonts w:ascii="Times New Roman" w:hAnsi="Times New Roman"/>
          <w:b w:val="0"/>
          <w:i w:val="0"/>
          <w:color w:val="000000"/>
          <w:sz w:val="15"/>
        </w:rPr>
        <w:t>[39] J. Schulman, P. Moritz, S. Levine, M. I. Jordan, and P. Abbeel, "High-dimensional continuous control using generalized advantage estimation," arXiv:1506.02438, 2015.</w:t>
      </w:r>
    </w:p>
    <w:p>
      <w:pPr>
        <w:spacing w:lineRule="exact" w:line="150"/>
        <w:ind w:left="245" w:hanging="245"/>
      </w:pPr>
      <w:r>
        <w:rPr>
          <w:rFonts w:ascii="Times New Roman" w:hAnsi="Times New Roman"/>
          <w:b w:val="0"/>
          <w:i w:val="0"/>
          <w:color w:val="000000"/>
          <w:sz w:val="15"/>
        </w:rPr>
        <w:t>[40] G. Nannicini, L. S. Bishop, O. Gunluk, and P. Jurcevic, "Optimal qubit assignment and routing via integer programming," ACM Trans. Quantum Comput., vol. 4, no. 1, 2022.</w:t>
      </w:r>
    </w:p>
    <w:p>
      <w:pPr>
        <w:spacing w:lineRule="exact" w:line="150"/>
        <w:ind w:left="245" w:hanging="245"/>
      </w:pPr>
      <w:r>
        <w:rPr>
          <w:rFonts w:ascii="Times New Roman" w:hAnsi="Times New Roman"/>
          <w:b w:val="0"/>
          <w:i w:val="0"/>
          <w:color w:val="000000"/>
          <w:sz w:val="15"/>
        </w:rPr>
        <w:t>[41] D. Venturelli, M. Do, E. Rieffel, and J. Frank, "Compiling quantum circuits to realistic hardware architectures using temporal planners," Quantum Sci. Technol., vol. 3, no. 2, p. 025004, 2018.</w:t>
      </w:r>
    </w:p>
    <w:p>
      <w:pPr>
        <w:spacing w:lineRule="exact" w:line="150"/>
        <w:ind w:left="245" w:hanging="245"/>
      </w:pPr>
      <w:r>
        <w:rPr>
          <w:rFonts w:ascii="Times New Roman" w:hAnsi="Times New Roman"/>
          <w:b w:val="0"/>
          <w:i w:val="0"/>
          <w:color w:val="000000"/>
          <w:sz w:val="15"/>
        </w:rPr>
        <w:t>[42] D. Venturelli et al., "Quantum circuit compilation: An emerging application for automated reasoning," in Proc. SPARK, 2019.</w:t>
      </w:r>
    </w:p>
    <w:p>
      <w:pPr>
        <w:spacing w:lineRule="exact" w:line="150"/>
        <w:ind w:left="245" w:hanging="245"/>
      </w:pPr>
      <w:r>
        <w:rPr>
          <w:rFonts w:ascii="Times New Roman" w:hAnsi="Times New Roman"/>
          <w:b w:val="0"/>
          <w:i w:val="0"/>
          <w:color w:val="000000"/>
          <w:sz w:val="15"/>
        </w:rPr>
        <w:t>[43] M. Bandic, C. G. Almudever, and S. Feld, "Interaction graph-based characterization of quantum benchmarks for improving quantum circuit mapping techniques," Quantum Mach. Intell., vol. 5, p. 40, 2023.</w:t>
      </w:r>
    </w:p>
    <w:p>
      <w:pPr>
        <w:spacing w:lineRule="exact" w:line="150"/>
        <w:ind w:left="245" w:hanging="245"/>
      </w:pPr>
      <w:r>
        <w:rPr>
          <w:rFonts w:ascii="Times New Roman" w:hAnsi="Times New Roman"/>
          <w:b w:val="0"/>
          <w:i w:val="0"/>
          <w:color w:val="000000"/>
          <w:sz w:val="15"/>
        </w:rPr>
        <w:t>[44] A. W. Cross, L. S. Bishop, S. Sheldon, P. D. Nation, and J. M. Gambetta, "Validating quantum computers using randomized model circuits," Phys. Rev. A, vol. 100, p. 032328, 2019.</w:t>
      </w:r>
    </w:p>
    <w:p>
      <w:pPr>
        <w:spacing w:lineRule="exact" w:line="150"/>
        <w:ind w:left="245" w:hanging="245"/>
      </w:pPr>
      <w:r>
        <w:rPr>
          <w:rFonts w:ascii="Times New Roman" w:hAnsi="Times New Roman"/>
          <w:b w:val="0"/>
          <w:i w:val="0"/>
          <w:color w:val="000000"/>
          <w:sz w:val="15"/>
        </w:rPr>
        <w:t>[45] R. Blume-Kohout and K. C. Young, "A volumetric framework for quantum computer benchmarks," Quantum, vol. 4, p. 362, 2020.</w:t>
      </w:r>
    </w:p>
    <w:p>
      <w:pPr>
        <w:spacing w:lineRule="exact" w:line="150"/>
        <w:ind w:left="245" w:hanging="245"/>
      </w:pPr>
      <w:r>
        <w:rPr>
          <w:rFonts w:ascii="Times New Roman" w:hAnsi="Times New Roman"/>
          <w:b w:val="0"/>
          <w:i w:val="0"/>
          <w:color w:val="000000"/>
          <w:sz w:val="15"/>
        </w:rPr>
        <w:t>[46] D. Mills, S. Sivarajah, T. L. Scholten, and R. Duncan, "Application-motivated, holistic benchmarking of a full quantum computing stack," Quantum, vol. 5, p. 415, 2021.</w:t>
      </w:r>
    </w:p>
    <w:p>
      <w:pPr>
        <w:spacing w:lineRule="exact" w:line="150"/>
        <w:ind w:left="245" w:hanging="245"/>
      </w:pPr>
      <w:r>
        <w:rPr>
          <w:rFonts w:ascii="Times New Roman" w:hAnsi="Times New Roman"/>
          <w:b w:val="0"/>
          <w:i w:val="0"/>
          <w:color w:val="000000"/>
          <w:sz w:val="15"/>
        </w:rPr>
        <w:t>[47] T. Tomesh et al., "SupermarQ: A scalable quantum benchmark suite," in Proc. HPCA, pp. 587-603, 2022.</w:t>
      </w:r>
    </w:p>
    <w:p>
      <w:pPr>
        <w:spacing w:lineRule="exact" w:line="150"/>
        <w:ind w:left="245" w:hanging="245"/>
      </w:pPr>
      <w:r>
        <w:rPr>
          <w:rFonts w:ascii="Times New Roman" w:hAnsi="Times New Roman"/>
          <w:b w:val="0"/>
          <w:i w:val="0"/>
          <w:color w:val="000000"/>
          <w:sz w:val="15"/>
        </w:rPr>
        <w:t>[48] A. Li and S. Krishnamoorthy, "QASMBench: A low-level QASM benchmark suite for NISQ evaluation and simulation," arXiv:2005.13018, 2020.</w:t>
      </w:r>
    </w:p>
    <w:p>
      <w:pPr>
        <w:spacing w:lineRule="exact" w:line="150"/>
        <w:ind w:left="245" w:hanging="245"/>
      </w:pPr>
      <w:r>
        <w:rPr>
          <w:rFonts w:ascii="Times New Roman" w:hAnsi="Times New Roman"/>
          <w:b w:val="0"/>
          <w:i w:val="0"/>
          <w:color w:val="000000"/>
          <w:sz w:val="15"/>
        </w:rPr>
        <w:t>[49] E. Farhi, J. Goldstone, and S. Gutmann, "A quantum approximate optimization algorithm," arXiv:1411.4028, 2014.</w:t>
      </w:r>
    </w:p>
    <w:p>
      <w:pPr>
        <w:spacing w:lineRule="exact" w:line="150"/>
        <w:ind w:left="245" w:hanging="245"/>
      </w:pPr>
      <w:r>
        <w:rPr>
          <w:rFonts w:ascii="Times New Roman" w:hAnsi="Times New Roman"/>
          <w:b w:val="0"/>
          <w:i w:val="0"/>
          <w:color w:val="000000"/>
          <w:sz w:val="15"/>
        </w:rPr>
        <w:t>[50] D. Coppersmith, "An approximate Fourier transform useful in quantum factoring," arXiv:quant-ph/0201067, 2002.</w:t>
      </w:r>
    </w:p>
    <w:sectPr w:rsidR="00FC693F" w:rsidRPr="0006063C" w:rsidSect="00034616">
      <w:type w:val="continuous"/>
      <w:pgSz w:w="12240" w:h="15840"/>
      <w:pgMar w:top="1080" w:right="900" w:bottom="1440" w:left="90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16"/>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QWeave: Correctness-First Deterministic and Learned Qubit Routing</dc:title>
  <dc:subject>IEEE conference-style QWeave manuscript</dc:subject>
  <dc:creator>Atharva Sheersh Pandey; Diptesh Das; Shrivardhini N; Haridasu Sreedhar; Prof. Bhuvaneswari M</dc:creator>
  <cp:keywords>quantum compilation, qubit mapping, qubit routing, reinforcement learning, graph neural networks, scheduling</cp:keywords>
  <dc:description>generated by python-docx</dc:description>
  <cp:lastModifiedBy/>
  <cp:revision>1</cp:revision>
  <dcterms:created xsi:type="dcterms:W3CDTF">2013-12-23T23:15:00Z</dcterms:created>
  <dcterms:modified xsi:type="dcterms:W3CDTF">2013-12-23T23:15:00Z</dcterms:modified>
  <cp:category/>
</cp:coreProperties>
</file>