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KIET GROUP OF INSTITUTIONS</w:t>
        <w:br/>
      </w:r>
      <w:r>
        <w:rPr>
          <w:b/>
          <w:sz w:val="24"/>
        </w:rPr>
        <w:t>SOFTWARE ENGINEERING &amp; DESIGN PRINCIPLES LAB — CS311P</w:t>
        <w:br/>
      </w:r>
      <w:r>
        <w:rPr>
          <w:b/>
          <w:sz w:val="28"/>
        </w:rPr>
        <w:t>EXPERIMENT 8: SOFTWARE DESIGN PRINCIPLES — DESIGN ANALYSIS REPORT</w:t>
      </w:r>
    </w:p>
    <w:p>
      <w:pPr>
        <w:jc w:val="center"/>
      </w:pPr>
      <w:r>
        <w:rPr>
          <w:b/>
        </w:rPr>
        <w:t>Project: Loan Eligibility Prediction System</w:t>
      </w:r>
    </w:p>
    <w:p>
      <w:r>
        <w:t>Project Team: Dipti Gupta — Project Manager &amp; GenAI; Diksha Verma — Backend Developer; Kashika Maurya — Frontend Developer &amp; Testing/QA</w:t>
      </w:r>
    </w:p>
    <w:p>
      <w:pPr>
        <w:pStyle w:val="Heading1"/>
      </w:pPr>
      <w:r>
        <w:t>1. Aim</w:t>
      </w:r>
    </w:p>
    <w:p>
      <w:r>
        <w:t>To analyse the Loan Eligibility Prediction System using modularization, coupling and cohesion, function-oriented versus object-oriented design, and top-down and bottom-up design strategies.</w:t>
      </w:r>
    </w:p>
    <w:p>
      <w:pPr>
        <w:pStyle w:val="Heading1"/>
      </w:pPr>
      <w:r>
        <w:t>2. Project Description</w:t>
      </w:r>
    </w:p>
    <w:p>
      <w:r>
        <w:t>The Loan Eligibility Prediction System is a banking and financial services decision-support application. As described in the project README and SRS, it accepts applicant information such as income, credit history, loan amount, employment status and education; validates and preprocesses the information; applies a trained machine-learning classification model; and displays a preliminary eligibility prediction. It does not provide guaranteed or final loan approval.</w:t>
      </w:r>
    </w:p>
    <w:p>
      <w:r>
        <w:t>Scope note: the supplied project ZIP contains the README, SRS, requirement report and UML diagram images, but no application source code. Therefore, this report applies design principles to the documented workflow and distinguishes recommended design from verified implementation.</w:t>
      </w:r>
    </w:p>
    <w:p>
      <w:pPr>
        <w:pStyle w:val="Heading1"/>
      </w:pPr>
      <w:r>
        <w:t>3. Modularization</w:t>
      </w:r>
    </w:p>
    <w:p>
      <w:r>
        <w:t>Modularization is the process of dividing a software system into smaller components, each responsible for a clear task. Based on the requirements FR-01 to FR-07 in the SRS, the following logical modules are suitable:</w:t>
      </w:r>
    </w:p>
    <w:tbl>
      <w:tblPr>
        <w:tblStyle w:val="TableGrid"/>
        <w:tblW w:type="auto" w:w="0"/>
        <w:tblLook w:firstColumn="1" w:firstRow="1" w:lastColumn="0" w:lastRow="0" w:noHBand="0" w:noVBand="1" w:val="04A0"/>
      </w:tblPr>
      <w:tblGrid>
        <w:gridCol w:w="3360"/>
        <w:gridCol w:w="3360"/>
        <w:gridCol w:w="3360"/>
      </w:tblGrid>
      <w:tr>
        <w:tc>
          <w:tcPr>
            <w:tcW w:type="dxa" w:w="3360"/>
          </w:tcPr>
          <w:p>
            <w:r>
              <w:t>Module</w:t>
            </w:r>
          </w:p>
        </w:tc>
        <w:tc>
          <w:tcPr>
            <w:tcW w:type="dxa" w:w="3360"/>
          </w:tcPr>
          <w:p>
            <w:r>
              <w:t>Responsibility</w:t>
            </w:r>
          </w:p>
        </w:tc>
        <w:tc>
          <w:tcPr>
            <w:tcW w:type="dxa" w:w="3360"/>
          </w:tcPr>
          <w:p>
            <w:r>
              <w:t>Related requirement(s)</w:t>
            </w:r>
          </w:p>
        </w:tc>
      </w:tr>
      <w:tr>
        <w:tc>
          <w:tcPr>
            <w:tcW w:type="dxa" w:w="3360"/>
          </w:tcPr>
          <w:p>
            <w:r>
              <w:t>Applicant Interface</w:t>
            </w:r>
          </w:p>
        </w:tc>
        <w:tc>
          <w:tcPr>
            <w:tcW w:type="dxa" w:w="3360"/>
          </w:tcPr>
          <w:p>
            <w:r>
              <w:t>Collect applicant attributes and show validation messages and the result.</w:t>
            </w:r>
          </w:p>
        </w:tc>
        <w:tc>
          <w:tcPr>
            <w:tcW w:type="dxa" w:w="3360"/>
          </w:tcPr>
          <w:p>
            <w:r>
              <w:t>FR-01, FR-05, FR-06</w:t>
            </w:r>
          </w:p>
        </w:tc>
      </w:tr>
      <w:tr>
        <w:tc>
          <w:tcPr>
            <w:tcW w:type="dxa" w:w="3360"/>
          </w:tcPr>
          <w:p>
            <w:r>
              <w:t>Input Validation</w:t>
            </w:r>
          </w:p>
        </w:tc>
        <w:tc>
          <w:tcPr>
            <w:tcW w:type="dxa" w:w="3360"/>
          </w:tcPr>
          <w:p>
            <w:r>
              <w:t>Check that required fields are present and values use acceptable formats.</w:t>
            </w:r>
          </w:p>
        </w:tc>
        <w:tc>
          <w:tcPr>
            <w:tcW w:type="dxa" w:w="3360"/>
          </w:tcPr>
          <w:p>
            <w:r>
              <w:t>FR-02, FR-06</w:t>
            </w:r>
          </w:p>
        </w:tc>
      </w:tr>
      <w:tr>
        <w:tc>
          <w:tcPr>
            <w:tcW w:type="dxa" w:w="3360"/>
          </w:tcPr>
          <w:p>
            <w:r>
              <w:t>Data Processing / Preprocessing</w:t>
            </w:r>
          </w:p>
        </w:tc>
        <w:tc>
          <w:tcPr>
            <w:tcW w:type="dxa" w:w="3360"/>
          </w:tcPr>
          <w:p>
            <w:r>
              <w:t>Prepare or encode valid inputs into the format expected by the model.</w:t>
            </w:r>
          </w:p>
        </w:tc>
        <w:tc>
          <w:tcPr>
            <w:tcW w:type="dxa" w:w="3360"/>
          </w:tcPr>
          <w:p>
            <w:r>
              <w:t>FR-03</w:t>
            </w:r>
          </w:p>
        </w:tc>
      </w:tr>
      <w:tr>
        <w:tc>
          <w:tcPr>
            <w:tcW w:type="dxa" w:w="3360"/>
          </w:tcPr>
          <w:p>
            <w:r>
              <w:t>Prediction Service</w:t>
            </w:r>
          </w:p>
        </w:tc>
        <w:tc>
          <w:tcPr>
            <w:tcW w:type="dxa" w:w="3360"/>
          </w:tcPr>
          <w:p>
            <w:r>
              <w:t>Invoke the trained classification model and return its predicted class.</w:t>
            </w:r>
          </w:p>
        </w:tc>
        <w:tc>
          <w:tcPr>
            <w:tcW w:type="dxa" w:w="3360"/>
          </w:tcPr>
          <w:p>
            <w:r>
              <w:t>FR-04</w:t>
            </w:r>
          </w:p>
        </w:tc>
      </w:tr>
      <w:tr>
        <w:tc>
          <w:tcPr>
            <w:tcW w:type="dxa" w:w="3360"/>
          </w:tcPr>
          <w:p>
            <w:r>
              <w:t>Result Presentation</w:t>
            </w:r>
          </w:p>
        </w:tc>
        <w:tc>
          <w:tcPr>
            <w:tcW w:type="dxa" w:w="3360"/>
          </w:tcPr>
          <w:p>
            <w:r>
              <w:t>Display the prediction clearly and state that it is preliminary.</w:t>
            </w:r>
          </w:p>
        </w:tc>
        <w:tc>
          <w:tcPr>
            <w:tcW w:type="dxa" w:w="3360"/>
          </w:tcPr>
          <w:p>
            <w:r>
              <w:t>FR-05</w:t>
            </w:r>
          </w:p>
        </w:tc>
      </w:tr>
      <w:tr>
        <w:tc>
          <w:tcPr>
            <w:tcW w:type="dxa" w:w="3360"/>
          </w:tcPr>
          <w:p>
            <w:r>
              <w:t>Model/Data Maintenance</w:t>
            </w:r>
          </w:p>
        </w:tc>
        <w:tc>
          <w:tcPr>
            <w:tcW w:type="dxa" w:w="3360"/>
          </w:tcPr>
          <w:p>
            <w:r>
              <w:t>Allow authorised maintenance of model/data resources when implemented.</w:t>
            </w:r>
          </w:p>
        </w:tc>
        <w:tc>
          <w:tcPr>
            <w:tcW w:type="dxa" w:w="3360"/>
          </w:tcPr>
          <w:p>
            <w:r>
              <w:t>FR-07</w:t>
            </w:r>
          </w:p>
        </w:tc>
      </w:tr>
      <w:tr>
        <w:tc>
          <w:tcPr>
            <w:tcW w:type="dxa" w:w="3360"/>
          </w:tcPr>
          <w:p>
            <w:r>
              <w:t>Optional GenAI Assistance</w:t>
            </w:r>
          </w:p>
        </w:tc>
        <w:tc>
          <w:tcPr>
            <w:tcW w:type="dxa" w:w="3360"/>
          </w:tcPr>
          <w:p>
            <w:r>
              <w:t>Explain the displayed prediction in simple language; do not make the lending decision.</w:t>
            </w:r>
          </w:p>
        </w:tc>
        <w:tc>
          <w:tcPr>
            <w:tcW w:type="dxa" w:w="3360"/>
          </w:tcPr>
          <w:p>
            <w:r>
              <w:t>GenAI component in SRS</w:t>
            </w:r>
          </w:p>
        </w:tc>
      </w:tr>
    </w:tbl>
    <w:p>
      <w:r>
        <w:t>Advantages: modularity improves readability, makes testing easier, limits the effect of changes, and supports future enhancement. These are logical design modules; the ZIP does not prove that each is implemented as a separate code module.</w:t>
      </w:r>
    </w:p>
    <w:p>
      <w:pPr>
        <w:pStyle w:val="Heading1"/>
      </w:pPr>
      <w:r>
        <w:t>4. Coupling Analysis</w:t>
      </w:r>
    </w:p>
    <w:p>
      <w:r>
        <w:t>Coupling measures the degree of dependency between modules. Low coupling is desirable because a change in one component should have minimal impact on others.</w:t>
      </w:r>
    </w:p>
    <w:p>
      <w:pPr>
        <w:pStyle w:val="ListBullet"/>
      </w:pPr>
      <w:r>
        <w:t>High-coupling risk: the user interface directly accesses model internals or duplicates preprocessing rules.</w:t>
      </w:r>
    </w:p>
    <w:p>
      <w:pPr>
        <w:pStyle w:val="ListBullet"/>
      </w:pPr>
      <w:r>
        <w:t>Recommended approach: the interface passes applicant data to a validation/service component using a clear input structure.</w:t>
      </w:r>
    </w:p>
    <w:p>
      <w:pPr>
        <w:pStyle w:val="ListBullet"/>
      </w:pPr>
      <w:r>
        <w:t>The prediction service should expose a defined input/output contract rather than requiring the interface to know how the classifier works.</w:t>
      </w:r>
    </w:p>
    <w:p>
      <w:pPr>
        <w:pStyle w:val="ListBullet"/>
      </w:pPr>
      <w:r>
        <w:t>GenAI assistance, if implemented, should receive the approved prediction/context through a separate interface and must not change the classifier result.</w:t>
      </w:r>
    </w:p>
    <w:p>
      <w:r>
        <w:t>Assessment: the recommended architecture aims for low coupling. Actual coupling cannot be measured without source code.</w:t>
      </w:r>
    </w:p>
    <w:p>
      <w:pPr>
        <w:pStyle w:val="Heading1"/>
      </w:pPr>
      <w:r>
        <w:t>5. Cohesion Analysis</w:t>
      </w:r>
    </w:p>
    <w:p>
      <w:r>
        <w:t>Cohesion measures how closely the responsibilities within a module are related. High cohesion is desirable.</w:t>
      </w:r>
    </w:p>
    <w:p>
      <w:pPr>
        <w:pStyle w:val="ListBullet"/>
      </w:pPr>
      <w:r>
        <w:t>Validation module: contains input checks and validation messages only.</w:t>
      </w:r>
    </w:p>
    <w:p>
      <w:pPr>
        <w:pStyle w:val="ListBullet"/>
      </w:pPr>
      <w:r>
        <w:t>Preprocessing module: transforms accepted applicant data into the model's expected features.</w:t>
      </w:r>
    </w:p>
    <w:p>
      <w:pPr>
        <w:pStyle w:val="ListBullet"/>
      </w:pPr>
      <w:r>
        <w:t>Prediction module: runs the trained classifier and returns the predicted class.</w:t>
      </w:r>
    </w:p>
    <w:p>
      <w:pPr>
        <w:pStyle w:val="ListBullet"/>
      </w:pPr>
      <w:r>
        <w:t>Presentation module: formats and displays results to the user.</w:t>
      </w:r>
    </w:p>
    <w:p>
      <w:pPr>
        <w:pStyle w:val="ListBullet"/>
      </w:pPr>
      <w:r>
        <w:t>A single component that collects data, validates it, preprocesses it, runs the model and formats the screen would have low cohesion.</w:t>
      </w:r>
    </w:p>
    <w:p>
      <w:r>
        <w:t>Assessment: separating these responsibilities would provide high cohesion. This is a design recommendation, not a claim about unseen source code.</w:t>
      </w:r>
    </w:p>
    <w:p>
      <w:pPr>
        <w:pStyle w:val="Heading1"/>
      </w:pPr>
      <w:r>
        <w:t>6. Function-Oriented vs Object-Oriented Design</w:t>
      </w:r>
    </w:p>
    <w:tbl>
      <w:tblPr>
        <w:tblStyle w:val="TableGrid"/>
        <w:tblW w:type="auto" w:w="0"/>
        <w:tblLook w:firstColumn="1" w:firstRow="1" w:lastColumn="0" w:lastRow="0" w:noHBand="0" w:noVBand="1" w:val="04A0"/>
      </w:tblPr>
      <w:tblGrid>
        <w:gridCol w:w="3360"/>
        <w:gridCol w:w="3360"/>
        <w:gridCol w:w="3360"/>
      </w:tblGrid>
      <w:tr>
        <w:tc>
          <w:tcPr>
            <w:tcW w:type="dxa" w:w="3360"/>
          </w:tcPr>
          <w:p>
            <w:r>
              <w:t>Aspect</w:t>
            </w:r>
          </w:p>
        </w:tc>
        <w:tc>
          <w:tcPr>
            <w:tcW w:type="dxa" w:w="3360"/>
          </w:tcPr>
          <w:p>
            <w:r>
              <w:t>Function-oriented approach</w:t>
            </w:r>
          </w:p>
        </w:tc>
        <w:tc>
          <w:tcPr>
            <w:tcW w:type="dxa" w:w="3360"/>
          </w:tcPr>
          <w:p>
            <w:r>
              <w:t>Object-oriented approach</w:t>
            </w:r>
          </w:p>
        </w:tc>
      </w:tr>
      <w:tr>
        <w:tc>
          <w:tcPr>
            <w:tcW w:type="dxa" w:w="3360"/>
          </w:tcPr>
          <w:p>
            <w:r>
              <w:t>Main focus</w:t>
            </w:r>
          </w:p>
        </w:tc>
        <w:tc>
          <w:tcPr>
            <w:tcW w:type="dxa" w:w="3360"/>
          </w:tcPr>
          <w:p>
            <w:r>
              <w:t>Functions and the order of processing steps.</w:t>
            </w:r>
          </w:p>
        </w:tc>
        <w:tc>
          <w:tcPr>
            <w:tcW w:type="dxa" w:w="3360"/>
          </w:tcPr>
          <w:p>
            <w:r>
              <w:t>Objects combining data and behaviour.</w:t>
            </w:r>
          </w:p>
        </w:tc>
      </w:tr>
      <w:tr>
        <w:tc>
          <w:tcPr>
            <w:tcW w:type="dxa" w:w="3360"/>
          </w:tcPr>
          <w:p>
            <w:r>
              <w:t>Example for this project</w:t>
            </w:r>
          </w:p>
        </w:tc>
        <w:tc>
          <w:tcPr>
            <w:tcW w:type="dxa" w:w="3360"/>
          </w:tcPr>
          <w:p>
            <w:r>
              <w:t>validate_input(), preprocess_applicant(), predict_eligibility(), display_result().</w:t>
            </w:r>
          </w:p>
        </w:tc>
        <w:tc>
          <w:tcPr>
            <w:tcW w:type="dxa" w:w="3360"/>
          </w:tcPr>
          <w:p>
            <w:r>
              <w:t>ApplicantDetails, ValidationService, PredictionService, Result.</w:t>
            </w:r>
          </w:p>
        </w:tc>
      </w:tr>
      <w:tr>
        <w:tc>
          <w:tcPr>
            <w:tcW w:type="dxa" w:w="3360"/>
          </w:tcPr>
          <w:p>
            <w:r>
              <w:t>Advantages</w:t>
            </w:r>
          </w:p>
        </w:tc>
        <w:tc>
          <w:tcPr>
            <w:tcW w:type="dxa" w:w="3360"/>
          </w:tcPr>
          <w:p>
            <w:r>
              <w:t>Direct and easy to understand for a small linear workflow.</w:t>
            </w:r>
          </w:p>
        </w:tc>
        <w:tc>
          <w:tcPr>
            <w:tcW w:type="dxa" w:w="3360"/>
          </w:tcPr>
          <w:p>
            <w:r>
              <w:t>Clear responsibility boundaries can help when the system grows.</w:t>
            </w:r>
          </w:p>
        </w:tc>
      </w:tr>
      <w:tr>
        <w:tc>
          <w:tcPr>
            <w:tcW w:type="dxa" w:w="3360"/>
          </w:tcPr>
          <w:p>
            <w:r>
              <w:t>Limitations</w:t>
            </w:r>
          </w:p>
        </w:tc>
        <w:tc>
          <w:tcPr>
            <w:tcW w:type="dxa" w:w="3360"/>
          </w:tcPr>
          <w:p>
            <w:r>
              <w:t>Shared data and responsibilities may become harder to manage as complexity grows.</w:t>
            </w:r>
          </w:p>
        </w:tc>
        <w:tc>
          <w:tcPr>
            <w:tcW w:type="dxa" w:w="3360"/>
          </w:tcPr>
          <w:p>
            <w:r>
              <w:t>Unnecessary classes can make a small prototype more complex.</w:t>
            </w:r>
          </w:p>
        </w:tc>
      </w:tr>
      <w:tr>
        <w:tc>
          <w:tcPr>
            <w:tcW w:type="dxa" w:w="3360"/>
          </w:tcPr>
          <w:p>
            <w:r>
              <w:t>Suitable use</w:t>
            </w:r>
          </w:p>
        </w:tc>
        <w:tc>
          <w:tcPr>
            <w:tcW w:type="dxa" w:w="3360"/>
          </w:tcPr>
          <w:p>
            <w:r>
              <w:t>A small prototype or script.</w:t>
            </w:r>
          </w:p>
        </w:tc>
        <w:tc>
          <w:tcPr>
            <w:tcW w:type="dxa" w:w="3360"/>
          </w:tcPr>
          <w:p>
            <w:r>
              <w:t>A larger application with separate services and data models.</w:t>
            </w:r>
          </w:p>
        </w:tc>
      </w:tr>
    </w:tbl>
    <w:p>
      <w:r>
        <w:t>Recommendation: either approach can implement the required workflow. A function-oriented implementation can be appropriate for a small model prototype, while classes/services can organise a larger application. The supplied files do not identify the actual implementation style.</w:t>
      </w:r>
    </w:p>
    <w:p>
      <w:pPr>
        <w:pStyle w:val="Heading1"/>
      </w:pPr>
      <w:r>
        <w:t>7. Top-Down and Bottom-Up Design</w:t>
      </w:r>
    </w:p>
    <w:p>
      <w:pPr>
        <w:pStyle w:val="Heading2"/>
      </w:pPr>
      <w:r>
        <w:t>7.1 Top-Down Design</w:t>
      </w:r>
    </w:p>
    <w:p>
      <w:r>
        <w:t>Top-down design starts with the overall system and divides it into smaller tasks. For this project, the high-level flow is: enter applicant details → validate input → preprocess data → generate prediction → display result. Each step can then be designed in detail.</w:t>
      </w:r>
    </w:p>
    <w:p>
      <w:pPr>
        <w:pStyle w:val="Heading2"/>
      </w:pPr>
      <w:r>
        <w:t>7.2 Bottom-Up Design</w:t>
      </w:r>
    </w:p>
    <w:p>
      <w:r>
        <w:t>Bottom-up design starts by building and testing small components, then combines them into the complete system. For example, input validation, feature preprocessing and prediction invocation can be tested individually before being integrated with the interface.</w:t>
      </w:r>
    </w:p>
    <w:p>
      <w:pPr>
        <w:pStyle w:val="Heading2"/>
      </w:pPr>
      <w:r>
        <w:t>7.3 Recommended Strategy</w:t>
      </w:r>
    </w:p>
    <w:p>
      <w:r>
        <w:t>Use both approaches. First plan the complete workflow top-down so requirements are not missed. Then implement and test individual components bottom-up before integrating them.</w:t>
      </w:r>
    </w:p>
    <w:p>
      <w:pPr>
        <w:pStyle w:val="Heading1"/>
      </w:pPr>
      <w:r>
        <w:t>8. Design Principles Applied to Requirements</w:t>
      </w:r>
    </w:p>
    <w:tbl>
      <w:tblPr>
        <w:tblStyle w:val="TableGrid"/>
        <w:tblW w:type="auto" w:w="0"/>
        <w:tblLook w:firstColumn="1" w:firstRow="1" w:lastColumn="0" w:lastRow="0" w:noHBand="0" w:noVBand="1" w:val="04A0"/>
      </w:tblPr>
      <w:tblGrid>
        <w:gridCol w:w="5040"/>
        <w:gridCol w:w="5040"/>
      </w:tblGrid>
      <w:tr>
        <w:tc>
          <w:tcPr>
            <w:tcW w:type="dxa" w:w="5040"/>
          </w:tcPr>
          <w:p>
            <w:r>
              <w:t>SRS requirement</w:t>
            </w:r>
          </w:p>
        </w:tc>
        <w:tc>
          <w:tcPr>
            <w:tcW w:type="dxa" w:w="5040"/>
          </w:tcPr>
          <w:p>
            <w:r>
              <w:t>Design implication</w:t>
            </w:r>
          </w:p>
        </w:tc>
      </w:tr>
      <w:tr>
        <w:tc>
          <w:tcPr>
            <w:tcW w:type="dxa" w:w="5040"/>
          </w:tcPr>
          <w:p>
            <w:r>
              <w:t>FR-01 Applicant Data Entry</w:t>
            </w:r>
          </w:p>
        </w:tc>
        <w:tc>
          <w:tcPr>
            <w:tcW w:type="dxa" w:w="5040"/>
          </w:tcPr>
          <w:p>
            <w:r>
              <w:t>Keep input collection in the interface layer.</w:t>
            </w:r>
          </w:p>
        </w:tc>
      </w:tr>
      <w:tr>
        <w:tc>
          <w:tcPr>
            <w:tcW w:type="dxa" w:w="5040"/>
          </w:tcPr>
          <w:p>
            <w:r>
              <w:t>FR-02 Input Validation</w:t>
            </w:r>
          </w:p>
        </w:tc>
        <w:tc>
          <w:tcPr>
            <w:tcW w:type="dxa" w:w="5040"/>
          </w:tcPr>
          <w:p>
            <w:r>
              <w:t>Validate required fields before model processing.</w:t>
            </w:r>
          </w:p>
        </w:tc>
      </w:tr>
      <w:tr>
        <w:tc>
          <w:tcPr>
            <w:tcW w:type="dxa" w:w="5040"/>
          </w:tcPr>
          <w:p>
            <w:r>
              <w:t>FR-03 Data Processing</w:t>
            </w:r>
          </w:p>
        </w:tc>
        <w:tc>
          <w:tcPr>
            <w:tcW w:type="dxa" w:w="5040"/>
          </w:tcPr>
          <w:p>
            <w:r>
              <w:t>Keep feature transformation separate and consistent with model expectations.</w:t>
            </w:r>
          </w:p>
        </w:tc>
      </w:tr>
      <w:tr>
        <w:tc>
          <w:tcPr>
            <w:tcW w:type="dxa" w:w="5040"/>
          </w:tcPr>
          <w:p>
            <w:r>
              <w:t>FR-04 Eligibility Prediction</w:t>
            </w:r>
          </w:p>
        </w:tc>
        <w:tc>
          <w:tcPr>
            <w:tcW w:type="dxa" w:w="5040"/>
          </w:tcPr>
          <w:p>
            <w:r>
              <w:t>Encapsulate classifier invocation behind a clear service/function boundary.</w:t>
            </w:r>
          </w:p>
        </w:tc>
      </w:tr>
      <w:tr>
        <w:tc>
          <w:tcPr>
            <w:tcW w:type="dxa" w:w="5040"/>
          </w:tcPr>
          <w:p>
            <w:r>
              <w:t>FR-05 Result Display</w:t>
            </w:r>
          </w:p>
        </w:tc>
        <w:tc>
          <w:tcPr>
            <w:tcW w:type="dxa" w:w="5040"/>
          </w:tcPr>
          <w:p>
            <w:r>
              <w:t>Separate result formatting from prediction logic.</w:t>
            </w:r>
          </w:p>
        </w:tc>
      </w:tr>
      <w:tr>
        <w:tc>
          <w:tcPr>
            <w:tcW w:type="dxa" w:w="5040"/>
          </w:tcPr>
          <w:p>
            <w:r>
              <w:t>FR-06 Error Handling</w:t>
            </w:r>
          </w:p>
        </w:tc>
        <w:tc>
          <w:tcPr>
            <w:tcW w:type="dxa" w:w="5040"/>
          </w:tcPr>
          <w:p>
            <w:r>
              <w:t>Return understandable validation or processing errors without exposing sensitive internals.</w:t>
            </w:r>
          </w:p>
        </w:tc>
      </w:tr>
      <w:tr>
        <w:tc>
          <w:tcPr>
            <w:tcW w:type="dxa" w:w="5040"/>
          </w:tcPr>
          <w:p>
            <w:r>
              <w:t>FR-07 Maintenance</w:t>
            </w:r>
          </w:p>
        </w:tc>
        <w:tc>
          <w:tcPr>
            <w:tcW w:type="dxa" w:w="5040"/>
          </w:tcPr>
          <w:p>
            <w:r>
              <w:t>Restrict maintenance to authorised users when that functionality is implemented.</w:t>
            </w:r>
          </w:p>
        </w:tc>
      </w:tr>
    </w:tbl>
    <w:p>
      <w:pPr>
        <w:pStyle w:val="Heading1"/>
      </w:pPr>
      <w:r>
        <w:t>9. Quality, Security and Ethical Considerations</w:t>
      </w:r>
    </w:p>
    <w:p>
      <w:pPr>
        <w:pStyle w:val="ListBullet"/>
      </w:pPr>
      <w:r>
        <w:t>Maintainability: use clear responsibilities and document changes to model/data resources.</w:t>
      </w:r>
    </w:p>
    <w:p>
      <w:pPr>
        <w:pStyle w:val="ListBullet"/>
      </w:pPr>
      <w:r>
        <w:t>Testability: test valid data, missing fields, incorrect formats, prediction success and processing failures.</w:t>
      </w:r>
    </w:p>
    <w:p>
      <w:pPr>
        <w:pStyle w:val="ListBullet"/>
      </w:pPr>
      <w:r>
        <w:t>Privacy: avoid collecting or logging unnecessary personal and financial information; protect stored information.</w:t>
      </w:r>
    </w:p>
    <w:p>
      <w:pPr>
        <w:pStyle w:val="ListBullet"/>
      </w:pPr>
      <w:r>
        <w:t>Reliability: handle exceptions and show clear messages when processing cannot be completed.</w:t>
      </w:r>
    </w:p>
    <w:p>
      <w:pPr>
        <w:pStyle w:val="ListBullet"/>
      </w:pPr>
      <w:r>
        <w:t>Fairness: prediction quality depends on training data, selected features and model performance; evaluate for bias before real-world use.</w:t>
      </w:r>
    </w:p>
    <w:p>
      <w:pPr>
        <w:pStyle w:val="ListBullet"/>
      </w:pPr>
      <w:r>
        <w:t>Responsible presentation: label the output as a preliminary prediction, not guaranteed or final loan approval.</w:t>
      </w:r>
    </w:p>
    <w:p>
      <w:pPr>
        <w:pStyle w:val="Heading1"/>
      </w:pPr>
      <w:r>
        <w:t>10. Conclusion</w:t>
      </w:r>
    </w:p>
    <w:p>
      <w:r>
        <w:t>The analysis recommends modularization, low coupling, high cohesion, clear separation between input, validation, preprocessing, prediction and presentation, and a combined top-down/bottom-up design strategy. These principles align with the project's documented functional and non-functional requirements. The actual code should be reviewed before confirming implementation-level properties.</w:t>
      </w:r>
    </w:p>
    <w:p>
      <w:pPr>
        <w:pStyle w:val="Heading1"/>
      </w:pPr>
      <w:r>
        <w:t>References</w:t>
      </w:r>
    </w:p>
    <w:p>
      <w:r>
        <w:t>1. Loan Eligibility Prediction System — README.md, supplied project repository ZIP.</w:t>
      </w:r>
    </w:p>
    <w:p>
      <w:r>
        <w:t>2. Software Requirements Specification (SRS), docs/SRS/SRS_Loan_Eligibility_Prediction_System.docx.</w:t>
      </w:r>
    </w:p>
    <w:p>
      <w:r>
        <w:t>3. Requirement Analysis Report, docs/Requirement_Report/Requirement_Report_Loan_Eligibility_Prediction_System.docx.</w:t>
      </w:r>
    </w:p>
    <w:p>
      <w:r>
        <w:t>4. CS311P Software Engineering &amp; Design Principles Lab — revised list of experiments.</w:t>
      </w:r>
    </w:p>
    <w:p>
      <w:r>
        <w:t>Student Signature: __________________________     Faculty Signature: __________________________</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