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480" w:lineRule="auto"/>
        <w:ind w:left="0" w:firstLine="0"/>
        <w:jc w:val="left"/>
        <w:rPr>
          <w:b w:val="1"/>
          <w:bCs w:val="1"/>
          <w:color w:val="1f1f1f"/>
          <w:sz w:val="46"/>
          <w:szCs w:val="46"/>
        </w:rPr>
      </w:pPr>
      <w:bookmarkStart w:colFirst="0" w:colLast="0" w:name="_p70tnkpbr14i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                  FORUM ATHLETICUM: 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Mandating Sports under NEP: Standardizing Infrastructure, Safety, and Curriculum.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i w:val="1"/>
          <w:iCs w:val="1"/>
          <w:color w:val="1f1f1f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Agenda: Mandating Sports under the National Education Policy (NEP): Standardizing Infrastructure, Safety, and Curriculum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Vision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To shape 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future-ready, inclusive, and resilient youth fitness ecosystem</w:t>
      </w:r>
      <w:r w:rsidDel="00000000" w:rsidR="00000000" w:rsidRPr="00000000">
        <w:rPr>
          <w:color w:val="1f1f1f"/>
          <w:rtl w:val="0"/>
        </w:rPr>
        <w:t xml:space="preserve"> where every student has access to structured sports education through collaboration between government policymakers, school administrators, physical educators, and industry partners.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Committee Objective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Over four focused sessions, stakeholders will collectively answer four defining questions: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How can space-constrained schools fulfill sports mandates without losing board affiliation?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What legal guardrails are needed to safely fund sports facilities via public-private partnerships?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How do we implement compulsory sports grading without penalizing non-athletic or disabled students?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Which emergency safety protocols must be established to protect students during severe environmental crises?</w:t>
      </w:r>
    </w:p>
    <w:p w:rsidR="00000000" w:rsidDel="00000000" w:rsidP="00000000" w:rsidRDefault="00000000" w:rsidRPr="00000000" w14:paraId="0000000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Stakeholders / Members of the Committee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Ministry of Youth Affairs and Sports / Sports Authority of India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Ministry of Education (School Education &amp; Literacy) /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Central School Boards (CBSE &amp; CISCE)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Budget Private Schools 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Government Central Schools 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All India Physical Education Teachers’ &amp; Coaches’ Association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Medical Experts (Indian Academy of Pediatrics) / Sports Law India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Corporate Sports Academies &amp; EdTech Firms (Tata, Reliance,)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