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9eh4pm83v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FORUM TERRA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Green Transition Without Economic Collapse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tz7hyhatd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 sustainable and economically resilient future where governments, industries, scientists, and communities work together to achieve climate goals while safeguarding livelihoods, energy security, and equitable economic growth.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ny3k9xxfz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Committee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four focused sessions, stakeholders will collectively answer five defining questions: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biggest barriers to achieving a green transition without harming economic growth?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governments balance climate commitments with employment, industrial competitiveness, and energy security?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should businesses, financial institutions, and technological innovation play in accelerating sustainable development?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developing economies ensure a just and equitable transition for workers, vulnerable communities, and future generations?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collaborative policy framework can enable a rapid green transition while maintaining economic stability and long-term prosperity?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hcoyzgbys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Stakeholders / Members of the Committee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 &amp; Climate Policy Authorities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&amp; Renewable Power Sector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Industries &amp; Manufacturing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Finance, Banking &amp; Green Investment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Scientists &amp; Climate Research Institutions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Agriculture &amp; Natural Resource Management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NGOs &amp; Civil Society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Unions &amp; Workforce Representatives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Indigenous &amp; Local Community Representatives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Organizations &amp; Development Partners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