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42"/>
          <w:szCs w:val="42"/>
        </w:rPr>
      </w:pPr>
      <w:bookmarkStart w:colFirst="0" w:colLast="0" w:name="_p70tnkpbr14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2"/>
          <w:szCs w:val="42"/>
          <w:rtl w:val="0"/>
        </w:rPr>
        <w:t xml:space="preserve">FORUM LIBERTAS AND CULTURA: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Agenda: Bridging India's Urban–Rural Divide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Vision: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 create an inclusive platform where policymakers, educators, community leaders, industry representatives, and citizens collaborate to bridge India's urban-rural divide by promoting equitable development, strengthening social cohesion, and preserving the nation's rich cultural diversity.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Committee Objective: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Over four focused sessions, stakeholders will collectively answer five defining questions: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What are the root causes behind India's persistent urban-rural disparities?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How can access to quality education, healthcare, infrastructure and digital connectivity be improved across rural India?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How can economic development be achieved without compromising local cultures, traditions and community identities?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How can governments, industries and civil society work together to reduce migration pressures and create sustainable opportunities in rural India?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What collaborative policy framework can bridge the urban-rural divide while ensuring inclusive, sustainable and culturally sensitive development?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Stakeholders / Members of the Committee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Government &amp; Public Administration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Educational Institutions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Healthcare &amp; Social Welfare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Agriculture &amp; Rural Livelihoods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Business, Industry &amp; Entrepreneurship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Banking &amp; Financial Inclusion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Civil Society &amp; Community Organizations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Tribal &amp; Cultural Representatives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Media &amp; Communications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Infrastructure, Urban Planning &amp; Digital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