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ilv5gthfah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Forum Mercatus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Agenda: Addressing Youth Unemployment in a Changing Economy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x9u0jo1f8eb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u w:val="single"/>
          <w:rtl w:val="0"/>
        </w:rPr>
        <w:t xml:space="preserve">Vision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shape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future-ready, inclusive, and resilient labour market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where every young person has access to meaningful employment through collaboration between government, industry, educational institutions, and society.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qibyyss9pkj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u w:val="single"/>
          <w:rtl w:val="0"/>
        </w:rPr>
        <w:t xml:space="preserve">Committee Objective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 five focused sessions, stakeholders will collectively answer five defining questions: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Why are young people unemployed?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Which sectors can create the jobs of tomorrow?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skills will future employers demand?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Which policies can accelerate sustainable employment?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 can economic growth remain inclusive for every individual?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</w:rPr>
      </w:pPr>
      <w:bookmarkStart w:colFirst="0" w:colLast="0" w:name="_d7j8t9wh2bl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Stakeholders / Members of the Committee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Ministry of Labour &amp; Employment / Labour Economists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Ministry of Finance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Corporate Employees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College Students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Young Job Seekers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Educational Institutions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Women Returning to the Workforce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Persons with Disabilities Seeking Employment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</w:rPr>
      </w:pPr>
      <w:bookmarkStart w:colFirst="0" w:colLast="0" w:name="_r2b06y80ltgg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Expected Outcome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Delegates will draft practical, stakeholder-driven recommendations aimed at: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Creating employment opportunities for the youth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Strengthening collaboration between education, industry, and government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Promoting inclusive hiring practices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Building a resilient workforce prepared for an evolving global economy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