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 temporal das chuvas intensas</w:t>
      </w:r>
    </w:p>
    <w:p>
      <w:pPr>
        <w:pStyle w:val="Author"/>
      </w:pPr>
      <w:r>
        <w:t xml:space="preserve">Dirceu S. Reis Jr.</w:t>
      </w:r>
    </w:p>
    <w:bookmarkStart w:id="26" w:name="sec.desagregacao"/>
    <w:p>
      <w:pPr>
        <w:pStyle w:val="Heading2"/>
      </w:pPr>
      <w:r>
        <w:t xml:space="preserve">1 Desagregação Temporal</w:t>
      </w:r>
    </w:p>
    <w:p>
      <w:pPr>
        <w:pStyle w:val="FirstParagraph"/>
      </w:pPr>
      <w:r>
        <w:t xml:space="preserve">A desagregação temporal é a principal resposta a essa assimetria. O objetivo não é apenas</w:t>
      </w:r>
      <w:r>
        <w:t xml:space="preserve"> </w:t>
      </w:r>
      <w:r>
        <w:t xml:space="preserve">“quebrar”</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(Bartlett–Lewis, Neyman–Scott, LetItRain/Hyetos)</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Técnicas de Regionalização e Modelagem Espacial de Extremos</w:t>
      </w:r>
    </w:p>
    <w:bookmarkStart w:id="22" w:name="subsec.empirico"/>
    <w:p>
      <w:pPr>
        <w:pStyle w:val="Heading3"/>
      </w:pPr>
      <w:r>
        <w:t xml:space="preserve">1.1 Fórmulas/ajustes empíricos e regionais (equações IDF/DDF, isozonas, coeficientes)</w:t>
      </w:r>
    </w:p>
    <w:bookmarkStart w:id="20" w:name="coeficientes-empíricos"/>
    <w:p>
      <w:pPr>
        <w:pStyle w:val="Heading4"/>
      </w:pPr>
      <w:r>
        <w:t xml:space="preserve">1.1.1 Coeficientes empíricos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 Abreu et al., 2022).</w:t>
      </w:r>
    </w:p>
    <w:p>
      <w:pPr>
        <w:pStyle w:val="BodyText"/>
      </w:pPr>
      <w:r>
        <w:t xml:space="preserve">No Brasil, o método que relaciona chuvas de diferentes durações (método RRDD) tornou-se uma das principais técnicas de desagregação diária em subdiária. Seu funcionamento baseia-se em coeficientes de desagregação</w:t>
      </w:r>
      <w:r>
        <w:t xml:space="preserve"> </w:t>
      </w:r>
      <m:oMath>
        <m:r>
          <m:t>C</m:t>
        </m:r>
        <m:r>
          <m:t>D</m:t>
        </m:r>
        <m:r>
          <m:t>τ</m:t>
        </m:r>
      </m:oMath>
      <w:r>
        <w:t xml:space="preserve">, definidos por razões entre precipitações máximas em diferentes durações. Dado um valor de projeto diário</w:t>
      </w:r>
      <w:r>
        <w:t xml:space="preserve"> </w:t>
      </w:r>
      <m:oMath>
        <m:r>
          <m:t>P</m:t>
        </m:r>
        <m:r>
          <m:t>24</m:t>
        </m:r>
        <m:r>
          <m:t>h</m:t>
        </m:r>
        <m:d>
          <m:dPr>
            <m:begChr m:val="("/>
            <m:endChr m:val=")"/>
            <m:sepChr m:val=""/>
            <m:grow/>
          </m:dPr>
          <m:e>
            <m:r>
              <m:t>T</m:t>
            </m:r>
          </m:e>
        </m:d>
      </m:oMath>
      <w:r>
        <w:t xml:space="preserve">, obtém-se, por exemplo, o valor para</w:t>
      </w:r>
      <w:r>
        <w:t xml:space="preserve"> </w:t>
      </w:r>
      <m:oMath>
        <m:r>
          <m:t>τ</m:t>
        </m:r>
        <m:r>
          <m:rPr>
            <m:sty m:val="p"/>
          </m:rPr>
          <m:t>=</m:t>
        </m:r>
        <m:r>
          <m:t>1</m:t>
        </m:r>
        <m:r>
          <m:t>h</m:t>
        </m:r>
      </m:oMath>
      <w:r>
        <w:t xml:space="preserve"> </w:t>
      </w:r>
      <w:r>
        <w:t xml:space="preserve">por:</w:t>
      </w:r>
    </w:p>
    <w:p>
      <w:pPr>
        <w:pStyle w:val="BodyText"/>
      </w:pPr>
      <m:oMathPara>
        <m:oMathParaPr>
          <m:jc m:val="center"/>
        </m:oMathParaPr>
        <m:oMath>
          <m:r>
            <m:t>P</m:t>
          </m:r>
          <m:r>
            <m:t>τ</m:t>
          </m:r>
          <m:d>
            <m:dPr>
              <m:begChr m:val="("/>
              <m:endChr m:val=")"/>
              <m:sepChr m:val=""/>
              <m:grow/>
            </m:dPr>
            <m:e>
              <m:r>
                <m:t>T</m:t>
              </m:r>
            </m:e>
          </m:d>
          <m:r>
            <m:rPr>
              <m:sty m:val="p"/>
            </m:rPr>
            <m:t>=</m:t>
          </m:r>
          <m:r>
            <m:t>C</m:t>
          </m:r>
          <m:r>
            <m:t>D</m:t>
          </m:r>
          <m:r>
            <m:t>τ</m:t>
          </m:r>
          <m:r>
            <m:rPr>
              <m:sty m:val="p"/>
            </m:rPr>
            <m:t>×</m:t>
          </m:r>
          <m:r>
            <m:t>P</m:t>
          </m:r>
          <m:r>
            <m:t>24</m:t>
          </m:r>
          <m:r>
            <m:t>h</m:t>
          </m:r>
          <m:d>
            <m:dPr>
              <m:begChr m:val="("/>
              <m:endChr m:val=")"/>
              <m:sepChr m:val=""/>
              <m:grow/>
            </m:dPr>
            <m:e>
              <m:r>
                <m:t>T</m:t>
              </m:r>
            </m:e>
          </m:d>
          <m:r>
            <m:rPr>
              <m:sty m:val="p"/>
            </m:rPr>
            <m:t>,</m:t>
          </m:r>
          <m:r>
            <m:t>τ</m:t>
          </m:r>
          <m:r>
            <m:rPr>
              <m:sty m:val="p"/>
            </m:rPr>
            <m:t>∈</m:t>
          </m:r>
          <m:r>
            <m:t>6</m:t>
          </m:r>
          <m:r>
            <m:t>m</m:t>
          </m:r>
          <m:r>
            <m:t>i</m:t>
          </m:r>
          <m:r>
            <m:t>n</m:t>
          </m:r>
          <m:r>
            <m:rPr>
              <m:sty m:val="p"/>
            </m:rPr>
            <m:t>,</m:t>
          </m:r>
          <m:r>
            <m:t>1</m:t>
          </m:r>
          <m:r>
            <m:t>h</m:t>
          </m:r>
          <m:r>
            <m:rPr>
              <m:sty m:val="p"/>
            </m:rPr>
            <m:t>,</m:t>
          </m:r>
          <m:r>
            <m:t>2</m:t>
          </m:r>
          <m:r>
            <m:t>h</m:t>
          </m:r>
          <m:r>
            <m:rPr>
              <m:sty m:val="p"/>
            </m:rPr>
            <m:t>,</m:t>
          </m:r>
          <m:r>
            <m:rPr>
              <m:sty m:val="p"/>
            </m:rPr>
            <m:t>…</m:t>
          </m:r>
          <m:r>
            <m:rPr>
              <m:sty m:val="p"/>
            </m:rPr>
            <m:t>.</m:t>
          </m:r>
        </m:oMath>
      </m:oMathPara>
    </w:p>
    <w:p>
      <w:pPr>
        <w:pStyle w:val="FirstParagraph"/>
      </w:pPr>
      <w:r>
        <w:t xml:space="preserve">{#eq.coef-rrdd}</w:t>
      </w:r>
    </w:p>
    <w:p>
      <w:pPr>
        <w:pStyle w:val="BodyText"/>
      </w:pPr>
      <w:r>
        <w:t xml:space="preserve">A partir desses pontos, derivam-se curvas IDF/DDF completas usando a base diária (CETESB, 1979; Abreu et al., 2022). No contexto brasileiro, os</w:t>
      </w:r>
      <w:r>
        <w:t xml:space="preserve"> </w:t>
      </w:r>
      <m:oMath>
        <m:r>
          <m:t>C</m:t>
        </m:r>
        <m:r>
          <m:t>D</m:t>
        </m:r>
        <m:r>
          <m:t>τ</m:t>
        </m:r>
      </m:oMath>
      <w:r>
        <w:t xml:space="preserve"> </w:t>
      </w:r>
      <w:r>
        <w:t xml:space="preserve">mais amplamente aplicados foram originalmente estabelecidos pela CETESB (1979). Eles foram obtidos a partir da média de registros subdiários provenientes de pluviógrafos instalados em diversas localidades do país e, por isso, acabaram sendo considerados como coeficientes gerais para todo o território nacional.</w:t>
      </w:r>
    </w:p>
    <w:p>
      <w:pPr>
        <w:pStyle w:val="BodyText"/>
      </w:pPr>
      <w:r>
        <w:t xml:space="preserve">A literatura recente propõe diversas variações e aprimoramentos. Nesse contexto, Abreu et al. (2022) compararam</w:t>
      </w:r>
      <w:r>
        <w:t xml:space="preserve">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w:t>
      </w:r>
      <w:r>
        <w:t xml:space="preserve">(CETESB)</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(estimados posto a posto). A partir deles, construíram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{#eq.idf-empirica}</w:t>
      </w:r>
    </w:p>
    <w:p>
      <w:pPr>
        <w:pStyle w:val="BodyText"/>
      </w:pPr>
      <w:r>
        <w:t xml:space="preserve">via Gauss–Newton sobre os pontos gerados pelos</w:t>
      </w:r>
      <w:r>
        <w:t xml:space="preserve"> </w:t>
      </w:r>
      <m:oMath>
        <m:r>
          <m:t>C</m:t>
        </m:r>
        <m:r>
          <m:t>D</m:t>
        </m:r>
        <m:r>
          <m:t>s</m:t>
        </m:r>
      </m:oMath>
      <w:r>
        <w:t xml:space="preserve">.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aplicaram a técnica de interpolação por ponderação do inverso da distância (Inverse Distance Weighting – IDW).</w:t>
      </w:r>
    </w:p>
    <w:bookmarkEnd w:id="20"/>
    <w:bookmarkStart w:id="21" w:name="isozonas"/>
    <w:p>
      <w:pPr>
        <w:pStyle w:val="Heading4"/>
      </w:pPr>
      <w:r>
        <w:t xml:space="preserve">1.1.2 Isozonas</w:t>
      </w:r>
    </w:p>
    <w:p>
      <w:pPr>
        <w:pStyle w:val="FirstParagraph"/>
      </w:pPr>
      <w:r>
        <w:t xml:space="preserve">A metodologia de isozonas é uma abordagem de regionalização que se baseia no princípio de que áreas climaticamente semelhantes exibem comportamento homogêneo em relação às chuvas intensas. Proposto por Torrico (1974), o conceito foi aplicado na divisão do Brasil em oito microclimas homogêneos, a partir de dados de 98 postos pluviográficos previamente analisados por Pfafstetter (1956; 1982). O estudo focou nas alturas máximas para 24h e 1h, representadas em papel de probabilidade de Hershfield e Wilson. Observou-se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 (2016) revisitaram e atualizaram o zoneamento de Torrico com base em cerca de mil equações IDF disponíveis no Brasil. Consideraram-se apenas ajustes provenientes de pluviogramas (descartando relações gerais entre durações) e, havendo múltiplas IDFs por localidade, optou-se pela mais recente. O período de retorno de referência para comparação foi T=10 anos, usual em macrodrenagem urbana. No processo de rezoneamento, as intensidades e as relações entre durações obtidas a partir das IDF atuais foram comparadas às estimadas por Torrico (1974) com ênfase em</w:t>
      </w:r>
      <w:r>
        <w:t xml:space="preserve"> </w:t>
      </w:r>
      <m:oMath>
        <m:r>
          <m:t>r</m:t>
        </m:r>
        <m:r>
          <m:t>1</m:t>
        </m:r>
        <m:r>
          <m:t>h</m:t>
        </m:r>
        <m:r>
          <m:rPr>
            <m:sty m:val="p"/>
          </m:rPr>
          <m:t>,</m:t>
        </m:r>
        <m:r>
          <m:t>24</m:t>
        </m:r>
        <m:r>
          <m:t>h</m:t>
        </m:r>
      </m:oMath>
      <w:r>
        <w:t xml:space="preserve">, apoiando-se em mapas climáticos nacionais para áreas com baixa densidade de dados e verificando a homogeneidade intra-zona por estatísticas descritivas. O resultado foi um conjunto de novas isozonas e coeficientes regionais de desagregação</w:t>
      </w:r>
      <w:r>
        <w:t xml:space="preserve"> </w:t>
      </w:r>
      <m:oMath>
        <m:r>
          <m:t>r</m:t>
        </m:r>
        <m:r>
          <m:t>τ</m:t>
        </m:r>
        <m:r>
          <m:t>h</m:t>
        </m:r>
        <m:r>
          <m:rPr>
            <m:sty m:val="p"/>
          </m:rPr>
          <m:t>,</m:t>
        </m:r>
        <m:r>
          <m:t>24</m:t>
        </m:r>
        <m:r>
          <m:t>h</m:t>
        </m:r>
      </m:oMath>
      <w:r>
        <w:t xml:space="preserve">, para T=10 anos.</w:t>
      </w:r>
    </w:p>
    <w:p>
      <w:pPr>
        <w:pStyle w:val="BodyText"/>
      </w:pPr>
      <w:r>
        <w:t xml:space="preserve">Além de coeficientes e isozonas, há uma vertente importante de equações paramétricas DDF/IDF. Baldassarre et al. (2006) realizaram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foram extrapoladas para estimar as profundidades de precipitação de projeto para durações mais curtas, especificamente 15, 20, 30 e 45 minutos. Para avaliar a precisão dessas estimativas extrapoladas, elas foram comparadas com os quantis de precipitação obtidos pelo ajuste direto da distribuição de Gumbel aos dados observados em cada duração. Embora a distribuição de Gumbel tenha sido considerado um ajuste aceitável para os dados utilizados no estudo e tenha tido sua adequação verificada por testes de L-momentos e Kolmogorov-Smirnov, o artigo menciona que estudos recentes apontaram que a distribuição de Gumbel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 (Baldassarre et al. 2006)</w:t>
      </w:r>
    </w:p>
    <w:bookmarkEnd w:id="21"/>
    <w:bookmarkEnd w:id="22"/>
    <w:bookmarkStart w:id="24" w:name="subsec.processos-pontuais"/>
    <w:p>
      <w:pPr>
        <w:pStyle w:val="Heading3"/>
      </w:pPr>
      <w:r>
        <w:t xml:space="preserve">1.2 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“posições”</w:t>
      </w:r>
      <w:r>
        <w:t xml:space="preserve"> </w:t>
      </w:r>
      <w:r>
        <w:t xml:space="preserve">no tempo (e no espaço). Em particular, o Processo de Poisson é atrativo porque suas hipóteses de estacionariedade, não-multiplicidade e independência, isto é,</w:t>
      </w:r>
      <w:r>
        <w:t xml:space="preserve"> </w:t>
      </w:r>
      <m:oMath>
        <m:r>
          <m:t>P</m:t>
        </m:r>
        <m:r>
          <m:rPr>
            <m:sty m:val="p"/>
          </m:rPr>
          <m:t>{</m:t>
        </m:r>
        <m:r>
          <m:rPr>
            <m:nor/>
            <m:sty m:val="p"/>
          </m:rPr>
          <m:t>evento em </m:t>
        </m:r>
        <m:d>
          <m:dPr>
            <m:begChr m:val="("/>
            <m:endChr m:val=")"/>
            <m:sepChr m:val=""/>
            <m:grow/>
          </m:dPr>
          <m:e>
            <m:r>
              <m:t>t</m:t>
            </m:r>
            <m:r>
              <m:rPr>
                <m:sty m:val="p"/>
              </m:rPr>
              <m:t>,</m:t>
            </m:r>
            <m:r>
              <m:t>t</m:t>
            </m:r>
            <m:r>
              <m:rPr>
                <m:sty m:val="p"/>
              </m:rPr>
              <m:t>+</m:t>
            </m:r>
            <m:r>
              <m:t>Δ</m:t>
            </m:r>
            <m:r>
              <m:t>t</m:t>
            </m:r>
          </m:e>
        </m:d>
        <m:r>
          <m:rPr>
            <m:sty m:val="p"/>
          </m:rPr>
          <m:t>}</m:t>
        </m:r>
        <m:r>
          <m:rPr>
            <m:sty m:val="p"/>
          </m:rPr>
          <m:t>≈</m:t>
        </m:r>
        <m:r>
          <m:t>λ</m:t>
        </m:r>
        <m:r>
          <m:t> </m:t>
        </m:r>
        <m:r>
          <m:t>Δ</m:t>
        </m:r>
        <m:r>
          <m:t>t</m:t>
        </m:r>
      </m:oMath>
      <w:r>
        <w:t xml:space="preserve">, probabilidade desprezível de múltiplas chegadas em</w:t>
      </w:r>
      <w:r>
        <w:t xml:space="preserve"> </w:t>
      </w:r>
      <m:oMath>
        <m:r>
          <m:t>Δ</m:t>
        </m:r>
        <m:r>
          <m:t>t</m:t>
        </m:r>
      </m:oMath>
      <w:r>
        <w:t xml:space="preserve"> </w:t>
      </w:r>
      <w:r>
        <w:t xml:space="preserve">e independência entre contagens em intervalos disjuntos, são compatíveis com propriedades essenciais da precipitação.</w:t>
      </w:r>
    </w:p>
    <w:p>
      <w:pPr>
        <w:pStyle w:val="BodyText"/>
      </w:pPr>
      <w:r>
        <w:t xml:space="preserve">Dentro desse arcabouço, consolidaram-se duas famílias: (i) modelos simples baseados em Poisson (p.ex., Poisson Ruído Branco e Poisson de Pulsos Retangulares), que representam a chuva como uma sequência de pulsos com alturas e durações aleatórias; e (ii) processos pontuais de agrupamento, notadamente Neyman–Scott e Bartlett–Lewis, capazes de reproduzir estatísticas de primeira e segunda ordem em ampla faixa de agregações (Rodriguez-Iturbe et al., 1987). A distinção estrutural entre os dois últimos é sutil: no Neyman–Scott as células são deslocadas do instante de origem do evento; no Bartlett–Lewis há uma célula no próprio ponto de origem do evento. Em avaliações clássicas (Denver/Boston), ambos reproduzem bem média, variância e autocorrelação, mas tendem a distorcer a proporção de tempos secos se mal calibrados (Rodriguez-Iturbe et al., 1987).</w:t>
      </w:r>
    </w:p>
    <w:p>
      <w:pPr>
        <w:pStyle w:val="BodyText"/>
      </w:pPr>
      <w:r>
        <w:t xml:space="preserve">O modelo de Pulsos Retangulares de Bartlett–Lewis original (Rodriguez-Iturbe et al., 1987) baseia-se nas seguintes hipóteses: (1) as origens dos episódios chuvosos</w:t>
      </w:r>
      <w:r>
        <w:t xml:space="preserve"> </w:t>
      </w:r>
      <m:oMath>
        <m:sSub>
          <m:e>
            <m:r>
              <m:t>t</m:t>
            </m:r>
          </m:e>
          <m:sub>
            <m:r>
              <m:t>i</m:t>
            </m:r>
          </m:sub>
        </m:sSub>
      </m:oMath>
      <w:r>
        <w:t xml:space="preserve"> </w:t>
      </w:r>
      <w:r>
        <w:t xml:space="preserve">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t</m:t>
            </m:r>
          </m:e>
          <m:sub>
            <m:r>
              <m:t>i</m:t>
            </m:r>
            <m:r>
              <m:t>j</m:t>
            </m:r>
          </m:sub>
        </m:sSub>
      </m:oMath>
      <w:r>
        <w:t xml:space="preserve"> </w:t>
      </w:r>
      <w:r>
        <w:t xml:space="preserve">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w:t>
      </w:r>
      <w:r>
        <w:t xml:space="preserve">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w:t>
      </w:r>
      <w:r>
        <w:t xml:space="preserve">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w:t>
      </w:r>
      <w:r>
        <w:t xml:space="preserve">com distribuição especificada. Neste arcabouço, a desagregação temporal é tratada como geração estocástica em passo fino (p.ex.,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Rodriguez-Iturbe et al. (1988) propuseram o Modified Bartlett–Lewis Rectangular Pulse Model (MBLPRM). Na versão modificada,</w:t>
      </w:r>
      <w:r>
        <w:t xml:space="preserve"> </w:t>
      </w:r>
      <m:oMath>
        <m:r>
          <m:t>η</m:t>
        </m:r>
      </m:oMath>
      <w:r>
        <w:t xml:space="preserve"> </w:t>
      </w:r>
      <w:r>
        <w:t xml:space="preserve">varia aleatoriamente de episódio para episódio segundo uma distribuição Gama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passam a variar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w:t>
      </w:r>
      <w:r>
        <w:t xml:space="preserve">costuma ser modelada como exponencial com parâmetro</w:t>
      </w:r>
      <w:r>
        <w:t xml:space="preserve"> </w:t>
      </w:r>
      <m:oMath>
        <m:r>
          <m:t>1</m:t>
        </m:r>
        <m:r>
          <m:rPr>
            <m:sty m:val="p"/>
          </m:rPr>
          <m:t>/</m:t>
        </m:r>
        <m:sSub>
          <m:e>
            <m:r>
              <m:t>μ</m:t>
            </m:r>
          </m:e>
          <m:sub>
            <m:r>
              <m:t>x</m:t>
            </m:r>
          </m:sub>
        </m:sSub>
      </m:oMath>
      <w:r>
        <w:t xml:space="preserve">; alternativamente, pode-se adotar uma Gama de dois parâmetros com média</w:t>
      </w:r>
      <w:r>
        <w:t xml:space="preserve"> </w:t>
      </w:r>
      <m:oMath>
        <m:sSub>
          <m:e>
            <m:r>
              <m:t>μ</m:t>
            </m:r>
          </m:e>
          <m:sub>
            <m:r>
              <m:t>x</m:t>
            </m:r>
          </m:sub>
        </m:sSub>
      </m:oMath>
      <w:r>
        <w:t xml:space="preserve"> </w:t>
      </w:r>
      <w:r>
        <w:t xml:space="preserve">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 (2001) implementam no</w:t>
      </w:r>
      <w:r>
        <w:t xml:space="preserve"> </w:t>
      </w:r>
      <w:hyperlink r:id="rId23">
        <w:r>
          <w:rPr>
            <w:rStyle w:val="Hyperlink"/>
          </w:rPr>
          <w:t xml:space="preserve">HYETOS</w:t>
        </w:r>
      </w:hyperlink>
      <w:r>
        <w:t xml:space="preserve"> </w:t>
      </w:r>
      <w:r>
        <w:t xml:space="preserve"> </w:t>
      </w:r>
      <w:r>
        <w:t xml:space="preserve">uma desagregação condicionada acoplada ao processo de Bartlett–Lewis. O procedimento inicia gerando, via Bartlett–Lewis,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 𝑑𝑎</w:t>
      </w:r>
      <w:r>
        <w:t xml:space="preserve"> </w:t>
      </w:r>
      <w:r>
        <w:t xml:space="preserve">, o algoritmo repete a amostragem, e,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w:t>
      </w:r>
      <w:r>
        <w:t xml:space="preserve">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w:t>
      </w:r>
      <w:r>
        <w:t xml:space="preserve">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 (2018) generalizam esse arcabouço no HyetosMinute, estendendo a desagregação para escalas sub-horárias até 1 minuto e incorporando variantes do Bartlett–Lewis que aumentam a variabilidade intradiária, como o modelo com parâmetro de intensidade randomizado e a versão que impõe dependência entre intensidade e duração da célula. A plataforma também integra um algoritmo de estimação EAS2 (</w:t>
      </w:r>
      <w:r>
        <w:rPr>
          <w:i/>
          <w:iCs/>
        </w:rPr>
        <w:t xml:space="preserve">Evolutionary Annealing–Simplex</w:t>
      </w:r>
      <w:r>
        <w:t xml:space="preserve">) para ajuste de parâmetros do Bartlett–Lewis,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 Em aplicações recentes, Tayşi &amp; Özger (2022) utilizaram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 (2024) propuseram o Modelagem por Processos Pontuais e Desagregação da Precipitação (Point-Process Modelling and Rainfall Disaggregation – PPMRD) que utiliza diversos modelos de processo pontual e procedimentos de ajuste, baseados no trabalho de Kossieris et al. (2018), para gerar e desagregar dados de precipitação. A premissa é que um gerador (processo pontual) bem parametrizado reproduz as estatísticas observadas em um conjunto de escalas</w:t>
      </w:r>
      <w:r>
        <w:t xml:space="preserve"> </w:t>
      </w:r>
      <w:r>
        <w:t xml:space="preserve">“verificadas”</w:t>
      </w:r>
      <w:r>
        <w:t xml:space="preserve">; a desagregação deve, então, operar entre escalas superior e inferior escolhidas dentre essas escalas. Na seleção do gerador, comparam-se seis processos pontuais (BLRP5, BLRP6 com</w:t>
      </w:r>
      <w:r>
        <w:t xml:space="preserve"> </w:t>
      </w:r>
      <m:oMath>
        <m:r>
          <m:t>η</m:t>
        </m:r>
        <m:r>
          <m:rPr>
            <m:sty m:val="p"/>
          </m:rPr>
          <m:t>∼</m:t>
        </m:r>
        <m:r>
          <m:t>G</m:t>
        </m:r>
        <m:r>
          <m:t>a</m:t>
        </m:r>
        <m:r>
          <m:t>m</m:t>
        </m:r>
        <m:r>
          <m:t>a</m:t>
        </m:r>
      </m:oMath>
      <w:r>
        <w:t xml:space="preserve">, BLRP6x com dependência intensidade–duração, BLRP7 com intensidade Gama, NSRP5, NSRP6) ajustados mensalmente por otimização global, minimizando erros relativos entre estatísticas simuladas e observadas em várias escalas (média, variância, probabilidade de seco, assimetria) e avaliando extremos via Gumbel. O gerador é escolhido pelo desempenho agregado nessas métricas. A desagregação no PPMRD generaliza o esquema tipo HYETOS: em vez de</w:t>
      </w:r>
      <w:r>
        <w:t xml:space="preserve"> </w:t>
      </w:r>
      <w:r>
        <w:t xml:space="preserve">“dias úmidos”</w:t>
      </w:r>
      <w:r>
        <w:t xml:space="preserve">, trabalha-se com sequências úmidas com nível superior (p.ex.,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{#eq.criterio-erro}</w:t>
      </w:r>
    </w:p>
    <w:p>
      <w:pPr>
        <w:pStyle w:val="BodyText"/>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w:t>
      </w:r>
      <w:r>
        <w:t xml:space="preserve">e</w:t>
      </w:r>
      <w:r>
        <w:t xml:space="preserve"> </w:t>
      </w:r>
      <m:oMath>
        <m:sSub>
          <m:e>
            <m:r>
              <m:t>P</m:t>
            </m:r>
          </m:e>
          <m:sub>
            <m:r>
              <m:t>o</m:t>
            </m:r>
          </m:sub>
        </m:sSub>
      </m:oMath>
      <w:r>
        <w:t xml:space="preserve"> </w:t>
      </w:r>
      <w:r>
        <w:t xml:space="preserve">são, respectivamente, as séries de precipitação no nível superior sintética e observada. Sequências longas são segmentadas de forma controlada: define-se previamente um comprimento máximo</w:t>
      </w:r>
      <w:r>
        <w:t xml:space="preserve"> </w:t>
      </w:r>
      <m:oMath>
        <m:sSub>
          <m:e>
            <m:r>
              <m:t>U</m:t>
            </m:r>
          </m:e>
          <m:sub>
            <m:r>
              <m:rPr>
                <m:sty m:val="p"/>
              </m:rPr>
              <m:t>max</m:t>
            </m:r>
          </m:sub>
        </m:sSub>
      </m:oMath>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rPr>
                <m:sty m:val="p"/>
              </m:rPr>
              <m:t>max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rPr>
                <m:sty m:val="p"/>
              </m:rPr>
              <m:t>max</m:t>
            </m:r>
          </m:sub>
        </m:sSub>
      </m:oMath>
      <w:r>
        <w:t xml:space="preserve">, ela é dividida aleatoriamente em sub-sequências com comprimentos entre 1 e</w:t>
      </w:r>
      <w:r>
        <w:t xml:space="preserve"> </w:t>
      </w:r>
      <m:oMath>
        <m:sSub>
          <m:e>
            <m:r>
              <m:t>U</m:t>
            </m:r>
          </m:e>
          <m:sub>
            <m:r>
              <m:rPr>
                <m:sty m:val="p"/>
              </m:rPr>
              <m:t>max</m:t>
            </m:r>
          </m:sub>
        </m:sSub>
      </m:oMath>
      <w:r>
        <w:t xml:space="preserve">, processadas independentemente e, ao final, reunidas. Por fim, aplica-se o ajuste proporcional clássico para garantir coincidência exata entre o total agregado do sintético e o total observado na escala superior. O uso de ensembles é recomendado para lidar com a incerteza inerente ao caráter estocástico e aos efeitos de fronteira impostos pela série superior.</w:t>
      </w:r>
    </w:p>
    <w:p>
      <w:pPr>
        <w:pStyle w:val="BodyText"/>
      </w:pPr>
      <w:r>
        <w:t xml:space="preserve">Em paralelo, Vorobevskii et al. (2023) compararam um modelo condicional (WayDown, que conserva a soma diária via cadeia de Markov e cópulas) com um gerador incondicional (LetItRain, duplo Poisson). WayDown é um modelo condicional de desagregação de precipitação, disponibilizado como pacote R</w:t>
      </w:r>
      <w:r>
        <w:t xml:space="preserve">.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 Dados os intervalos</w:t>
      </w:r>
      <w:r>
        <w:t xml:space="preserve"> </w:t>
      </w:r>
      <w:r>
        <w:t xml:space="preserve">“úmidos”</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(lag-1)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~30 tentativas sem sucesso, uma nova série binária é amostrada e o processo recomeça. Para consistência entre dias, o último valor do dia anterior é considerado ao amostrar o início do dia corrente (transição evento-a-evento). O método foi testado com resoluções de 1, 5, 10 e 30 min, com bom desempenho computacional.</w:t>
      </w:r>
    </w:p>
    <w:p>
      <w:pPr>
        <w:pStyle w:val="BodyText"/>
      </w:pPr>
      <w:r>
        <w:t xml:space="preserve">O LetItRain</w:t>
      </w:r>
      <w:r>
        <w:t xml:space="preserve"> </w:t>
      </w:r>
      <w:r>
        <w:t xml:space="preserve"> </w:t>
      </w:r>
      <w:r>
        <w:t xml:space="preserve">é um gerador incondicional de séries de precipitação que estende os modelos de clusters de Poisson (Neyman–Scott/Bartlett–Lewis).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1ª a 3ª ordem das séries observadas; (ii) relação inversa entre duração e intensidade da célula, reforçando picos de curta duração; (iii) intensidade celular com distribuição Gama; (iv) dois algoritmos de embaralhamento (</w:t>
      </w:r>
      <w:r>
        <w:t xml:space="preserve">“shuffling”</w:t>
      </w:r>
      <w:r>
        <w:t xml:space="preserve">)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(p.ex., média–variância, média–proporção úmida; e relações entre variâncias/proporções em diferentes agregações) são ajustadas; calcula-se um fator de mudança para a média diária (razão futuro/histórico), usado em conjunto com um gerador climático diário (p.ex., LARS-WG)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observaram que o WayDown tende a reproduzir melhor a mediana das estatísticas, enquanto o LetItRain fornece maior variabilidade de cenários. Ambos podem superestimar extremos até certo limiar e subestimar acima dele, explicitando o trade-off entre conservação de massa diária e liberdade estatística intradiária.</w:t>
      </w:r>
    </w:p>
    <w:bookmarkEnd w:id="24"/>
    <w:bookmarkStart w:id="25" w:name="subsec.invariancia"/>
    <w:p>
      <w:pPr>
        <w:pStyle w:val="Heading3"/>
      </w:pPr>
      <w:r>
        <w:t xml:space="preserve">1.3 Modelos Baseados em Invariância de Escala / Autossemelhança / Fractais</w:t>
      </w:r>
    </w:p>
    <w:p>
      <w:pPr>
        <w:pStyle w:val="FirstParagraph"/>
      </w:pPr>
      <w:r>
        <w:t xml:space="preserve">A ideia de invariância de escala em séries hidroclimáticas consolidou-se com Mandelbrot &amp; Wallis (1968), ao reinterpretar o efeito de Hurst como auto-semelhança estatística: reescalando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o estatístico</w:t>
      </w:r>
      <w:r>
        <w:t xml:space="preserve"> </w:t>
      </w:r>
      <w:r>
        <w:rPr>
          <w:i/>
          <w:iCs/>
        </w:rPr>
        <w:t xml:space="preserve">rescaled-range</w:t>
      </w:r>
      <w:r>
        <w:t xml:space="preserve"> </w:t>
      </w:r>
      <w:r>
        <w:t xml:space="preserve"> </w:t>
      </w:r>
      <w:r>
        <w:t xml:space="preserve">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autossemelhantes (p.ex., movimento browniano fracionário/ruído fracionário) e implica variabilidade multiescalar persistente.</w:t>
      </w:r>
    </w:p>
    <w:p>
      <w:pPr>
        <w:pStyle w:val="BodyText"/>
      </w:pPr>
      <w:r>
        <w:t xml:space="preserve">Lovejoy &amp; Schertzer (1985) formulam a invariância de escala generalizada (GSI),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r>
            <m:rPr>
              <m:sty m:val="p"/>
            </m:rPr>
            <m:t>,</m:t>
          </m:r>
        </m:oMath>
      </m:oMathPara>
    </w:p>
    <w:p>
      <w:pPr>
        <w:pStyle w:val="FirstParagraph"/>
      </w:pPr>
      <w:r>
        <w:t xml:space="preserve">{#eq.lei-espectral-potencia}</w:t>
      </w:r>
    </w:p>
    <w:p>
      <w:pPr>
        <w:pStyle w:val="BodyText"/>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 (1986) consolidam a GSI ao mostrar que a anisotropia gravitacional persiste em todas as escalas, de modo que as estruturas tornam-se mais</w:t>
      </w:r>
      <w:r>
        <w:t xml:space="preserve"> </w:t>
      </w:r>
      <w:r>
        <w:t xml:space="preserve">“achatadas”</w:t>
      </w:r>
      <w:r>
        <w:t xml:space="preserve"> </w:t>
      </w:r>
      <w:r>
        <w:t xml:space="preserve">com o aumento de escala, mas nunca estritamente bidimensionais.</w:t>
      </w:r>
    </w:p>
    <w:p>
      <w:pPr>
        <w:pStyle w:val="BodyText"/>
      </w:pPr>
      <w:r>
        <w:t xml:space="preserve">Em hidrologia, essa base foi trazida para a prática por Koutsoyiannis &amp; Foufoula-Georgiou (1993), ao proporem um modelo de escala simples para a intensidade intratempestade que, analítica e empiricamente, reproduz de forma consistente hietogramas de diferentes durações/profundidades com poucos parâmetros. O artigo propõe um modelo de escalonamento para hietogramas de episódios chuvosos em que a intensidade instantânea</w:t>
      </w:r>
      <w:r>
        <w:t xml:space="preserve"> </w:t>
      </w:r>
      <m:oMath>
        <m:r>
          <m:t>s</m:t>
        </m:r>
        <m:d>
          <m:dPr>
            <m:begChr m:val="("/>
            <m:endChr m:val=")"/>
            <m:sepChr m:val=""/>
            <m:grow/>
          </m:dPr>
          <m:e>
            <m:r>
              <m:t>t</m:t>
            </m:r>
            <m:r>
              <m:rPr>
                <m:sty m:val="p"/>
              </m:rPr>
              <m:t>,</m:t>
            </m:r>
            <m:r>
              <m:t>D</m:t>
            </m:r>
          </m:e>
        </m:d>
      </m:oMath>
      <w:r>
        <w:t xml:space="preserve"> </w:t>
      </w:r>
      <w:r>
        <w:t xml:space="preserve">dentro de um episódio de duração</w:t>
      </w:r>
      <w:r>
        <w:t xml:space="preserve"> </w:t>
      </w:r>
      <m:oMath>
        <m:r>
          <m:t>D</m:t>
        </m:r>
      </m:oMath>
      <w:r>
        <w:t xml:space="preserve"> </w:t>
      </w:r>
      <w:r>
        <w:t xml:space="preserve">é autossemelhante:</w:t>
      </w:r>
    </w:p>
    <w:p>
      <w:pPr>
        <w:pStyle w:val="BodyText"/>
      </w:pPr>
      <m:oMathPara>
        <m:oMathParaPr>
          <m:jc m:val="center"/>
        </m:oMathParaPr>
        <m:oMath>
          <m:r>
            <m:rPr>
              <m:sty m:val="p"/>
            </m:rPr>
            <m:t>{</m:t>
          </m:r>
          <m:r>
            <m:t>s</m:t>
          </m:r>
          <m:d>
            <m:dPr>
              <m:begChr m:val="("/>
              <m:endChr m:val=")"/>
              <m:sepChr m:val=""/>
              <m:grow/>
            </m:dPr>
            <m:e>
              <m:r>
                <m:t>t</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t</m:t>
                  </m:r>
                </m:sub>
              </m:sSub>
              <m:r>
                <m:rPr>
                  <m:sty m:val="p"/>
                </m:rPr>
                <m:t>,</m:t>
              </m:r>
              <m:sSub>
                <m:e>
                  <m:r>
                    <m:t>λ</m:t>
                  </m:r>
                </m:e>
                <m:sub>
                  <m:r>
                    <m:t>D</m:t>
                  </m:r>
                </m:sub>
              </m:sSub>
            </m:e>
          </m:d>
        </m:oMath>
      </m:oMathPara>
    </w:p>
    <w:p>
      <w:pPr>
        <w:pStyle w:val="FirstParagraph"/>
      </w:pPr>
      <w:r>
        <w:t xml:space="preserve">{#eq.inv-escala1}</w:t>
      </w:r>
    </w:p>
    <w:p>
      <w:pPr>
        <w:pStyle w:val="BodyText"/>
      </w:pPr>
      <w:r>
        <w:t xml:space="preserve">ou, de forma equivalente,</w:t>
      </w:r>
    </w:p>
    <w:p>
      <w:pPr>
        <w:pStyle w:val="BodyText"/>
      </w:pPr>
      <m:oMathPara>
        <m:oMathParaPr>
          <m:jc m:val="center"/>
        </m:oMathParaPr>
        <m:oMath>
          <m:r>
            <m:rPr>
              <m:sty m:val="p"/>
            </m:rPr>
            <m:t>{</m:t>
          </m:r>
          <m:r>
            <m:t>s</m:t>
          </m:r>
          <m:d>
            <m:dPr>
              <m:begChr m:val="("/>
              <m:endChr m:val=")"/>
              <m:sepChr m:val=""/>
              <m:grow/>
            </m:dPr>
            <m:e>
              <m:r>
                <m:t>t</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t</m:t>
                  </m:r>
                </m:num>
                <m:den>
                  <m:r>
                    <m:t>D</m:t>
                  </m:r>
                </m:den>
              </m:f>
              <m:r>
                <m:rPr>
                  <m:sty m:val="p"/>
                </m:rPr>
                <m:t>,</m:t>
              </m:r>
              <m:r>
                <m:t>1</m:t>
              </m:r>
            </m:e>
          </m:d>
        </m:oMath>
      </m:oMathPara>
    </w:p>
    <w:p>
      <w:pPr>
        <w:pStyle w:val="FirstParagraph"/>
      </w:pPr>
      <w:r>
        <w:t xml:space="preserve">{#eq.inv-escala2}</w:t>
      </w:r>
    </w:p>
    <w:p>
      <w:pPr>
        <w:pStyle w:val="BodyText"/>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t</m:t>
            </m:r>
            <m:r>
              <m:rPr>
                <m:sty m:val="p"/>
              </m:rPr>
              <m:t>,</m:t>
            </m:r>
            <m:r>
              <m:t>D</m:t>
            </m:r>
          </m:e>
        </m:d>
        <m:r>
          <m:rPr>
            <m:sty m:val="p"/>
          </m:rPr>
          <m:t>=</m:t>
        </m:r>
        <m:nary>
          <m:naryPr>
            <m:chr m:val="∫"/>
            <m:limLoc m:val="subSup"/>
            <m:subHide m:val="off"/>
            <m:supHide m:val="off"/>
          </m:naryPr>
          <m:sub>
            <m:r>
              <m:t>0</m:t>
            </m:r>
          </m:sub>
          <m:sup>
            <m:r>
              <m:t>t</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{#eq.inv-escala-acumulado}</w:t>
      </w:r>
    </w:p>
    <w:p>
      <w:pPr>
        <w:pStyle w:val="BodyText"/>
      </w:pPr>
      <w:r>
        <w:t xml:space="preserve">de modo que o coeficiente de variação do total do episódio é constante com</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herdam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vezes uma função de</w:t>
      </w:r>
      <w:r>
        <w:t xml:space="preserve"> </w:t>
      </w:r>
      <m:oMath>
        <m:r>
          <m:t>ρ</m:t>
        </m:r>
        <m:r>
          <m:rPr>
            <m:sty m:val="p"/>
          </m:rPr>
          <m:t>=</m:t>
        </m:r>
        <m:r>
          <m:t>Δ</m:t>
        </m:r>
        <m:r>
          <m:rPr>
            <m:sty m:val="p"/>
          </m:rPr>
          <m:t>/</m:t>
        </m:r>
        <m:r>
          <m:t>D</m:t>
        </m:r>
      </m:oMath>
      <w:r>
        <w:t xml:space="preserve"> </w:t>
      </w:r>
      <w:r>
        <w:t xml:space="preserve">. Desta forma, a autocorrelação dos incrementos depende apenas de</w:t>
      </w:r>
      <w:r>
        <w:t xml:space="preserve"> </w:t>
      </w:r>
      <m:oMath>
        <m:r>
          <m:t>ρ</m:t>
        </m:r>
      </m:oMath>
      <w:r>
        <w:t xml:space="preserve"> </w:t>
      </w:r>
      <w:r>
        <w:t xml:space="preserve">(e do lag normalizado), não de</w:t>
      </w:r>
      <w:r>
        <w:t xml:space="preserve"> </w:t>
      </w:r>
      <m:oMath>
        <m:r>
          <m:t>D</m:t>
        </m:r>
      </m:oMath>
      <w:r>
        <w:t xml:space="preserve"> </w:t>
      </w:r>
      <w:r>
        <w:t xml:space="preserve">nem de</w:t>
      </w:r>
      <w:r>
        <w:t xml:space="preserve"> </w:t>
      </w:r>
      <m:oMath>
        <m:r>
          <m:t>η</m:t>
        </m:r>
      </m:oMath>
      <w:r>
        <w:t xml:space="preserve">. Esse modelo é coerente com as curvas de massa usadas em projeto, ao contrário de modelos estacionários de intensidade, que não capturam essa dependência com a duração.</w:t>
      </w:r>
    </w:p>
    <w:p>
      <w:pPr>
        <w:pStyle w:val="BodyText"/>
      </w:pPr>
      <w:r>
        <w:t xml:space="preserve">Burlando &amp; Rosso (1996) constroem um arcabouço para curvas profundidade–duração–frequência (DDF) a partir da hipótese de invariância de escala. A ideia central é estimar conjuntamente (i) o expoente de escala</w:t>
      </w:r>
      <w:r>
        <w:t xml:space="preserve"> </w:t>
      </w:r>
      <m:oMath>
        <m:r>
          <m:t>n</m:t>
        </m:r>
      </m:oMath>
      <w:r>
        <w:t xml:space="preserve"> </w:t>
      </w:r>
      <w:r>
        <w:t xml:space="preserve">que governa a média e (ii) uma função de dissipação</w:t>
      </w:r>
      <w:r>
        <w:t xml:space="preserve"> </w:t>
      </w:r>
      <m:oMath>
        <m:sSub>
          <m:e>
            <m:r>
              <m:t>ψ</m:t>
            </m:r>
          </m:e>
          <m:sub>
            <m:r>
              <m:t>ζ</m:t>
            </m:r>
          </m:sub>
        </m:sSub>
      </m:oMath>
      <w:r>
        <w:t xml:space="preserve"> </w:t>
      </w:r>
      <w:r>
        <w:t xml:space="preserve">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(wide-sense)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decorre que o coeficiente de variação e, mais geralmente,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n</m:t>
              </m:r>
            </m:sup>
          </m:sSup>
          <m:r>
            <m:rPr>
              <m:sty m:val="p"/>
            </m:rPr>
            <m:t>,</m:t>
          </m:r>
        </m:oMath>
      </m:oMathPara>
    </w:p>
    <w:p>
      <w:pPr>
        <w:pStyle w:val="FirstParagraph"/>
      </w:pPr>
      <w:r>
        <w:t xml:space="preserve">{#eq.ddf-invariante}</w:t>
      </w:r>
    </w:p>
    <w:p>
      <w:pPr>
        <w:pStyle w:val="BodyText"/>
      </w:pP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n</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reais frequentemente exibem multiescalamento, Burlando &amp; Rosso (1996) introduzem a função de dissipação</w:t>
      </w:r>
      <w:r>
        <w:t xml:space="preserve"> </w:t>
      </w:r>
      <m:oMath>
        <m:sSub>
          <m:e>
            <m:r>
              <m:t>ψ</m:t>
            </m:r>
          </m:e>
          <m:sub>
            <m:r>
              <m:t>ζ</m:t>
            </m:r>
          </m:sub>
        </m:sSub>
      </m:oMath>
      <w:r>
        <w:t xml:space="preserve"> </w:t>
      </w:r>
      <w:r>
        <w:t xml:space="preserve">e especializam o arcabouço com a distribuição lognormal (LN2). Para LN2, os autores demonstram que</w:t>
      </w:r>
      <w:r>
        <w:t xml:space="preserve"> </w:t>
      </w:r>
      <m:oMath>
        <m:sSub>
          <m:e>
            <m:r>
              <m:t>ψ</m:t>
            </m:r>
          </m:e>
          <m:sub>
            <m:r>
              <m:t>ζ</m:t>
            </m:r>
          </m:sub>
        </m:sSub>
      </m:oMath>
      <w:r>
        <w:t xml:space="preserve"> </w:t>
      </w:r>
      <w:r>
        <w:t xml:space="preserve">é convexa (condição necessária à dissipação) e derivam expressões fechadas para</w:t>
      </w:r>
      <w:r>
        <w:t xml:space="preserve"> </w:t>
      </w:r>
      <m:oMath>
        <m:sSub>
          <m:e>
            <m:r>
              <m:t>μ</m:t>
            </m:r>
          </m:e>
          <m:sub>
            <m:r>
              <m:rPr>
                <m:sty m:val="p"/>
              </m:rPr>
              <m:t>ln</m:t>
            </m:r>
            <m:sSub>
              <m:e>
                <m:r>
                  <m:t>h</m:t>
                </m:r>
              </m:e>
              <m:sub>
                <m:r>
                  <m:t>D</m:t>
                </m:r>
              </m:sub>
            </m:sSub>
          </m:sub>
        </m:sSub>
      </m:oMath>
      <w:r>
        <w:t xml:space="preserve"> </w:t>
      </w:r>
      <w:r>
        <w:t xml:space="preserve">e</w:t>
      </w:r>
      <w:r>
        <w:t xml:space="preserve"> </w:t>
      </w:r>
      <m:oMath>
        <m:sSub>
          <m:e>
            <m:r>
              <m:t>σ</m:t>
            </m:r>
          </m:e>
          <m:sub>
            <m:r>
              <m:rPr>
                <m:sty m:val="p"/>
              </m:rPr>
              <m:t>ln</m:t>
            </m:r>
            <m:sSub>
              <m:e>
                <m:r>
                  <m:t>h</m:t>
                </m:r>
              </m:e>
              <m:sub>
                <m:r>
                  <m:t>D</m:t>
                </m:r>
              </m:sub>
            </m:sSub>
          </m:sub>
        </m:sSub>
      </m:oMath>
      <w:r>
        <w:t xml:space="preserve">, que implicam uma forma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degenera para a forma de escala simples acima, garantindo consistência. Esses vínculos de escala impõem consistência entre durações, o que é diretamente útil à desagregação temporal.</w:t>
      </w:r>
    </w:p>
    <w:p>
      <w:pPr>
        <w:pStyle w:val="BodyText"/>
      </w:pPr>
      <w:r>
        <w:t xml:space="preserve">Menabde et al. (1997) formalizam a invariância de escala da chuva em termos de leis de potência para segunda ordem e para famílias de momentos. Para um campo unidimensional</w:t>
      </w:r>
      <w:r>
        <w:t xml:space="preserve"> </w:t>
      </w:r>
      <m:oMath>
        <m:r>
          <m:t>R</m:t>
        </m:r>
        <m:d>
          <m:dPr>
            <m:begChr m:val="("/>
            <m:endChr m:val=")"/>
            <m:sepChr m:val=""/>
            <m:grow/>
          </m:dPr>
          <m:e>
            <m:r>
              <m:t>t</m:t>
            </m:r>
          </m:e>
        </m:d>
      </m:oMath>
      <w:r>
        <w:t xml:space="preserve">, assumindo estacionariedade de segunda ordem, adotam-se</w:t>
      </w:r>
      <w:r>
        <w:t xml:space="preserve"> </w:t>
      </w:r>
      <m:oMath>
        <m:r>
          <m:t>C</m:t>
        </m:r>
        <m:d>
          <m:dPr>
            <m:begChr m:val="("/>
            <m:endChr m:val=")"/>
            <m:sepChr m:val=""/>
            <m:grow/>
          </m:dPr>
          <m:e>
            <m:r>
              <m:t>τ</m:t>
            </m:r>
          </m:e>
        </m:d>
        <m:r>
          <m:rPr>
            <m:sty m:val="p"/>
          </m:rPr>
          <m:t>∝</m:t>
        </m:r>
        <m:r>
          <m:t>τ</m:t>
        </m:r>
        <m:r>
          <m:rPr>
            <m:sty m:val="p"/>
          </m:rPr>
          <m:t>−</m:t>
        </m:r>
        <m:r>
          <m:t>μ</m:t>
        </m:r>
      </m:oMath>
      <w:r>
        <w:t xml:space="preserve"> </w:t>
      </w:r>
      <w:r>
        <w:t xml:space="preserve">e</w:t>
      </w:r>
      <w:r>
        <w:t xml:space="preserve"> </w:t>
      </w:r>
      <m:oMath>
        <m:r>
          <m:t>E</m:t>
        </m:r>
        <m:d>
          <m:dPr>
            <m:begChr m:val="("/>
            <m:endChr m:val=")"/>
            <m:sepChr m:val=""/>
            <m:grow/>
          </m:dPr>
          <m:e>
            <m:r>
              <m:t>f</m:t>
            </m:r>
          </m:e>
        </m:d>
        <m:r>
          <m:rPr>
            <m:sty m:val="p"/>
          </m:rPr>
          <m:t>∝</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multiescalamento</w:t>
      </w:r>
      <w:r>
        <w:t xml:space="preserve"> </w:t>
      </w:r>
      <w:r>
        <w:t xml:space="preserve">,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“bruto”</w:t>
      </w:r>
      <w:r>
        <w:t xml:space="preserve">, recomenda-se estimar</w:t>
      </w:r>
      <w:r>
        <w:t xml:space="preserve"> </w:t>
      </w:r>
      <m:oMath>
        <m:r>
          <m:t>ζ</m:t>
        </m:r>
        <m:d>
          <m:dPr>
            <m:begChr m:val="("/>
            <m:endChr m:val=")"/>
            <m:sepChr m:val=""/>
            <m:grow/>
          </m:dPr>
          <m:e>
            <m:r>
              <m:t>q</m:t>
            </m:r>
          </m:e>
        </m:d>
      </m:oMath>
      <w:r>
        <w:t xml:space="preserve"> </w:t>
      </w:r>
      <w:r>
        <w:t xml:space="preserve">em gradientes absolutos ou aplicar um filtro lei-de-potência antes de</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introduzem uma cascata</w:t>
      </w:r>
      <w:r>
        <w:t xml:space="preserve"> </w:t>
      </w:r>
      <m:oMath>
        <m:r>
          <m:t>α</m:t>
        </m:r>
      </m:oMath>
      <w:r>
        <w:t xml:space="preserve"> </w:t>
      </w:r>
      <w:r>
        <w:t xml:space="preserve">limitada em que os pesos</w:t>
      </w:r>
      <w:r>
        <w:t xml:space="preserve"> </w:t>
      </w:r>
      <m:oMath>
        <m:sSub>
          <m:e>
            <m:r>
              <m:t>W</m:t>
            </m:r>
          </m:e>
          <m:sub>
            <m:r>
              <m:t>k</m:t>
            </m:r>
          </m:sub>
        </m:sSub>
      </m:oMath>
      <w:r>
        <w:t xml:space="preserve"> </w:t>
      </w:r>
      <w:r>
        <w:t xml:space="preserve">dependem do nível</w:t>
      </w:r>
      <w:r>
        <w:t xml:space="preserve"> </w:t>
      </w:r>
      <m:oMath>
        <m:r>
          <m:t>k</m:t>
        </m:r>
      </m:oMath>
      <w:r>
        <w:t xml:space="preserve">, convergem a 1 nas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Os parâmetros são estimados via 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sSub>
            <m:e>
              <m:r>
                <m:rPr>
                  <m:sty m:val="p"/>
                </m:rPr>
                <m:t>log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r>
            <m:rPr>
              <m:sty m:val="p"/>
            </m:rPr>
            <m:t>,</m:t>
          </m:r>
        </m:oMath>
      </m:oMathPara>
    </w:p>
    <w:p>
      <w:pPr>
        <w:pStyle w:val="FirstParagraph"/>
      </w:pPr>
      <w:r>
        <w:t xml:space="preserve">{#eq.}</w:t>
      </w:r>
    </w:p>
    <w:p>
      <w:pPr>
        <w:pStyle w:val="BodyText"/>
      </w:pPr>
      <w:r>
        <w:t xml:space="preserve">permitindo extrair</w:t>
      </w:r>
      <w:r>
        <w:t xml:space="preserve"> </w:t>
      </w:r>
      <m:oMath>
        <m:r>
          <m:t>H</m:t>
        </m:r>
      </m:oMath>
      <w:r>
        <w:t xml:space="preserve"> </w:t>
      </w:r>
      <w:r>
        <w:t xml:space="preserve">(declive) e</w:t>
      </w:r>
      <w:r>
        <w:t xml:space="preserve"> </w:t>
      </w:r>
      <m:oMath>
        <m:sSub>
          <m:e>
            <m:r>
              <m:t>p</m:t>
            </m:r>
          </m:e>
          <m:sub>
            <m:r>
              <m:t>1</m:t>
            </m:r>
          </m:sub>
        </m:sSub>
      </m:oMath>
      <w:r>
        <w:t xml:space="preserve"> </w:t>
      </w:r>
      <w:r>
        <w:t xml:space="preserve">(intercepto).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cascata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condicionada a totais na escala superior por ajuste proporcional; ao contrário das cascatas não-limitadas, dispensa pós-filtragem para corrigir</w:t>
      </w:r>
      <w:r>
        <w:t xml:space="preserve"> </w:t>
      </w:r>
      <m:oMath>
        <m:r>
          <m:t>β</m:t>
        </m:r>
      </m:oMath>
      <w:r>
        <w:t xml:space="preserve">.</w:t>
      </w:r>
    </w:p>
    <w:p>
      <w:pPr>
        <w:pStyle w:val="BodyText"/>
      </w:pPr>
      <w:r>
        <w:t xml:space="preserve">Koutsoyiannis et al. (1998) estabelecem um arcabouço matemático para IDF que separa, de forma teoricamente consistente, a dependência em duração e em frequência. Propõem 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{#eq.idf-koutsoyiannis}</w:t>
      </w:r>
    </w:p>
    <w:p>
      <w:pPr>
        <w:pStyle w:val="BodyText"/>
      </w:pPr>
      <w:r>
        <w:t xml:space="preserve">com uma forma parsimoniosa para a componente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{#eq.coef-duracao}</w:t>
      </w:r>
    </w:p>
    <w:p>
      <w:pPr>
        <w:pStyle w:val="BodyText"/>
      </w:pPr>
      <w:r>
        <w:t xml:space="preserve">Mostram ainda que termos adicionais no denominador são desnecessários</w:t>
      </w:r>
      <w:r>
        <w:t xml:space="preserve"> </w:t>
      </w:r>
      <m:oMath>
        <m:d>
          <m:dPr>
            <m:begChr m:val="("/>
            <m:endChr m:val=")"/>
            <m:sepChr m:val=""/>
            <m:grow/>
          </m:dPr>
          <m:e>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e>
        </m:d>
      </m:oMath>
      <w:r>
        <w:t xml:space="preserve"> </w:t>
      </w:r>
      <w:r>
        <w:t xml:space="preserve">com erro de aproximação pequeno), e que</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deixando toda a dependência de frequência para</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{#eq.comp-freq}</w:t>
      </w:r>
    </w:p>
    <w:p>
      <w:pPr>
        <w:pStyle w:val="BodyText"/>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r>
            <m:t>Ξ</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r>
            <m:rPr>
              <m:sty m:val="p"/>
            </m:rPr>
            <m:t>,</m:t>
          </m:r>
        </m:oMath>
      </m:oMathPara>
    </w:p>
    <w:p>
      <w:pPr>
        <w:pStyle w:val="FirstParagraph"/>
      </w:pPr>
      <w:r>
        <w:t xml:space="preserve">{#eq.comp-freq-gumbel}</w:t>
      </w:r>
    </w:p>
    <w:p>
      <w:pPr>
        <w:pStyle w:val="BodyText"/>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r>
            <m:rPr>
              <m:sty m:val="p"/>
            </m:rPr>
            <m:t>,</m:t>
          </m:r>
        </m:oMath>
      </m:oMathPara>
    </w:p>
    <w:p>
      <w:pPr>
        <w:pStyle w:val="FirstParagraph"/>
      </w:pPr>
      <w:r>
        <w:t xml:space="preserve">{#eq.comp-freq-gev}</w:t>
      </w:r>
    </w:p>
    <w:p>
      <w:pPr>
        <w:pStyle w:val="BodyText"/>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 downscaling 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 (1999) aplicam a hipótese de simples escala à descrição IDF dos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w:t>
      </w:r>
      <w:r>
        <w:t xml:space="preserve">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{#eq.idf-inv-escala}</w:t>
      </w:r>
    </w:p>
    <w:p>
      <w:pPr>
        <w:pStyle w:val="BodyText"/>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{#eq.cdf-inv-escala}</w:t>
      </w:r>
    </w:p>
    <w:p>
      <w:pPr>
        <w:pStyle w:val="BodyText"/>
      </w:pPr>
      <w:r>
        <w:t xml:space="preserve">e, em sentido amplo, momentos que satisfazem</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{#eq.momentos-inv-escala}</w:t>
      </w:r>
    </w:p>
    <w:p>
      <w:pPr>
        <w:pStyle w:val="BodyText"/>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localização e escala obedecem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e a relação IDF resultante é</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{#eq.idf-gumbel-inv-escala}</w:t>
      </w:r>
    </w:p>
    <w:p>
      <w:pPr>
        <w:pStyle w:val="BodyText"/>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r>
          <m:rPr>
            <m:sty m:val="p"/>
          </m:rPr>
          <m:t>⋅</m:t>
        </m:r>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 downscaling de extremos de durações subdiárias a partir de informação diária, mantendo a consistência entre durações exigida por DDF/IDF baseadas em invariância de escala.</w:t>
      </w:r>
    </w:p>
    <w:p>
      <w:pPr>
        <w:pStyle w:val="BodyText"/>
      </w:pPr>
      <w:r>
        <w:t xml:space="preserve">Consolidando esse avanço, Gupta &amp; Waymire (1999) estabeleceram a base teórica do multiescalonamento (</w:t>
      </w:r>
      <w:r>
        <w:rPr>
          <w:i/>
          <w:iCs/>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(wide sense),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intercepto logarítmico na lei de escala simples e</w:t>
      </w:r>
      <w:r>
        <w:t xml:space="preserve"> </w:t>
      </w:r>
      <m:oMath>
        <m:sSub>
          <m:e>
            <m:r>
              <m:t>θ</m:t>
            </m:r>
          </m:e>
          <m:sub>
            <m:r>
              <m:t>h</m:t>
            </m:r>
          </m:sub>
        </m:sSub>
      </m:oMath>
      <w:r>
        <w:t xml:space="preserve"> </w:t>
      </w:r>
      <w:r>
        <w:t xml:space="preserve">é o expoente de escala. No multiescalamento (wide sense) a relação geral é</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não linear e côncava, capturando a intensificação de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 GEV-scaling (ou GUM/GEV com scaling). Nguyen et al. (1998) 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{#eq.inv-escala-nguyen}</w:t>
      </w:r>
    </w:p>
    <w:p>
      <w:pPr>
        <w:pStyle w:val="BodyText"/>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t xml:space="preserve">“multiscaling”</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{#eq.cdf-gev}</w:t>
      </w:r>
    </w:p>
    <w:p>
      <w:pPr>
        <w:pStyle w:val="BodyText"/>
      </w:pPr>
      <w:r>
        <w:t xml:space="preserve">A distribuição de valores extremos generalizada (GEV) tem se mostrado capaz de modelar bem os máximos anuais de precipitação. Estudos como o de Nguyen et al. (1998) combinaram GEV e a invariância para estimar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 (Menabde et al., 1999), já estabelecido na literatura de escalonamento de máximos: se</w:t>
      </w:r>
      <w:r>
        <w:t xml:space="preserve"> </w:t>
      </w:r>
      <m:oMath>
        <m:sSub>
          <m:e>
            <m:r>
              <m:t>I</m:t>
            </m:r>
          </m:e>
          <m:sub>
            <m:r>
              <m:t>d</m:t>
            </m:r>
          </m:sub>
        </m:sSub>
      </m:oMath>
      <w:r>
        <w:t xml:space="preserve"> </w:t>
      </w:r>
      <w:r>
        <w:t xml:space="preserve">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(PMW)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r>
        <w:t xml:space="preserve"> </w:t>
      </w:r>
    </w:p>
    <w:p>
      <w:pPr>
        <w:pStyle w:val="BodyText"/>
      </w:pPr>
      <w:r>
        <w:t xml:space="preserve">Borga et al. (2005) aplicam a invariância de escala a séries de máximos anuais de profundidade de chuva em múltiplas durações para derivar uma DDF simples em rede densa nos Alpes italianos. Partem da relação de escala simples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{#eq.ddf-inv-escala}</w:t>
      </w:r>
    </w:p>
    <w:p>
      <w:pPr>
        <w:pStyle w:val="BodyText"/>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r>
            <m:rPr>
              <m:sty m:val="p"/>
            </m:rPr>
            <m:t>ln</m:t>
          </m:r>
          <m:r>
            <m:t>​</m:t>
          </m:r>
          <m:f>
            <m:fPr>
              <m:type m:val="bar"/>
            </m:fPr>
            <m:num>
              <m:r>
                <m:t>T</m:t>
              </m:r>
            </m:num>
            <m:den>
              <m:r>
                <m:t>T</m:t>
              </m:r>
              <m:r>
                <m:rPr>
                  <m:sty m:val="p"/>
                </m:rPr>
                <m:t>−</m:t>
              </m:r>
              <m:r>
                <m:t>1</m:t>
              </m:r>
            </m:den>
          </m:f>
        </m:oMath>
      </m:oMathPara>
    </w:p>
    <w:p>
      <w:pPr>
        <w:pStyle w:val="FirstParagraph"/>
      </w:pPr>
      <w:r>
        <w:t xml:space="preserve">{#ddf-inv-escala-gumbel}</w:t>
      </w:r>
    </w:p>
    <w:p>
      <w:pPr>
        <w:pStyle w:val="BodyText"/>
      </w:pPr>
      <w:r>
        <w:t xml:space="preserve">onde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simple scaling</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{#eq.ddf-inv-escala-gumbel2}</w:t>
      </w:r>
    </w:p>
    <w:p>
      <w:pPr>
        <w:pStyle w:val="BodyText"/>
      </w:pPr>
      <w:r>
        <w:t xml:space="preserve">Os autores mostram que, para durações &lt; 60 min, as razões profundidade–duração (t vs. 60 min) são praticamente independentes do período de retorno e da localização, facilitando transferência entre durações e regionalização.</w:t>
      </w:r>
      <w:r>
        <w:t xml:space="preserve"> </w:t>
      </w:r>
    </w:p>
    <w:p>
      <w:pPr>
        <w:pStyle w:val="BodyText"/>
      </w:pPr>
      <w:r>
        <w:t xml:space="preserve">Em contraste com as formulações paramétricas clássicas de IDF e com usos diretos de Gumbel/GEV, Langousis &amp; Veneziano (2007) constroem as curvas IDF a partir de modelos de chuva localmente multifractais, nos quais a dependência em duração e em frequência emerge do próprio gerador estocástico e não é imposta por uma forma IDF pré-definida. A inovação central é a decomposição em processo exterior (escala de</w:t>
      </w:r>
      <w:r>
        <w:t xml:space="preserve"> </w:t>
      </w:r>
      <w:r>
        <w:t xml:space="preserve">“episódio”</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e depois</w:t>
      </w:r>
      <w:r>
        <w:t xml:space="preserve"> </w:t>
      </w:r>
      <w:r>
        <w:t xml:space="preserve">“dar forma”</w:t>
      </w:r>
      <w:r>
        <w:t xml:space="preserve"> </w:t>
      </w:r>
      <w:r>
        <w:t xml:space="preserve">à IDF, os autores estimam os parâmetros</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w:t>
      </w:r>
      <w:r>
        <w:t xml:space="preserve">via a distribuição do máximo</w:t>
      </w:r>
      <w:r>
        <w:t xml:space="preserve"> </w:t>
      </w:r>
      <m:oMath>
        <m:sSub>
          <m:e>
            <m:r>
              <m:t>M</m:t>
            </m:r>
          </m:e>
          <m:sub>
            <m:r>
              <m:t>d</m:t>
            </m:r>
          </m:sub>
        </m:sSub>
      </m:oMath>
      <w:r>
        <w:t xml:space="preserve"> </w:t>
      </w:r>
      <w:r>
        <w:t xml:space="preserve">no interior de</w:t>
      </w:r>
      <w:r>
        <w:t xml:space="preserve"> </w:t>
      </w:r>
      <m:oMath>
        <m:r>
          <m:t>D</m:t>
        </m:r>
      </m:oMath>
      <w:r>
        <w:t xml:space="preserve">, usando a fatoração de</w:t>
      </w:r>
      <w:r>
        <w:t xml:space="preserve"> </w:t>
      </w:r>
      <w:r>
        <w:t xml:space="preserve">“dressing”</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w:t>
      </w:r>
      <w:r>
        <w:t xml:space="preserve">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w:t>
      </w:r>
      <w:r>
        <w:t xml:space="preserve">sem Monte Carlo pesado e sem supor separabilidade estrita em</w:t>
      </w:r>
      <w:r>
        <w:t xml:space="preserve"> </w:t>
      </w:r>
      <m:oMath>
        <m:r>
          <m:t>d</m:t>
        </m:r>
      </m:oMath>
      <w:r>
        <w:t xml:space="preserve"> </w:t>
      </w:r>
      <w:r>
        <w:t xml:space="preserve">e</w:t>
      </w:r>
      <w:r>
        <w:t xml:space="preserve"> </w:t>
      </w:r>
      <m:oMath>
        <m:r>
          <m:t>T</m:t>
        </m:r>
      </m:oMath>
      <w:r>
        <w:t xml:space="preserve">. Diferentemente de abordagens que regionalizam quantis ou ajustam formas IDF por potência, o trabalho apresenta três variantes com crescente parcimônia para o processo exterior: (i)</w:t>
      </w:r>
      <w:r>
        <w:t xml:space="preserve"> </w:t>
      </w:r>
      <w:r>
        <w:t xml:space="preserve">“tempestades”</w:t>
      </w:r>
      <w:r>
        <w:t xml:space="preserve"> </w:t>
      </w:r>
      <w:r>
        <w:t xml:space="preserve">i.i.d. com</w:t>
      </w:r>
      <w:r>
        <w:t xml:space="preserve"> </w:t>
      </w:r>
      <m:oMath>
        <m:r>
          <m:t>D</m:t>
        </m:r>
      </m:oMath>
      <w:r>
        <w:t xml:space="preserve"> </w:t>
      </w:r>
      <w:r>
        <w:t xml:space="preserve">e intensidade média</w:t>
      </w:r>
      <w:r>
        <w:t xml:space="preserve"> </w:t>
      </w:r>
      <m:oMath>
        <m:sSub>
          <m:e>
            <m:r>
              <m:t>I</m:t>
            </m:r>
          </m:e>
          <m:sub>
            <m:r>
              <m:t>D</m:t>
            </m:r>
          </m:sub>
        </m:sSub>
      </m:oMath>
      <w:r>
        <w:t xml:space="preserve"> </w:t>
      </w:r>
      <w:r>
        <w:t xml:space="preserve">aleatórias;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w:t>
      </w:r>
      <w:r>
        <w:t xml:space="preserve">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 (2016) propõem um enquadramento regional de curvas IDF em que os máximos de precipitação agregados em duração</w:t>
      </w:r>
      <w:r>
        <w:t xml:space="preserve"> </w:t>
      </w:r>
      <m:oMath>
        <m:r>
          <m:t>D</m:t>
        </m:r>
      </m:oMath>
      <w:r>
        <w:t xml:space="preserve"> </w:t>
      </w:r>
      <w:r>
        <w:t xml:space="preserve">seguem uma GEV cujos parâmetros obedecem a um escalonamento simples ao longo de</w:t>
      </w:r>
      <w:r>
        <w:t xml:space="preserve"> </w:t>
      </w:r>
      <m:oMath>
        <m:r>
          <m:t>D</m:t>
        </m:r>
      </m:oMath>
      <w:r>
        <w:t xml:space="preserve">. As duas hipóteses‐chave são: (i) extremos diários são GEV (justificado por EVT) e (ii) máximos agregados em durações dentro de um intervalo</w:t>
      </w:r>
      <w:r>
        <w:t xml:space="preserve"> </w:t>
      </w:r>
      <w:r>
        <w:t xml:space="preserve">“escala‐invariante”</w:t>
      </w:r>
      <w:r>
        <w:t xml:space="preserve"> </w:t>
      </w:r>
      <w:r>
        <w:t xml:space="preserve">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{#eq.gev-par}</w:t>
      </w:r>
    </w:p>
    <w:p>
      <w:pPr>
        <w:pStyle w:val="BodyText"/>
      </w:pPr>
      <w:r>
        <w:t xml:space="preserve">enquanto a forma permanece constante</w:t>
      </w:r>
      <w:r>
        <w:t xml:space="preserve"> </w:t>
      </w:r>
      <m:oMath>
        <m:sSub>
          <m:e>
            <m:r>
              <m:t>ξ</m:t>
            </m:r>
          </m:e>
          <m:sub>
            <m:r>
              <m:t>D</m:t>
            </m:r>
          </m:sub>
        </m:sSub>
        <m:r>
          <m:rPr>
            <m:sty m:val="p"/>
          </m:rPr>
          <m:t>=</m:t>
        </m:r>
        <m:r>
          <m:t>n</m:t>
        </m:r>
      </m:oMath>
      <w:r>
        <w:t xml:space="preserve"> </w:t>
      </w:r>
      <w:r>
        <w:t xml:space="preserve">. Aqui</w:t>
      </w:r>
      <w:r>
        <w:t xml:space="preserve"> </w:t>
      </w:r>
      <m:oMath>
        <m:r>
          <m:t>η</m:t>
        </m:r>
      </m:oMath>
      <w:r>
        <w:t xml:space="preserve"> </w:t>
      </w:r>
      <w:r>
        <w:t xml:space="preserve">é o expoente de escala (declive log–log dos parâmetros vs.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n</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semana,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n</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
          <w:iCs/>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{#eq.hershfield}</w:t>
      </w:r>
    </w:p>
    <w:p>
      <w:pPr>
        <w:pStyle w:val="BodyText"/>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{#eq.robinson-tawn}</w:t>
      </w:r>
    </w:p>
    <w:p>
      <w:pPr>
        <w:pStyle w:val="BodyText"/>
      </w:pPr>
      <w:r>
        <w:t xml:space="preserve">onde</w:t>
      </w:r>
      <w:r>
        <w:t xml:space="preserve"> </w:t>
      </w:r>
      <m:oMath>
        <m:sSubSup>
          <m:e>
            <m:r>
              <m:t>I</m:t>
            </m:r>
          </m:e>
          <m:sub>
            <m:r>
              <m:t>D</m:t>
            </m:r>
          </m:sub>
          <m:sup>
            <m:d>
              <m:dPr>
                <m:begChr m:val="("/>
                <m:endChr m:val=")"/>
                <m:sepChr m:val=""/>
                <m:grow/>
              </m:dPr>
              <m:e>
                <m:r>
                  <m:t>24</m:t>
                </m:r>
              </m:e>
            </m:d>
          </m:sup>
        </m:sSubSup>
      </m:oMath>
      <w:r>
        <w:t xml:space="preserve"> </w:t>
      </w:r>
      <w:r>
        <w:t xml:space="preserve">e</w:t>
      </w:r>
      <w:r>
        <w:t xml:space="preserve"> </w:t>
      </w:r>
      <m:oMath>
        <m:sSubSup>
          <m:e>
            <m:r>
              <m:t>I</m:t>
            </m:r>
          </m:e>
          <m:sub>
            <m:r>
              <m:t>D</m:t>
            </m:r>
          </m:sub>
          <m:sup>
            <m:d>
              <m:dPr>
                <m:begChr m:val="("/>
                <m:endChr m:val=")"/>
                <m:sepChr m:val=""/>
                <m:grow/>
              </m:dPr>
              <m:e>
                <m:r>
                  <m:t>1</m:t>
                </m:r>
              </m:e>
            </m:d>
          </m:sup>
        </m:sSubSup>
      </m:oMath>
      <w:r>
        <w:t xml:space="preserve"> </w:t>
      </w:r>
      <w:r>
        <w:t xml:space="preserve">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 (2016) utilizaram a invariância de escala simples em séries de máximos anuais de intensidade para durações de 5 min a 24 h em 15 pluviômetros no norte da Tunísia, combinando-a com GEV–EV1 (Gumbel) e PWMs para construir IDF e, em seguida, IDAF regionais usando a rede diária muito mais densa. A hipótese central é o escala simple para intensidades máximas</w:t>
      </w:r>
      <w:r>
        <w:t xml:space="preserve"> </w:t>
      </w:r>
      <m:oMath>
        <m:sSub>
          <m:e>
            <m:r>
              <m:t>I</m:t>
            </m:r>
          </m:e>
          <m:sub>
            <m:r>
              <m:t>d</m:t>
            </m:r>
          </m:sub>
        </m:sSub>
      </m:oMath>
      <w:r>
        <w:t xml:space="preserve"> </w:t>
      </w:r>
      <w:r>
        <w:t xml:space="preserve">entre uma duração alvo</w:t>
      </w:r>
      <w:r>
        <w:t xml:space="preserve"> </w:t>
      </w:r>
      <m:oMath>
        <m:r>
          <m:t>d</m:t>
        </m:r>
      </m:oMath>
      <w:r>
        <w:t xml:space="preserve"> </w:t>
      </w:r>
      <w:r>
        <w:t xml:space="preserve">e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(ou PWMs)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{#eq.inv-escala-gumbel}</w:t>
      </w:r>
    </w:p>
    <w:p>
      <w:pPr>
        <w:pStyle w:val="BodyText"/>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w:t>
      </w:r>
      <w:r>
        <w:t xml:space="preserve">para</w:t>
      </w:r>
      <w:r>
        <w:t xml:space="preserve"> </w:t>
      </w:r>
      <m:oMath>
        <m:r>
          <m:t>d</m:t>
        </m:r>
        <m:r>
          <m:rPr>
            <m:sty m:val="p"/>
          </m:rPr>
          <m:t>&lt;</m:t>
        </m:r>
        <m:sSub>
          <m:e>
            <m:r>
              <m:t>d</m:t>
            </m:r>
          </m:e>
          <m:sub>
            <m:r>
              <m:t>r</m:t>
            </m:r>
          </m:sub>
        </m:sSub>
      </m:oMath>
      <w:r>
        <w:t xml:space="preserve"> </w:t>
      </w:r>
      <w:r>
        <w:t xml:space="preserve">e</w:t>
      </w:r>
      <w:r>
        <w:t xml:space="preserve"> </w:t>
      </w:r>
      <m:oMath>
        <m:sSub>
          <m:e>
            <m:r>
              <m:t>η</m:t>
            </m:r>
          </m:e>
          <m:sub>
            <m:r>
              <m:t>2</m:t>
            </m:r>
          </m:sub>
        </m:sSub>
      </m:oMath>
      <w:r>
        <w:t xml:space="preserve"> </w:t>
      </w:r>
      <w:r>
        <w:t xml:space="preserve">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r>
        <w:t xml:space="preserve"> </w:t>
      </w:r>
    </w:p>
    <w:p>
      <w:pPr>
        <w:pStyle w:val="BodyText"/>
      </w:pPr>
      <w:r>
        <w:t xml:space="preserve">Sane et al. (2018) constroem curvas IDF para o Senegal comparando duas formulações baseadas em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w:t>
      </w:r>
      <w:r>
        <w:t xml:space="preserve">uma duração de referência. Os autores adotam a formulação de Koutsoyiannis et al. (1988) 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própria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 (2019) constroem um arcabouço global de IDF a partir do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w:t>
      </w:r>
      <w:r>
        <w:t xml:space="preserve">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PWMs. A principal contribuição metodológica é formalizar uma IDF contínua em duração que</w:t>
      </w:r>
      <w:r>
        <w:t xml:space="preserve"> </w:t>
      </w:r>
      <w:r>
        <w:t xml:space="preserve">“empresta força”</w:t>
      </w:r>
      <w:r>
        <w:t xml:space="preserve"> </w:t>
      </w:r>
      <w:r>
        <w:t xml:space="preserve">entre escalas via o escalonamento independente de</w:t>
      </w:r>
      <w:r>
        <w:t xml:space="preserve"> </w:t>
      </w:r>
      <m:oMath>
        <m:r>
          <m:t>μ</m:t>
        </m:r>
      </m:oMath>
      <w:r>
        <w:t xml:space="preserve"> </w:t>
      </w:r>
      <w:r>
        <w:t xml:space="preserve">e</w:t>
      </w:r>
      <w:r>
        <w:t xml:space="preserve"> </w:t>
      </w:r>
      <m:oMath>
        <m:r>
          <m:t>σ</m:t>
        </m:r>
      </m:oMath>
      <w:r>
        <w:t xml:space="preserv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{#eq.par-courty}</w:t>
      </w:r>
    </w:p>
    <w:p>
      <w:pPr>
        <w:pStyle w:val="BodyText"/>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w:t>
      </w:r>
      <w:r>
        <w:t xml:space="preserve">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 (2020) compara, em 223 pluviômetros (30 min–24 h) no Arizona, cinco modelos de IDF — dois locais (At-site; At-site com correção de viés em</w:t>
      </w:r>
      <w:r>
        <w:t xml:space="preserve"> </w:t>
      </w:r>
      <m:oMath>
        <m:r>
          <m:t>ξ</m:t>
        </m:r>
      </m:oMath>
      <w:r>
        <w:t xml:space="preserve">), um regional (index-flood de Hosking–Wallis) e dois de escala simples (um local, Sc, e um regional novo, RegSc). Mostra evidência robusta de escala simples entre 24 h e 30 min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{#eq.mascaro}</w:t>
      </w:r>
    </w:p>
    <w:p>
      <w:pPr>
        <w:pStyle w:val="BodyText"/>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Em cross-validation com bootstrapping,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w:t>
      </w:r>
      <w:r>
        <w:t xml:space="preserve">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 (2021) apresentam um esquema de desagregação temporal baseado em invariância de escala que chamam de Scaling-GEV. Partem da hipótese de escala simples para máximos anuais (AMPs), pela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w:t>
      </w:r>
      <w:r>
        <w:t xml:space="preserve">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w:t>
      </w:r>
      <w:r>
        <w:t xml:space="preserve">e resolve numericamente</w:t>
      </w:r>
      <w:r>
        <w:t xml:space="preserve"> </w:t>
      </w:r>
      <m:oMath>
        <m:r>
          <m:t>ξ</m:t>
        </m:r>
      </m:oMath>
      <w:r>
        <w:t xml:space="preserve">). Em aplicações a Dorval (Canadá) e Seul (Coreia), identificam dois regimes de duração com pontos de ruptura (≈30 min e 90 min, respectivamente) e mostram que S3NCM é, em geral, o mais acurado para durações subdiárias, enquanto SLmom tende a ir melhor nas mais longas. Como contribuição adicional, introduzem um bootstrap modificado que constrói intervalos de confiança de 95% para IDFs usando somente AMPs diárias: reamostram as AMPs de 1 dia, propagam a incerteza via relações de scaling para as durações curtas e fecham os limites com a inversa da GEV.</w:t>
      </w:r>
    </w:p>
    <w:p>
      <w:pPr>
        <w:pStyle w:val="BodyText"/>
      </w:pPr>
      <w:r>
        <w:t xml:space="preserve">Para aplicações em grade sob mudança do clima, Requena et al. (2021) propuseram um downscaling temporal que combina AM diários de RCMs com expoentes de escala observados em grade. No estudo, a desagregação temporal em grade baseia-se no modelo GEV com invariância de escala formulado via probabilistic weighted moments (PWMs). O modelo segue a formulação da escala simples com a distribuição GEV.</w:t>
      </w:r>
      <w:r>
        <w:t xml:space="preserve"> </w:t>
      </w:r>
      <w:r>
        <w:t xml:space="preserve"> </w:t>
      </w:r>
      <w:r>
        <w:t xml:space="preserve">&lt;!–#Sob escala simples, as PWMs em duas escalas temporais</w:t>
      </w:r>
      <w:r>
        <w:t xml:space="preserve"> </w:t>
      </w:r>
      <m:oMath>
        <m:r>
          <m:t>t</m:t>
        </m:r>
      </m:oMath>
      <w:r>
        <w:t xml:space="preserve"> </w:t>
      </w:r>
      <w:r>
        <w:t xml:space="preserve">e</w:t>
      </w:r>
      <w:r>
        <w:t xml:space="preserve"> </w:t>
      </w:r>
      <m:oMath>
        <m:r>
          <m:t>λ</m:t>
        </m:r>
        <m:r>
          <m:t>t</m:t>
        </m:r>
      </m:oMath>
      <w:r>
        <w:t xml:space="preserve"> </w:t>
      </w:r>
      <w:r>
        <w:t xml:space="preserve">relacionam-se por</w:t>
      </w:r>
    </w:p>
    <w:p>
      <w:pPr>
        <w:pStyle w:val="BodyText"/>
      </w:pPr>
      <m:oMathPara>
        <m:oMathParaPr>
          <m:jc m:val="center"/>
        </m:oMathParaPr>
        <m:oMath>
          <m:sSub>
            <m:e>
              <m:r>
                <m:t>β</m:t>
              </m:r>
            </m:e>
            <m:sub>
              <m:r>
                <m:t>r</m:t>
              </m:r>
            </m:sub>
          </m:sSub>
          <m:d>
            <m:dPr>
              <m:begChr m:val="("/>
              <m:endChr m:val=")"/>
              <m:sepChr m:val=""/>
              <m:grow/>
            </m:dPr>
            <m:e>
              <m:r>
                <m:t>λ</m:t>
              </m:r>
              <m:r>
                <m:t>t</m:t>
              </m:r>
            </m:e>
          </m:d>
          <m:r>
            <m:rPr>
              <m:sty m:val="p"/>
            </m:rPr>
            <m:t>=</m:t>
          </m:r>
          <m:sSup>
            <m:e>
              <m:r>
                <m:t>λ</m:t>
              </m:r>
            </m:e>
            <m:sup>
              <m:r>
                <m:t>S</m:t>
              </m:r>
            </m:sup>
          </m:sSup>
          <m:r>
            <m:t> </m:t>
          </m:r>
          <m:sSub>
            <m:e>
              <m:r>
                <m:t>β</m:t>
              </m:r>
            </m:e>
            <m:sub>
              <m:r>
                <m:t>r</m:t>
              </m:r>
            </m:sub>
          </m:sSub>
          <m:d>
            <m:dPr>
              <m:begChr m:val="("/>
              <m:endChr m:val=")"/>
              <m:sepChr m:val=""/>
              <m:grow/>
            </m:dPr>
            <m:e>
              <m:r>
                <m:t>t</m:t>
              </m:r>
            </m:e>
          </m:d>
        </m:oMath>
      </m:oMathPara>
    </w:p>
    <w:p>
      <w:pPr>
        <w:pStyle w:val="FirstParagraph"/>
      </w:pPr>
      <w:r>
        <w:t xml:space="preserve">onde</w:t>
      </w:r>
      <w:r>
        <w:t xml:space="preserve"> </w:t>
      </w:r>
      <m:oMath>
        <m:r>
          <m:t>λ</m:t>
        </m:r>
      </m:oMath>
      <w:r>
        <w:t xml:space="preserve"> </w:t>
      </w:r>
      <w:r>
        <w:t xml:space="preserve">é a razão de escalas (p.ex.,</w:t>
      </w:r>
      <w:r>
        <w:t xml:space="preserve"> </w:t>
      </w:r>
      <m:oMath>
        <m:r>
          <m:t>λ</m:t>
        </m:r>
        <m:r>
          <m:rPr>
            <m:sty m:val="p"/>
          </m:rPr>
          <m:t>=</m:t>
        </m:r>
        <m:r>
          <m:t>1</m:t>
        </m:r>
        <m:r>
          <m:rPr>
            <m:sty m:val="p"/>
          </m:rPr>
          <m:t>/</m:t>
        </m:r>
        <m:r>
          <m:t>24</m:t>
        </m:r>
      </m:oMath>
      <w:r>
        <w:t xml:space="preserve"> </w:t>
      </w:r>
      <w:r>
        <w:t xml:space="preserve">para 1 h a partir de 24 h) e</w:t>
      </w:r>
      <w:r>
        <w:t xml:space="preserve"> </w:t>
      </w:r>
      <m:oMath>
        <m:r>
          <m:t>S</m:t>
        </m:r>
      </m:oMath>
      <w:r>
        <w:t xml:space="preserve"> </w:t>
      </w:r>
      <w:r>
        <w:t xml:space="preserve">é o expoente de escala comum aos momentos; essa hipótese permite transportar estatísticas entre durações a partir de uma escala de referência diária. A mesma lei induz a relação, para parâmetros/quantis da GEV,</w:t>
      </w:r>
    </w:p>
    <w:p>
      <w:pPr>
        <w:pStyle w:val="BodyText"/>
      </w:pPr>
      <m:oMathPara>
        <m:oMathParaPr>
          <m:jc m:val="center"/>
        </m:oMathParaPr>
        <m:oMath>
          <m:r>
            <m:t>g</m:t>
          </m:r>
          <m:d>
            <m:dPr>
              <m:begChr m:val="("/>
              <m:endChr m:val=")"/>
              <m:sepChr m:val=""/>
              <m:grow/>
            </m:dPr>
            <m:e>
              <m:r>
                <m:t>λ</m:t>
              </m:r>
              <m:r>
                <m:t>t</m:t>
              </m:r>
            </m:e>
          </m:d>
          <m:r>
            <m:rPr>
              <m:sty m:val="p"/>
            </m:rPr>
            <m:t>=</m:t>
          </m:r>
          <m:sSup>
            <m:e>
              <m:r>
                <m:t>λ</m:t>
              </m:r>
            </m:e>
            <m:sup>
              <m:r>
                <m:t>S</m:t>
              </m:r>
            </m:sup>
          </m:sSup>
          <m:r>
            <m:t>g</m:t>
          </m:r>
          <m:d>
            <m:dPr>
              <m:begChr m:val="("/>
              <m:endChr m:val=")"/>
              <m:sepChr m:val=""/>
              <m:grow/>
            </m:dPr>
            <m:e>
              <m:r>
                <m:t>t</m:t>
              </m:r>
            </m:e>
          </m:d>
          <m:r>
            <m:rPr>
              <m:sty m:val="p"/>
            </m:rPr>
            <m:t>,</m:t>
          </m:r>
          <m:r>
            <m:t>  </m:t>
          </m:r>
          <m:r>
            <m:t>κ</m:t>
          </m:r>
          <m:d>
            <m:dPr>
              <m:begChr m:val="("/>
              <m:endChr m:val=")"/>
              <m:sepChr m:val=""/>
              <m:grow/>
            </m:dPr>
            <m:e>
              <m:r>
                <m:t>λ</m:t>
              </m:r>
              <m:r>
                <m:t>t</m:t>
              </m:r>
            </m:e>
          </m:d>
          <m:r>
            <m:rPr>
              <m:sty m:val="p"/>
            </m:rPr>
            <m:t>=</m:t>
          </m:r>
          <m:r>
            <m:t>κ</m:t>
          </m:r>
          <m:d>
            <m:dPr>
              <m:begChr m:val="("/>
              <m:endChr m:val=")"/>
              <m:sepChr m:val=""/>
              <m:grow/>
            </m:dPr>
            <m:e>
              <m:r>
                <m:t>t</m:t>
              </m:r>
            </m:e>
          </m:d>
        </m:oMath>
      </m:oMathPara>
    </w:p>
    <w:p>
      <w:pPr>
        <w:pStyle w:val="FirstParagraph"/>
      </w:pPr>
      <w:r>
        <w:t xml:space="preserve">em que</w:t>
      </w:r>
      <w:r>
        <w:t xml:space="preserve"> </w:t>
      </w:r>
      <m:oMath>
        <m:r>
          <m:t>g</m:t>
        </m:r>
      </m:oMath>
      <w:r>
        <w:t xml:space="preserve"> </w:t>
      </w:r>
      <w:r>
        <w:t xml:space="preserve">denota o parâmetro de posição, o de escala ou o quantil de retorno</w:t>
      </w:r>
      <w:r>
        <w:t xml:space="preserve"> </w:t>
      </w:r>
      <m:oMath>
        <m:r>
          <m:t>T</m:t>
        </m:r>
      </m:oMath>
      <w:r>
        <w:t xml:space="preserve"> </w:t>
      </w:r>
      <w:r>
        <w:t xml:space="preserve">e</w:t>
      </w:r>
      <w:r>
        <w:t xml:space="preserve"> </w:t>
      </w:r>
      <m:oMath>
        <m:r>
          <m:t>κ</m:t>
        </m:r>
      </m:oMath>
      <w:r>
        <w:t xml:space="preserve"> </w:t>
      </w:r>
      <w:r>
        <w:t xml:space="preserve">é o parâmetro de forma, assumido invariável à mudança de duração; assim, quantis subdiários são obtidos diretamente de séries anuais máximas (AMS) diárias –&gt;.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t xml:space="preserve">“piecewise”</w:t>
      </w:r>
      <w:r>
        <w:t xml:space="preserve"> </w:t>
      </w:r>
      <w:r>
        <w:t xml:space="preserve">coerente entre durações.</w:t>
      </w:r>
    </w:p>
    <w:p>
      <w:pPr>
        <w:pStyle w:val="BodyText"/>
      </w:pPr>
      <w:r>
        <w:t xml:space="preserve">Benestad et al. (2021) &lt;!–#propõem uma fórmula simples para estimar IDFs subdiárias usando apenas dados diários (24 h) e dois indicadores facilmente observáveis: a média em dias chuvosos</w:t>
      </w:r>
      <w:r>
        <w:t xml:space="preserve"> </w:t>
      </w:r>
      <m:oMath>
        <m:r>
          <m:t>μ</m:t>
        </m:r>
      </m:oMath>
      <w:r>
        <w:t xml:space="preserve"> </w:t>
      </w:r>
      <w:r>
        <w:t xml:space="preserve">e a frequência de dias chuvosos</w:t>
      </w:r>
      <w:r>
        <w:t xml:space="preserve"> </w:t>
      </w:r>
      <m:oMath>
        <m:sSub>
          <m:e>
            <m:r>
              <m:t>f</m:t>
            </m:r>
          </m:e>
          <m:sub>
            <m:r>
              <m:t>w</m:t>
            </m:r>
          </m:sub>
        </m:sSub>
      </m:oMath>
      <w:r>
        <w:t xml:space="preserve">. Partindo de uma aproximação exponencial para a cauda moderada da chuva diária e de um fator corretivo</w:t>
      </w:r>
      <w:r>
        <w:t xml:space="preserve"> </w:t>
      </w:r>
      <m:oMath>
        <m:r>
          <m:t>α</m:t>
        </m:r>
      </m:oMath>
      <w:r>
        <w:t xml:space="preserve"> </w:t>
      </w:r>
      <w:r>
        <w:t xml:space="preserve">(que ajusta a discrepância entre a cauda observada e a exponencial), os autores estendem o raciocínio para escalas subdiárias assumindo lei de potência em duração. O resultado é a expressão prática</w:t>
      </w:r>
    </w:p>
    <w:p>
      <w:pPr>
        <w:pStyle w:val="BodyText"/>
      </w:pPr>
      <m:oMathPara>
        <m:oMathParaPr>
          <m:jc m:val="center"/>
        </m:oMathParaPr>
        <m:oMath>
          <m:sSub>
            <m:e>
              <m:r>
                <m:t>x</m:t>
              </m:r>
            </m:e>
            <m:sub>
              <m:r>
                <m:t>L</m:t>
              </m:r>
            </m:sub>
          </m:sSub>
          <m:r>
            <m:rPr>
              <m:sty m:val="p"/>
            </m:rPr>
            <m:t>=</m:t>
          </m:r>
          <m:r>
            <m:t>α</m:t>
          </m:r>
          <m:r>
            <m:t> </m:t>
          </m:r>
          <m:r>
            <m:t>μ</m:t>
          </m:r>
          <m:sSup>
            <m:e>
              <m:d>
                <m:dPr>
                  <m:begChr m:val="("/>
                  <m:endChr m:val=")"/>
                  <m:sepChr m:val=""/>
                  <m:grow/>
                </m:dPr>
                <m:e>
                  <m:f>
                    <m:fPr>
                      <m:type m:val="bar"/>
                    </m:fPr>
                    <m:num>
                      <m:r>
                        <m:t>L</m:t>
                      </m:r>
                    </m:num>
                    <m:den>
                      <m:r>
                        <m:t>24</m:t>
                      </m:r>
                    </m:den>
                  </m:f>
                </m:e>
              </m:d>
            </m:e>
            <m:sup>
              <m:r>
                <m:t>ζ</m:t>
              </m:r>
            </m:sup>
          </m:sSup>
          <m:r>
            <m:t>​</m:t>
          </m:r>
          <m:r>
            <m:rPr>
              <m:sty m:val="p"/>
            </m:rPr>
            <m:t>ln</m:t>
          </m:r>
          <m:r>
            <m:t>​</m:t>
          </m:r>
          <m:d>
            <m:dPr>
              <m:begChr m:val="["/>
              <m:endChr m:val="]"/>
              <m:sepChr m:val=""/>
              <m:grow/>
            </m:dPr>
            <m:e>
              <m:sSub>
                <m:e>
                  <m:r>
                    <m:t>f</m:t>
                  </m:r>
                </m:e>
                <m:sub>
                  <m:r>
                    <m:t>w</m:t>
                  </m:r>
                </m:sub>
              </m:sSub>
              <m:r>
                <m:t> </m:t>
              </m:r>
              <m:r>
                <m:t>τ</m:t>
              </m:r>
            </m:e>
          </m:d>
        </m:oMath>
      </m:oMathPara>
    </w:p>
    <w:p>
      <w:pPr>
        <w:pStyle w:val="FirstParagraph"/>
      </w:pPr>
      <w:r>
        <w:t xml:space="preserve">em que</w:t>
      </w:r>
      <w:r>
        <w:t xml:space="preserve"> </w:t>
      </w:r>
      <m:oMath>
        <m:sSub>
          <m:e>
            <m:r>
              <m:t>x</m:t>
            </m:r>
          </m:e>
          <m:sub>
            <m:r>
              <m:t>L</m:t>
            </m:r>
          </m:sub>
        </m:sSub>
      </m:oMath>
      <w:r>
        <w:t xml:space="preserve"> </w:t>
      </w:r>
      <w:r>
        <w:t xml:space="preserve">é o nível de retorno na duração</w:t>
      </w:r>
      <w:r>
        <w:t xml:space="preserve"> </w:t>
      </w:r>
      <m:oMath>
        <m:r>
          <m:t>L</m:t>
        </m:r>
      </m:oMath>
      <w:r>
        <w:t xml:space="preserve"> </w:t>
      </w:r>
      <w:r>
        <w:t xml:space="preserve">(h) para período de retorno</w:t>
      </w:r>
      <w:r>
        <w:t xml:space="preserve"> </w:t>
      </w:r>
      <m:oMath>
        <m:r>
          <m:t>τ</m:t>
        </m:r>
      </m:oMath>
      <w:r>
        <w:t xml:space="preserve">,</w:t>
      </w:r>
      <w:r>
        <w:t xml:space="preserve"> </w:t>
      </w:r>
      <m:oMath>
        <m:r>
          <m:t>ζ</m:t>
        </m:r>
      </m:oMath>
      <w:r>
        <w:t xml:space="preserve"> </w:t>
      </w:r>
      <w:r>
        <w:t xml:space="preserve">é o expoente de escala temporal estimado como a inclinação da regressão</w:t>
      </w:r>
      <w:r>
        <w:t xml:space="preserve"> </w:t>
      </w:r>
      <m:oMath>
        <m:r>
          <m:rPr>
            <m:sty m:val="p"/>
          </m:rPr>
          <m:t>log</m:t>
        </m:r>
        <m:sSub>
          <m:e>
            <m:r>
              <m:t>x</m:t>
            </m:r>
          </m:e>
          <m:sub>
            <m:r>
              <m:t>L</m:t>
            </m:r>
          </m:sub>
        </m:sSub>
      </m:oMath>
      <w:r>
        <w:t xml:space="preserve"> </w:t>
      </w:r>
      <w:r>
        <w:t xml:space="preserve">versus</w:t>
      </w:r>
      <w:r>
        <w:t xml:space="preserve"> </w:t>
      </w:r>
      <m:oMath>
        <m:r>
          <m:rPr>
            <m:sty m:val="p"/>
          </m:rPr>
          <m:t>log</m:t>
        </m:r>
        <m:d>
          <m:dPr>
            <m:begChr m:val="("/>
            <m:endChr m:val=")"/>
            <m:sepChr m:val=""/>
            <m:grow/>
          </m:dPr>
          <m:e>
            <m:r>
              <m:t>L</m:t>
            </m:r>
            <m:r>
              <m:rPr>
                <m:sty m:val="p"/>
              </m:rPr>
              <m:t>/</m:t>
            </m:r>
            <m:r>
              <m:t>24</m:t>
            </m:r>
          </m:e>
        </m:d>
      </m:oMath>
      <w:r>
        <w:t xml:space="preserve">, e</w:t>
      </w:r>
      <w:r>
        <w:t xml:space="preserve"> </w:t>
      </w:r>
      <m:oMath>
        <m:r>
          <m:t>α</m:t>
        </m:r>
      </m:oMath>
      <w:r>
        <w:t xml:space="preserve"> </w:t>
      </w:r>
      <w:r>
        <w:t xml:space="preserve">pode vir da calibração diária (os autores discutem ainda sua dependência com</w:t>
      </w:r>
      <w:r>
        <w:t xml:space="preserve"> </w:t>
      </w:r>
      <m:oMath>
        <m:r>
          <m:t>τ</m:t>
        </m:r>
      </m:oMath>
      <w:r>
        <w:t xml:space="preserve">). Essa forma funciona como um downscaling temporal analítico: transfere informação do diário para o sub-diário sem ajustar EV/GEV em cada duração, explorando que</w:t>
      </w:r>
      <w:r>
        <w:t xml:space="preserve"> </w:t>
      </w:r>
      <m:oMath>
        <m:r>
          <m:t>μ</m:t>
        </m:r>
      </m:oMath>
      <w:r>
        <w:t xml:space="preserve"> </w:t>
      </w:r>
      <w:r>
        <w:t xml:space="preserve">e</w:t>
      </w:r>
      <w:r>
        <w:t xml:space="preserve"> </w:t>
      </w:r>
      <m:oMath>
        <m:sSub>
          <m:e>
            <m:r>
              <m:t>f</m:t>
            </m:r>
          </m:e>
          <m:sub>
            <m:r>
              <m:t>w</m:t>
            </m:r>
          </m:sub>
        </m:sSub>
      </m:oMath>
      <w:r>
        <w:t xml:space="preserve"> </w:t>
      </w:r>
      <w:r>
        <w:t xml:space="preserve">já capturam não-estacionariedade climática. Metodologicamente, o estudo calibra</w:t>
      </w:r>
      <w:r>
        <w:t xml:space="preserve"> </w:t>
      </w:r>
      <m:oMath>
        <m:r>
          <m:t>ζ</m:t>
        </m:r>
      </m:oMath>
      <w:r>
        <w:t xml:space="preserve"> </w:t>
      </w:r>
      <w:r>
        <w:t xml:space="preserve">a partir de IDFs observadas em 14 postos de Oslo via regressão log–log, mostra que o termo</w:t>
      </w:r>
      <w:r>
        <w:t xml:space="preserve"> </w:t>
      </w:r>
      <m:oMath>
        <m:sSup>
          <m:e>
            <m:d>
              <m:dPr>
                <m:begChr m:val="("/>
                <m:endChr m:val=")"/>
                <m:sepChr m:val=""/>
                <m:grow/>
              </m:dPr>
              <m:e>
                <m:r>
                  <m:t>L</m:t>
                </m:r>
                <m:r>
                  <m:rPr>
                    <m:sty m:val="p"/>
                  </m:rPr>
                  <m:t>/</m:t>
                </m:r>
                <m:r>
                  <m:t>24</m:t>
                </m:r>
              </m:e>
            </m:d>
          </m:e>
          <m:sup>
            <m:r>
              <m:t>ζ</m:t>
            </m:r>
          </m:sup>
        </m:sSup>
      </m:oMath>
      <w:r>
        <w:t xml:space="preserve"> </w:t>
      </w:r>
      <w:r>
        <w:t xml:space="preserve">domina a variação com</w:t>
      </w:r>
      <w:r>
        <w:t xml:space="preserve"> </w:t>
      </w:r>
      <m:oMath>
        <m:r>
          <m:t>L</m:t>
        </m:r>
      </m:oMath>
      <w:r>
        <w:t xml:space="preserve"> </w:t>
      </w:r>
      <w:r>
        <w:t xml:space="preserve">frente a</w:t>
      </w:r>
      <w:r>
        <w:t xml:space="preserve"> </w:t>
      </w:r>
      <m:oMath>
        <m:r>
          <m:rPr>
            <m:sty m:val="p"/>
          </m:rPr>
          <m:t>ln</m:t>
        </m:r>
        <m:d>
          <m:dPr>
            <m:begChr m:val="["/>
            <m:endChr m:val="]"/>
            <m:sepChr m:val=""/>
            <m:grow/>
          </m:dPr>
          <m:e>
            <m:sSub>
              <m:e>
                <m:r>
                  <m:t>f</m:t>
                </m:r>
              </m:e>
              <m:sub>
                <m:r>
                  <m:t>w</m:t>
                </m:r>
              </m:sub>
            </m:sSub>
            <m:r>
              <m:t>τ</m:t>
            </m:r>
          </m:e>
        </m:d>
      </m:oMath>
      <w:r>
        <w:t xml:space="preserve">, e valida a fórmula em postos independentes no país (desempenho bom para</w:t>
      </w:r>
      <w:r>
        <w:t xml:space="preserve"> </w:t>
      </w:r>
      <m:oMath>
        <m:r>
          <m:t>T</m:t>
        </m:r>
        <m:r>
          <m:rPr>
            <m:sty m:val="p"/>
          </m:rPr>
          <m:t>=</m:t>
        </m:r>
        <m:r>
          <m:t>10</m:t>
        </m:r>
      </m:oMath>
      <w:r>
        <w:t xml:space="preserve"> </w:t>
      </w:r>
      <w:r>
        <w:t xml:space="preserve">anos; desempenho decai em</w:t>
      </w:r>
      <w:r>
        <w:t xml:space="preserve"> </w:t>
      </w:r>
      <m:oMath>
        <m:r>
          <m:t>T</m:t>
        </m:r>
      </m:oMath>
      <w:r>
        <w:t xml:space="preserve"> </w:t>
      </w:r>
      <w:r>
        <w:t xml:space="preserve">muito altos, onde</w:t>
      </w:r>
      <w:r>
        <w:t xml:space="preserve"> </w:t>
      </w:r>
      <m:oMath>
        <m:r>
          <m:t>α</m:t>
        </m:r>
      </m:oMath>
      <w:r>
        <w:t xml:space="preserve"> </w:t>
      </w:r>
      <w:r>
        <w:t xml:space="preserve">cresce e a curvatura da IDF real exibe</w:t>
      </w:r>
      <w:r>
        <w:t xml:space="preserve"> </w:t>
      </w:r>
      <w:r>
        <w:t xml:space="preserve">“quebras”</w:t>
      </w:r>
      <w:r>
        <w:t xml:space="preserve">). Em contraste com esquemas clássicos, a expressão explicita</w:t>
      </w:r>
      <w:r>
        <w:t xml:space="preserve"> </w:t>
      </w:r>
      <m:oMath>
        <m:r>
          <m:t>μ</m:t>
        </m:r>
      </m:oMath>
      <w:r>
        <w:t xml:space="preserve"> </w:t>
      </w:r>
      <w:r>
        <w:t xml:space="preserve">e</w:t>
      </w:r>
      <w:r>
        <w:t xml:space="preserve"> </w:t>
      </w:r>
      <m:oMath>
        <m:sSub>
          <m:e>
            <m:r>
              <m:t>f</m:t>
            </m:r>
          </m:e>
          <m:sub>
            <m:r>
              <m:t>w</m:t>
            </m:r>
          </m:sub>
        </m:sSub>
      </m:oMath>
      <w:r>
        <w:t xml:space="preserve"> </w:t>
      </w:r>
      <w:r>
        <w:t xml:space="preserve">na IDF, conectando diretamente a forma da curva à climatologia local de intensidade média e frequência de chuva — o que a torna útil onde faltam séries sub-horárias e para cenários futuros se</w:t>
      </w:r>
      <w:r>
        <w:t xml:space="preserve"> </w:t>
      </w:r>
      <m:oMath>
        <m:r>
          <m:t>μ</m:t>
        </m:r>
      </m:oMath>
      <w:r>
        <w:t xml:space="preserve"> </w:t>
      </w:r>
      <w:r>
        <w:t xml:space="preserve">e</w:t>
      </w:r>
      <w:r>
        <w:t xml:space="preserve"> </w:t>
      </w:r>
      <m:oMath>
        <m:sSub>
          <m:e>
            <m:r>
              <m:t>f</m:t>
            </m:r>
          </m:e>
          <m:sub>
            <m:r>
              <m:t>w</m:t>
            </m:r>
          </m:sub>
        </m:sSub>
      </m:oMath>
      <w:r>
        <w:t xml:space="preserve"> </w:t>
      </w:r>
      <w:r>
        <w:t xml:space="preserve">puderem ser projetados. #Mais Regionalização–&gt;</w:t>
      </w:r>
    </w:p>
    <w:p>
      <w:pPr>
        <w:pStyle w:val="BodyText"/>
      </w:pPr>
      <w:r>
        <w:t xml:space="preserve">Apesar do embasamento teórico consolidado há décadas (Burlando &amp; Rosso, 1996), impedimentos práticos, sobretudo a escassez de dados de longa duração, limitaram aplicações regionais por muito tempo. Barbosa e Costa (2023) 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simple scaling, razões de variabilidade como o CV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(momentos/PWM, máxima verossimilhança, Bayes) e identificação de regimes com quebras entre faixas de duração operacionais (p.ex., 1–24 h).</w:t>
      </w:r>
    </w:p>
    <w:p>
      <w:pPr>
        <w:pStyle w:val="BodyText"/>
      </w:pPr>
      <w:r>
        <w:t xml:space="preserve">Gnecco et al. (2023) 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 (1998),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 (2024) aplicaram um modelo unificado de intensidades extremas no Reino Unido, integrando registros diários, fatores geográficos e regiões homogêneas de precipitação, utilizando a distribuição Gumbel (EV1). O estudo parte da hipótese de simple scaling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w:t>
      </w:r>
      <w:r>
        <w:t xml:space="preserve">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(simple scaling)</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w:t>
      </w:r>
      <w:r>
        <w:t xml:space="preserve">e, via a relação acima, reconstruir</w:t>
      </w:r>
      <w:r>
        <w:t xml:space="preserve"> </w:t>
      </w:r>
      <m:oMath>
        <m:sSub>
          <m:e>
            <m:r>
              <m:t>i</m:t>
            </m:r>
          </m:e>
          <m:sub>
            <m:r>
              <m:t>d</m:t>
            </m:r>
            <m:r>
              <m:rPr>
                <m:sty m:val="p"/>
              </m:rPr>
              <m:t>,</m:t>
            </m:r>
            <m:r>
              <m:t>T</m:t>
            </m:r>
          </m:sub>
        </m:sSub>
      </m:oMath>
      <w:r>
        <w:t xml:space="preserve"> </w:t>
      </w:r>
      <w:r>
        <w:t xml:space="preserve">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r>
        <w:t xml:space="preserve"> </w:t>
      </w:r>
    </w:p>
    <w:p>
      <w:pPr>
        <w:pStyle w:val="BodyText"/>
      </w:pPr>
      <w:r>
        <w:t xml:space="preserve">Creaco (2024) 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simple scaling,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w:t>
      </w:r>
      <w:r>
        <w:t xml:space="preserve">(com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w:t>
      </w:r>
      <w:r>
        <w:t xml:space="preserve">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“real”</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w:t>
      </w:r>
      <w:r>
        <w:t xml:space="preserve">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multiple scaling, a variabilidade de segunda ordem é relaxada introduzindo</w:t>
      </w:r>
      <w:r>
        <w:t xml:space="preserve"> </w:t>
      </w:r>
      <m:oMath>
        <m:sSub>
          <m:e>
            <m:r>
              <m:t>ϕ</m:t>
            </m:r>
          </m:e>
          <m:sub>
            <m:r>
              <m:t>2</m:t>
            </m:r>
          </m:sub>
        </m:sSub>
      </m:oMath>
      <w:r>
        <w:t xml:space="preserve"> </w:t>
      </w:r>
      <w:r>
        <w:t xml:space="preserve">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w:t>
      </w:r>
      <w:r>
        <w:t xml:space="preserve">devido a amostras curtas), enquanto</w:t>
      </w:r>
      <w:r>
        <w:t xml:space="preserve"> </w:t>
      </w:r>
      <m:oMath>
        <m:sSub>
          <m:e>
            <m:r>
              <m:t>a</m:t>
            </m:r>
          </m:e>
          <m:sub>
            <m:r>
              <m:t>1</m:t>
            </m:r>
          </m:sub>
        </m:sSub>
      </m:oMath>
      <w:r>
        <w:t xml:space="preserve"> </w:t>
      </w:r>
      <w:r>
        <w:t xml:space="preserve">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CV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w:t>
      </w:r>
      <w:r>
        <w:t xml:space="preserve">por momentos. Depois, um refinamento local minimiza o erro ponderado, permitindo pesos por duração para dar mais confiança às séries longas (tipicamente ≥ 1 h) quando as sub-horárias são curtas/ruidosas. Aplicações em quatro casos europeus mostram bom ajuste em 10 min–24 h; o multiple scaling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p>
      <w:pPr>
        <w:pStyle w:val="Compact"/>
        <w:numPr>
          <w:ilvl w:val="0"/>
          <w:numId w:val="1002"/>
        </w:numPr>
      </w:pPr>
      <w:r>
        <w:rPr>
          <w:b/>
          <w:bCs/>
        </w:rPr>
        <w:t xml:space="preserve">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“fragmentos”</w:t>
      </w:r>
      <w:r>
        <w:t xml:space="preserve"> </w:t>
      </w:r>
      <w:r>
        <w:t xml:space="preserve">subdiários históricos (hietogramas normalizados). No MOF, para uma estação doadora sss,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w:t>
      </w:r>
      <w:r>
        <w:t xml:space="preserve">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KS bivariado 2D2S ao nível de 5%; (iii) modela-se a probabilidade de duas estações serem similares ($u=1$) com regressão logística em diferenças de latitude, longitude, elevação e no produto lat×lon, gerando um ranking de vizinhos por estação e por estação do ano; e (iv) executa-se o reamostrador KNN com janela sazonal móvel (±15 dias) e lógica por estados (seco/úmido em $i-1$ 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 (2020) aplicaram o KNN-MOF em 40 estações nas bacias dos rios São Francisco e Doce, gerando séries de 60, 180 e 360 min; calibraram o número de doadoras SSS, o desvio absoluto máximo dos totais diários (adotando 10%) e mostraram que SSS ideal variou com a duração (p.ex., 15 para 60 min; 5 para 180/360 min). Em validação com 100 rodadas, os desvios médios das estatísticas-alvo (média, variância, assimetria e quantis dos máximos anuais de bloco) ficaram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 (2018) propõem o DiPMaC (Disaggregation Preserving Marginals and Correlations).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w:t>
      </w:r>
      <w:r>
        <w:t xml:space="preserve">(p.ex.,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w:t>
      </w:r>
      <w:r>
        <w:t xml:space="preserve">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“pai”</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w:t>
      </w:r>
      <w:r>
        <w:t xml:space="preserve">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“inflar”</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AR($p$)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w:t>
      </w:r>
      <w:r>
        <w:t xml:space="preserve">(p.ex., 5%), define-se o evento</w:t>
      </w:r>
      <w:r>
        <w:t xml:space="preserve"> </w:t>
      </w:r>
      <w:r>
        <w:t xml:space="preserve">“sucesso”</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w:t>
      </w:r>
      <w:r>
        <w:t xml:space="preserve">(com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w:t>
      </w:r>
      <w:r>
        <w:t xml:space="preserve">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p>
      <w:pPr>
        <w:pStyle w:val="Compact"/>
        <w:numPr>
          <w:ilvl w:val="0"/>
          <w:numId w:val="1003"/>
        </w:numPr>
      </w:pPr>
      <w:r>
        <w:rPr>
          <w:b/>
          <w:bCs/>
        </w:rPr>
        <w:t xml:space="preserve">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“empresta informação”</w:t>
      </w:r>
      <w:r>
        <w:t xml:space="preserve"> </w:t>
      </w:r>
      <w:r>
        <w:t xml:space="preserve">de vizinhos e de durações mais longas por meio de estruturas compartilhadas. A inferência é tipicamente bayesiana (MCMC/INLA), entregando quantis de projeto com incerteza plenamente quantificada.</w:t>
      </w:r>
    </w:p>
    <w:p>
      <w:pPr>
        <w:pStyle w:val="BodyText"/>
      </w:pPr>
      <w:r>
        <w:t xml:space="preserve">Para modelagem espacial de extremos com pooling 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são covariáveis (p.ex., altitude, distância ao mar) e</w:t>
      </w:r>
      <w:r>
        <w:t xml:space="preserve"> </w:t>
      </w:r>
      <m:oMath>
        <m:r>
          <m:t>δ</m:t>
        </m:r>
        <m:d>
          <m:dPr>
            <m:begChr m:val="("/>
            <m:endChr m:val=")"/>
            <m:sepChr m:val=""/>
            <m:grow/>
          </m:dPr>
          <m:e>
            <m:r>
              <m:t>s</m:t>
            </m:r>
          </m:e>
        </m:d>
      </m:oMath>
      <w:r>
        <w:t xml:space="preserve"> </w:t>
      </w:r>
      <w:r>
        <w:t xml:space="preserve">é um termo espacial latente que promove pooling entre locais.</w:t>
      </w:r>
    </w:p>
    <w:p>
      <w:pPr>
        <w:pStyle w:val="BodyText"/>
      </w:pPr>
      <w:r>
        <w:t xml:space="preserve">Para mudanças climáticas e IDFs não estacionárias condicionadas ao diário, Lima et al. (2016) 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w:t>
      </w:r>
      <w:r>
        <w:t xml:space="preserve">segue uma Beta de 4 parâmetros com suporte</w:t>
      </w:r>
      <w:r>
        <w:t xml:space="preserve"> </w:t>
      </w:r>
      <m:oMath>
        <m:d>
          <m:dPr>
            <m:begChr m:val="["/>
            <m:endChr m:val="]"/>
            <m:sepChr m:val=""/>
            <m:grow/>
          </m:dPr>
          <m:e>
            <m:r>
              <m:t>a</m:t>
            </m:r>
            <m:r>
              <m:rPr>
                <m:sty m:val="p"/>
              </m:rPr>
              <m:t>,</m:t>
            </m:r>
            <m:sSub>
              <m:e>
                <m:r>
                  <m:t>b</m:t>
                </m:r>
              </m:e>
              <m:sub>
                <m:r>
                  <m:t>i</m:t>
                </m:r>
              </m:sub>
            </m:sSub>
          </m:e>
        </m:d>
      </m:oMath>
      <w:r>
        <w:t xml:space="preserve">, em que</w:t>
      </w:r>
      <w:r>
        <w:t xml:space="preserve"> </w:t>
      </w:r>
      <m:oMath>
        <m:sSub>
          <m:e>
            <m:r>
              <m:t>b</m:t>
            </m:r>
          </m:e>
          <m:sub>
            <m:r>
              <m:t>i</m:t>
            </m:r>
          </m:sub>
        </m:sSub>
      </m:oMath>
      <w:r>
        <w:t xml:space="preserve"> </w:t>
      </w:r>
      <w:r>
        <w:t xml:space="preserve">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w:t>
      </w:r>
      <w:r>
        <w:t xml:space="preserve">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 aaa (até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w:t>
      </w:r>
      <w:r>
        <w:t xml:space="preserve">da Beta com</w:t>
      </w:r>
      <w:r>
        <w:t xml:space="preserve"> </w:t>
      </w:r>
      <m:oMath>
        <m:d>
          <m:dPr>
            <m:begChr m:val="["/>
            <m:endChr m:val="]"/>
            <m:sepChr m:val=""/>
            <m:grow/>
          </m:dPr>
          <m:e>
            <m:r>
              <m:t>a</m:t>
            </m:r>
            <m:r>
              <m:rPr>
                <m:sty m:val="p"/>
              </m:rPr>
              <m:t>,</m:t>
            </m:r>
            <m:sSub>
              <m:e>
                <m:r>
                  <m:t>b</m:t>
                </m:r>
              </m:e>
              <m:sub>
                <m:r>
                  <m:t>i</m:t>
                </m:r>
              </m:sub>
            </m:sSub>
          </m:e>
        </m:d>
      </m:oMath>
      <w:r>
        <w:t xml:space="preserve">; repetir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w:t>
      </w:r>
      <w:r>
        <w:t xml:space="preserve">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 (2018),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w:t>
      </w:r>
      <w:r>
        <w:t xml:space="preserve">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w:t>
      </w:r>
      <w:r>
        <w:t xml:space="preserve">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max-estáveis são uma alternativa, pois dispensam a suposição de independência condicional dos dados. Stephenson et al. (2016) realizaram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w:t>
      </w:r>
      <w:r>
        <w:t xml:space="preserve">com dois parâmetros de duração, 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w:t>
      </w:r>
      <w:r>
        <w:t xml:space="preserve"> </w:t>
      </w:r>
      <w:r>
        <w:t xml:space="preserve">“amarrando”</w:t>
      </w:r>
      <w:r>
        <w:t xml:space="preserve"> </w:t>
      </w:r>
      <w:r>
        <w:t xml:space="preserve">os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max-estável tipo Reich–Shaby, cuja FDC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w:t>
      </w:r>
      <w:r>
        <w:t xml:space="preserve">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r>
        <w:t xml:space="preserve"> </w:t>
      </w:r>
    </w:p>
    <w:p>
      <w:pPr>
        <w:pStyle w:val="BodyText"/>
      </w:pPr>
      <w:r>
        <w:t xml:space="preserve">Van de Vyver (2018) propõe um modelo IDF fundado em multiescalonamento dos máximos anuais, estendendo a</w:t>
      </w:r>
      <w:r>
        <w:t xml:space="preserve"> </w:t>
      </w:r>
      <w:r>
        <w:t xml:space="preserve">“escala simples + GEV”</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
          <w:iCs/>
        </w:rPr>
        <w:t xml:space="preserve">overfitting</w:t>
      </w:r>
      <w:r>
        <w:t xml:space="preserve">) em relação a formulação de escala simples quando os dados sugerem comportamento multiescala.</w:t>
      </w:r>
    </w:p>
    <w:p>
      <w:pPr>
        <w:pStyle w:val="BodyText"/>
      </w:pPr>
      <w:r>
        <w:t xml:space="preserve">Cannon &amp; Innocenti (2018) avaliam mudanças projetadas em IDFs na América do Norte usando com base em dados subdiários e diários de simulações de modelos climáticos</w:t>
      </w:r>
      <w:r>
        <w:t xml:space="preserve"> </w:t>
      </w:r>
      <w:r>
        <w:rPr>
          <w:i/>
          <w:iCs/>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controlam o</w:t>
      </w:r>
      <w:r>
        <w:t xml:space="preserve"> </w:t>
      </w:r>
      <w:r>
        <w:t xml:space="preserve">“deslocamento”</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 False Discovery Rate Bayesiano,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 (2018) propõem um modelo de valores extremos espacial que combina a variabilidade de chuva extrema em múltiplas durações com a teoria de processos max-estáveis, visando estimar probabilidades condicionais de cheias entre bacias com tempos de resposta distintos. O artigo define um conjunto comum de parâmetros marginais (para a GEV) entre durações seguindo a formulação de Koutsoyiannis et al. (1998) que permite a reparametrização da distribuição GEV para ligá-la entre múltiplas durações. Em cada posto</w:t>
      </w:r>
      <w:r>
        <w:t xml:space="preserve"> </w:t>
      </w:r>
      <m:oMath>
        <m:r>
          <m:t>i</m:t>
        </m:r>
      </m:oMath>
      <w:r>
        <w:t xml:space="preserve">, as AMAX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“3 parâmetros × número de durações”</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“ligadas”</w:t>
      </w:r>
      <w:r>
        <w:t xml:space="preserve"> </w:t>
      </w:r>
      <w:r>
        <w:t xml:space="preserve">entre durações para obter os parametros; (ii) esses cinco parâmetros são espacializados (p.ex., thin-plate splines),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max-estável Brown–Resnick à dependência espacial/entre-durações, com um</w:t>
      </w:r>
      <w:r>
        <w:t xml:space="preserve"> </w:t>
      </w:r>
      <w:r>
        <w:t xml:space="preserve">“nugget de duração”</w:t>
      </w:r>
      <w:r>
        <w:t xml:space="preserve"> </w:t>
      </w:r>
      <w:r>
        <w:t xml:space="preserve">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 (2022) apresentam uma síntese abrangente de métodos e aplicações (AM, POT, PMP, não-estacionariedade, IDFs, incerteza e variabilidade espacial), útil como guia metodológico por região/clima.</w:t>
      </w:r>
    </w:p>
    <w:bookmarkEnd w:id="25"/>
    <w:bookmarkEnd w:id="26"/>
    <w:bookmarkStart w:id="125" w:name="noção-de-invariância-de-escala"/>
    <w:p>
      <w:pPr>
        <w:pStyle w:val="Heading2"/>
      </w:pPr>
      <w:r>
        <w:t xml:space="preserve">2 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Start w:id="124" w:name="refs"/>
    <w:bookmarkStart w:id="28" w:name="ref-Abreu.2022"/>
    <w:p>
      <w:pPr>
        <w:pStyle w:val="Bibliography"/>
      </w:pPr>
      <w:r>
        <w:t xml:space="preserve">Abreu, Marcel Carvalho, Roberto Avelino Cecílio, Fernando Falco Pruski, Laura Thebit de Almeida, Gérson Rodrigues dos Santos, Sidney Sara Zanetti, Silvio Bueno Pereira, and Demetrius David da Silva. 2022.</w:t>
      </w:r>
      <w:r>
        <w:t xml:space="preserve"> </w:t>
      </w:r>
      <w:r>
        <w:t xml:space="preserve">“</w:t>
      </w:r>
      <w:r>
        <w:t xml:space="preserve">Daily Rainfall Disaggregation to Estimate the Intensity-Duration-Frequency Relationship in Minas Gerais State, Brazil</w:t>
      </w:r>
      <w:r>
        <w:t xml:space="preserve">.”</w:t>
      </w:r>
      <w:r>
        <w:t xml:space="preserve"> </w:t>
      </w:r>
      <w:r>
        <w:rPr>
          <w:i/>
          <w:iCs/>
        </w:rPr>
        <w:t xml:space="preserve">Brazilian Archives of Biology and Technology</w:t>
      </w:r>
      <w:r>
        <w:t xml:space="preserve"> </w:t>
      </w:r>
      <w:r>
        <w:t xml:space="preserve">65: e20210694.</w:t>
      </w:r>
      <w:r>
        <w:t xml:space="preserve"> </w:t>
      </w:r>
      <w:hyperlink r:id="rId27">
        <w:r>
          <w:rPr>
            <w:rStyle w:val="Hyperlink"/>
          </w:rPr>
          <w:t xml:space="preserve">https://doi.org/10.1590/1678-4324-2022210694</w:t>
        </w:r>
      </w:hyperlink>
      <w:r>
        <w:t xml:space="preserve">.</w:t>
      </w:r>
    </w:p>
    <w:bookmarkEnd w:id="28"/>
    <w:bookmarkStart w:id="30" w:name="ref-Aguilar.2020"/>
    <w:p>
      <w:pPr>
        <w:pStyle w:val="Bibliography"/>
      </w:pPr>
      <w:r>
        <w:t xml:space="preserve">Aguilar, Milena Guerra de, and Veber Afonso Figueiredo Costa. 2020.</w:t>
      </w:r>
      <w:r>
        <w:t xml:space="preserve"> </w:t>
      </w:r>
      <w:r>
        <w:t xml:space="preserve">“</w:t>
      </w:r>
      <w:r>
        <w:t xml:space="preserve">A regional similarity-based approach for sub-daily rainfall nonparametric generation</w:t>
      </w:r>
      <w:r>
        <w:t xml:space="preserve">.”</w:t>
      </w:r>
      <w:r>
        <w:t xml:space="preserve"> </w:t>
      </w:r>
      <w:r>
        <w:rPr>
          <w:i/>
          <w:iCs/>
        </w:rPr>
        <w:t xml:space="preserve">RBRH</w:t>
      </w:r>
      <w:r>
        <w:t xml:space="preserve"> </w:t>
      </w:r>
      <w:r>
        <w:t xml:space="preserve">25: e5.</w:t>
      </w:r>
      <w:r>
        <w:t xml:space="preserve"> </w:t>
      </w:r>
      <w:hyperlink r:id="rId29">
        <w:r>
          <w:rPr>
            <w:rStyle w:val="Hyperlink"/>
          </w:rPr>
          <w:t xml:space="preserve">https://doi.org/10.1590/2318-0331.252020190054</w:t>
        </w:r>
      </w:hyperlink>
      <w:r>
        <w:t xml:space="preserve">.</w:t>
      </w:r>
    </w:p>
    <w:bookmarkEnd w:id="30"/>
    <w:bookmarkStart w:id="32" w:name="ref-Baldassarre.2006"/>
    <w:p>
      <w:pPr>
        <w:pStyle w:val="Bibliography"/>
      </w:pPr>
      <w:r>
        <w:t xml:space="preserve">Baldassarre, G. Di, A. Brath, and A. Montanari. 2006.</w:t>
      </w:r>
      <w:r>
        <w:t xml:space="preserve"> </w:t>
      </w:r>
      <w:r>
        <w:t xml:space="preserve">“</w:t>
      </w:r>
      <w:r>
        <w:t xml:space="preserve">Reliability of different depth‐duration‐frequency equations for estimating short‐duration design storms</w:t>
      </w:r>
      <w:r>
        <w:t xml:space="preserve">.”</w:t>
      </w:r>
      <w:r>
        <w:t xml:space="preserve"> </w:t>
      </w:r>
      <w:r>
        <w:rPr>
          <w:i/>
          <w:iCs/>
        </w:rPr>
        <w:t xml:space="preserve">Water Resources Research</w:t>
      </w:r>
      <w:r>
        <w:t xml:space="preserve"> </w:t>
      </w:r>
      <w:r>
        <w:t xml:space="preserve">42 (12).</w:t>
      </w:r>
      <w:r>
        <w:t xml:space="preserve"> </w:t>
      </w:r>
      <w:hyperlink r:id="rId31">
        <w:r>
          <w:rPr>
            <w:rStyle w:val="Hyperlink"/>
          </w:rPr>
          <w:t xml:space="preserve">https://doi.org/10.1029/2006wr004911</w:t>
        </w:r>
      </w:hyperlink>
      <w:r>
        <w:t xml:space="preserve">.</w:t>
      </w:r>
    </w:p>
    <w:bookmarkEnd w:id="32"/>
    <w:bookmarkStart w:id="34" w:name="ref-Barbosa.2023gyg"/>
    <w:p>
      <w:pPr>
        <w:pStyle w:val="Bibliography"/>
      </w:pPr>
      <w:r>
        <w:t xml:space="preserve">Barbosa, Alan de Gois, and Veber A. F. Costa. 2023b.</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3">
        <w:r>
          <w:rPr>
            <w:rStyle w:val="Hyperlink"/>
          </w:rPr>
          <w:t xml:space="preserve">https://doi.org/10.1007/s00477-023-02546-6</w:t>
        </w:r>
      </w:hyperlink>
      <w:r>
        <w:t xml:space="preserve">.</w:t>
      </w:r>
    </w:p>
    <w:bookmarkEnd w:id="34"/>
    <w:bookmarkStart w:id="35" w:name="ref-Barbosa.2023"/>
    <w:p>
      <w:pPr>
        <w:pStyle w:val="Bibliography"/>
      </w:pPr>
      <w:r>
        <w:t xml:space="preserve">———. 2023a.</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3">
        <w:r>
          <w:rPr>
            <w:rStyle w:val="Hyperlink"/>
          </w:rPr>
          <w:t xml:space="preserve">https://doi.org/10.1007/s00477-023-02546-6</w:t>
        </w:r>
      </w:hyperlink>
      <w:r>
        <w:t xml:space="preserve">.</w:t>
      </w:r>
    </w:p>
    <w:bookmarkEnd w:id="35"/>
    <w:bookmarkStart w:id="37" w:name="ref-Basso.2016"/>
    <w:p>
      <w:pPr>
        <w:pStyle w:val="Bibliography"/>
      </w:pPr>
      <w:r>
        <w:t xml:space="preserve">Basso, Raviel Eurico, Daniel Gustavo Allasia, Rutinéia Tassi, and Karine Pickbrenner. 2016.</w:t>
      </w:r>
      <w:r>
        <w:t xml:space="preserve"> </w:t>
      </w:r>
      <w:r>
        <w:t xml:space="preserve">“</w:t>
      </w:r>
      <w:r>
        <w:t xml:space="preserve">Review of the high intensity rainfall zones of Brazil</w:t>
      </w:r>
      <w:r>
        <w:t xml:space="preserve">.”</w:t>
      </w:r>
      <w:r>
        <w:t xml:space="preserve"> </w:t>
      </w:r>
      <w:r>
        <w:rPr>
          <w:i/>
          <w:iCs/>
        </w:rPr>
        <w:t xml:space="preserve">Engenharia Sanitaria e Ambiental</w:t>
      </w:r>
      <w:r>
        <w:t xml:space="preserve"> </w:t>
      </w:r>
      <w:r>
        <w:t xml:space="preserve">21 (04): 635–41.</w:t>
      </w:r>
      <w:r>
        <w:t xml:space="preserve"> </w:t>
      </w:r>
      <w:hyperlink r:id="rId36">
        <w:r>
          <w:rPr>
            <w:rStyle w:val="Hyperlink"/>
          </w:rPr>
          <w:t xml:space="preserve">https://doi.org/10.1590/s1413-41522016133691</w:t>
        </w:r>
      </w:hyperlink>
      <w:r>
        <w:t xml:space="preserve">.</w:t>
      </w:r>
    </w:p>
    <w:bookmarkEnd w:id="37"/>
    <w:bookmarkStart w:id="39" w:name="ref-Benestad.2021"/>
    <w:p>
      <w:pPr>
        <w:pStyle w:val="Bibliography"/>
      </w:pPr>
      <w:r>
        <w:t xml:space="preserve">Benestad, Rasmus E, Julia Lutz, Anita Verpe Dyrrdal, Jan Erik Haugen, Kajsa M Parding, and Andreas Dobler. 2021.</w:t>
      </w:r>
      <w:r>
        <w:t xml:space="preserve"> </w:t>
      </w:r>
      <w:r>
        <w:t xml:space="preserve">“</w:t>
      </w:r>
      <w:r>
        <w:t xml:space="preserve">Testing a simple formula for calculating approximate intensity-duration-frequency curves</w:t>
      </w:r>
      <w:r>
        <w:t xml:space="preserve">.”</w:t>
      </w:r>
      <w:r>
        <w:t xml:space="preserve"> </w:t>
      </w:r>
      <w:r>
        <w:rPr>
          <w:i/>
          <w:iCs/>
        </w:rPr>
        <w:t xml:space="preserve">Environmental Research Letters</w:t>
      </w:r>
      <w:r>
        <w:t xml:space="preserve"> </w:t>
      </w:r>
      <w:r>
        <w:t xml:space="preserve">16 (4): 044009.</w:t>
      </w:r>
      <w:r>
        <w:t xml:space="preserve"> </w:t>
      </w:r>
      <w:hyperlink r:id="rId38">
        <w:r>
          <w:rPr>
            <w:rStyle w:val="Hyperlink"/>
          </w:rPr>
          <w:t xml:space="preserve">https://doi.org/10.1088/1748-9326/abd4ab</w:t>
        </w:r>
      </w:hyperlink>
      <w:r>
        <w:t xml:space="preserve">.</w:t>
      </w:r>
    </w:p>
    <w:bookmarkEnd w:id="39"/>
    <w:bookmarkStart w:id="41" w:name="ref-Blancheti5"/>
    <w:p>
      <w:pPr>
        <w:pStyle w:val="Bibliography"/>
      </w:pPr>
      <w:r>
        <w:t xml:space="preserve">Blanchet, J., D. Ceresetti, G. Molinié, and J.-D. Creutin. 2016.</w:t>
      </w:r>
      <w:r>
        <w:t xml:space="preserve"> </w:t>
      </w:r>
      <w:r>
        <w:t xml:space="preserve">“</w:t>
      </w:r>
      <w:r>
        <w:t xml:space="preserve">A regional GEV scale-invariant framework for Intensity–Duration–Frequency analysis</w:t>
      </w:r>
      <w:r>
        <w:t xml:space="preserve">.”</w:t>
      </w:r>
      <w:r>
        <w:t xml:space="preserve"> </w:t>
      </w:r>
      <w:r>
        <w:rPr>
          <w:i/>
          <w:iCs/>
        </w:rPr>
        <w:t xml:space="preserve">Journal of Hydrology</w:t>
      </w:r>
      <w:r>
        <w:t xml:space="preserve"> </w:t>
      </w:r>
      <w:r>
        <w:t xml:space="preserve">540: 82–95.</w:t>
      </w:r>
      <w:r>
        <w:t xml:space="preserve"> </w:t>
      </w:r>
      <w:hyperlink r:id="rId40">
        <w:r>
          <w:rPr>
            <w:rStyle w:val="Hyperlink"/>
          </w:rPr>
          <w:t xml:space="preserve">https://doi.org/10.1016/j.jhydrol.2016.06.007</w:t>
        </w:r>
      </w:hyperlink>
      <w:r>
        <w:t xml:space="preserve">.</w:t>
      </w:r>
    </w:p>
    <w:bookmarkEnd w:id="41"/>
    <w:bookmarkStart w:id="43" w:name="ref-Bonaccorso.2020"/>
    <w:p>
      <w:pPr>
        <w:pStyle w:val="Bibliography"/>
      </w:pPr>
      <w:r>
        <w:t xml:space="preserve">Bonaccorso, Brunella, Giuseppina Brigandì, and Giuseppe T. Aronica. 2020.</w:t>
      </w:r>
      <w:r>
        <w:t xml:space="preserve"> </w:t>
      </w:r>
      <w:r>
        <w:t xml:space="preserve">“</w:t>
      </w:r>
      <w:r>
        <w:t xml:space="preserve">Regional sub-hourly extreme rainfall estimates in Sicily under a scale invariance framework</w:t>
      </w:r>
      <w:r>
        <w:t xml:space="preserve">.”</w:t>
      </w:r>
      <w:r>
        <w:t xml:space="preserve"> </w:t>
      </w:r>
      <w:r>
        <w:rPr>
          <w:i/>
          <w:iCs/>
        </w:rPr>
        <w:t xml:space="preserve">Water Resources Management</w:t>
      </w:r>
      <w:r>
        <w:t xml:space="preserve"> </w:t>
      </w:r>
      <w:r>
        <w:t xml:space="preserve">34 (14): 4363–80.</w:t>
      </w:r>
      <w:r>
        <w:t xml:space="preserve"> </w:t>
      </w:r>
      <w:hyperlink r:id="rId42">
        <w:r>
          <w:rPr>
            <w:rStyle w:val="Hyperlink"/>
          </w:rPr>
          <w:t xml:space="preserve">https://doi.org/10.1007/s11269-020-02667-5</w:t>
        </w:r>
      </w:hyperlink>
      <w:r>
        <w:t xml:space="preserve">.</w:t>
      </w:r>
    </w:p>
    <w:bookmarkEnd w:id="43"/>
    <w:bookmarkStart w:id="45" w:name="ref-Borga.2005"/>
    <w:p>
      <w:pPr>
        <w:pStyle w:val="Bibliography"/>
      </w:pPr>
      <w:r>
        <w:t xml:space="preserve">Borga, Marco, Claudia Vezzani, and Giancarlo Dalla Fontana. 2005.</w:t>
      </w:r>
      <w:r>
        <w:t xml:space="preserve"> </w:t>
      </w:r>
      <w:r>
        <w:t xml:space="preserve">“</w:t>
      </w:r>
      <w:r>
        <w:t xml:space="preserve">Regional Rainfall Depth–Duration–Frequency Equations for an Alpine Region</w:t>
      </w:r>
      <w:r>
        <w:t xml:space="preserve">.”</w:t>
      </w:r>
      <w:r>
        <w:t xml:space="preserve"> </w:t>
      </w:r>
      <w:r>
        <w:rPr>
          <w:i/>
          <w:iCs/>
        </w:rPr>
        <w:t xml:space="preserve">Natural Hazards</w:t>
      </w:r>
      <w:r>
        <w:t xml:space="preserve"> </w:t>
      </w:r>
      <w:r>
        <w:t xml:space="preserve">36 (1-2): 221–35.</w:t>
      </w:r>
      <w:r>
        <w:t xml:space="preserve"> </w:t>
      </w:r>
      <w:hyperlink r:id="rId44">
        <w:r>
          <w:rPr>
            <w:rStyle w:val="Hyperlink"/>
          </w:rPr>
          <w:t xml:space="preserve">https://doi.org/10.1007/s11069-004-4550-y</w:t>
        </w:r>
      </w:hyperlink>
      <w:r>
        <w:t xml:space="preserve">.</w:t>
      </w:r>
    </w:p>
    <w:bookmarkEnd w:id="45"/>
    <w:bookmarkStart w:id="47" w:name="ref-Burlando.1996"/>
    <w:p>
      <w:pPr>
        <w:pStyle w:val="Bibliography"/>
      </w:pPr>
      <w:r>
        <w:t xml:space="preserve">Burlando, Paolo, and Renzo Rosso. 1996.</w:t>
      </w:r>
      <w:r>
        <w:t xml:space="preserve"> </w:t>
      </w:r>
      <w:r>
        <w:t xml:space="preserve">“</w:t>
      </w:r>
      <w:r>
        <w:t xml:space="preserve">Scaling and muitiscaling models of depth-duration-frequency curves for storm precipitation</w:t>
      </w:r>
      <w:r>
        <w:t xml:space="preserve">.”</w:t>
      </w:r>
      <w:r>
        <w:t xml:space="preserve"> </w:t>
      </w:r>
      <w:r>
        <w:rPr>
          <w:i/>
          <w:iCs/>
        </w:rPr>
        <w:t xml:space="preserve">Journal of Hydrology</w:t>
      </w:r>
      <w:r>
        <w:t xml:space="preserve"> </w:t>
      </w:r>
      <w:r>
        <w:t xml:space="preserve">187 (1-2): 45–64.</w:t>
      </w:r>
      <w:r>
        <w:t xml:space="preserve"> </w:t>
      </w:r>
      <w:hyperlink r:id="rId46">
        <w:r>
          <w:rPr>
            <w:rStyle w:val="Hyperlink"/>
          </w:rPr>
          <w:t xml:space="preserve">https://doi.org/10.1016/s0022-1694(96)03086-7</w:t>
        </w:r>
      </w:hyperlink>
      <w:r>
        <w:t xml:space="preserve">.</w:t>
      </w:r>
    </w:p>
    <w:bookmarkEnd w:id="47"/>
    <w:bookmarkStart w:id="49" w:name="ref-Cannon.2018"/>
    <w:p>
      <w:pPr>
        <w:pStyle w:val="Bibliography"/>
      </w:pPr>
      <w:r>
        <w:t xml:space="preserve">Cannon, Alex J, and Silvia Innocenti. 2018.</w:t>
      </w:r>
      <w:r>
        <w:t xml:space="preserve"> </w:t>
      </w:r>
      <w:r>
        <w:t xml:space="preserve">“</w:t>
      </w:r>
      <w:r>
        <w:t xml:space="preserve">Projected intensification of sub-daily and daily rainfall extremes in convection-permitting climate model simulations over North America: Implications for future Intensity–Duration–Frequency curves</w:t>
      </w:r>
      <w:r>
        <w:t xml:space="preserve">.”</w:t>
      </w:r>
      <w:r>
        <w:t xml:space="preserve"> </w:t>
      </w:r>
      <w:hyperlink r:id="rId48">
        <w:r>
          <w:rPr>
            <w:rStyle w:val="Hyperlink"/>
          </w:rPr>
          <w:t xml:space="preserve">https://doi.org/10.5194/nhess-2018-290</w:t>
        </w:r>
      </w:hyperlink>
      <w:r>
        <w:t xml:space="preserve">.</w:t>
      </w:r>
    </w:p>
    <w:bookmarkEnd w:id="49"/>
    <w:bookmarkStart w:id="51" w:name="ref-Cooley.2010"/>
    <w:p>
      <w:pPr>
        <w:pStyle w:val="Bibliography"/>
      </w:pPr>
      <w:r>
        <w:t xml:space="preserve">Cooley, Daniel, and Stephan R. Sain. 2010.</w:t>
      </w:r>
      <w:r>
        <w:t xml:space="preserve"> </w:t>
      </w:r>
      <w:r>
        <w:t xml:space="preserve">“</w:t>
      </w:r>
      <w:r>
        <w:t xml:space="preserve">Spatial Hierarchical Modeling of Precipitation Extremes From a Regional Climate Model</w:t>
      </w:r>
      <w:r>
        <w:t xml:space="preserve">.”</w:t>
      </w:r>
      <w:r>
        <w:t xml:space="preserve"> </w:t>
      </w:r>
      <w:r>
        <w:rPr>
          <w:i/>
          <w:iCs/>
        </w:rPr>
        <w:t xml:space="preserve">Journal of Agricultural, Biological, and Environmental Statistics</w:t>
      </w:r>
      <w:r>
        <w:t xml:space="preserve"> </w:t>
      </w:r>
      <w:r>
        <w:t xml:space="preserve">15 (3): 381–402.</w:t>
      </w:r>
      <w:r>
        <w:t xml:space="preserve"> </w:t>
      </w:r>
      <w:hyperlink r:id="rId50">
        <w:r>
          <w:rPr>
            <w:rStyle w:val="Hyperlink"/>
          </w:rPr>
          <w:t xml:space="preserve">https://doi.org/10.1007/s13253-010-0023-9</w:t>
        </w:r>
      </w:hyperlink>
      <w:r>
        <w:t xml:space="preserve">.</w:t>
      </w:r>
    </w:p>
    <w:bookmarkEnd w:id="51"/>
    <w:bookmarkStart w:id="53" w:name="ref-Courty.2019"/>
    <w:p>
      <w:pPr>
        <w:pStyle w:val="Bibliography"/>
      </w:pPr>
      <w:r>
        <w:t xml:space="preserve">Courty, Laurent G, Robert L Wilby, John K Hillier, and Louise J Slater. 2019.</w:t>
      </w:r>
      <w:r>
        <w:t xml:space="preserve"> </w:t>
      </w:r>
      <w:r>
        <w:t xml:space="preserve">“</w:t>
      </w:r>
      <w:r>
        <w:t xml:space="preserve">Intensity-duration-frequency curves at the global scale</w:t>
      </w:r>
      <w:r>
        <w:t xml:space="preserve">.”</w:t>
      </w:r>
      <w:r>
        <w:t xml:space="preserve"> </w:t>
      </w:r>
      <w:r>
        <w:rPr>
          <w:i/>
          <w:iCs/>
        </w:rPr>
        <w:t xml:space="preserve">Environmental Research Letters</w:t>
      </w:r>
      <w:r>
        <w:t xml:space="preserve"> </w:t>
      </w:r>
      <w:r>
        <w:t xml:space="preserve">14 (8): 084045.</w:t>
      </w:r>
      <w:r>
        <w:t xml:space="preserve"> </w:t>
      </w:r>
      <w:hyperlink r:id="rId52">
        <w:r>
          <w:rPr>
            <w:rStyle w:val="Hyperlink"/>
          </w:rPr>
          <w:t xml:space="preserve">https://doi.org/10.1088/1748-9326/ab370a</w:t>
        </w:r>
      </w:hyperlink>
      <w:r>
        <w:t xml:space="preserve">.</w:t>
      </w:r>
    </w:p>
    <w:bookmarkEnd w:id="53"/>
    <w:bookmarkStart w:id="55" w:name="ref-Creaco.2024"/>
    <w:p>
      <w:pPr>
        <w:pStyle w:val="Bibliography"/>
      </w:pPr>
      <w:r>
        <w:t xml:space="preserve">Creaco, Enrico. 2024.</w:t>
      </w:r>
      <w:r>
        <w:t xml:space="preserve"> </w:t>
      </w:r>
      <w:r>
        <w:t xml:space="preserve">“</w:t>
      </w:r>
      <w:r>
        <w:t xml:space="preserve">Scaling models of intensity–duration–frequency (IDF) curves based on adjusted design event durations</w:t>
      </w:r>
      <w:r>
        <w:t xml:space="preserve">.”</w:t>
      </w:r>
      <w:r>
        <w:t xml:space="preserve"> </w:t>
      </w:r>
      <w:r>
        <w:rPr>
          <w:i/>
          <w:iCs/>
        </w:rPr>
        <w:t xml:space="preserve">Journal of Hydrology</w:t>
      </w:r>
      <w:r>
        <w:t xml:space="preserve"> </w:t>
      </w:r>
      <w:r>
        <w:t xml:space="preserve">632: 130847.</w:t>
      </w:r>
      <w:r>
        <w:t xml:space="preserve"> </w:t>
      </w:r>
      <w:hyperlink r:id="rId54">
        <w:r>
          <w:rPr>
            <w:rStyle w:val="Hyperlink"/>
          </w:rPr>
          <w:t xml:space="preserve">https://doi.org/10.1016/j.jhydrol.2024.130847</w:t>
        </w:r>
      </w:hyperlink>
      <w:r>
        <w:t xml:space="preserve">.</w:t>
      </w:r>
    </w:p>
    <w:bookmarkEnd w:id="55"/>
    <w:bookmarkStart w:id="57" w:name="ref-Fowler.2024"/>
    <w:p>
      <w:pPr>
        <w:pStyle w:val="Bibliography"/>
      </w:pPr>
      <w:r>
        <w:t xml:space="preserve">Fowler, Hayley, Amy Green, Elizabeth Lewis, David Pritchard, Stephen Blenkinsop, Luis Patino Velasquez, and Anna Whitford. 2024.</w:t>
      </w:r>
      <w:r>
        <w:t xml:space="preserve"> </w:t>
      </w:r>
      <w:r>
        <w:t xml:space="preserve">“</w:t>
      </w:r>
      <w:r>
        <w:t xml:space="preserve">Unveiling global sub-daily precipitation extremes: Insights and development of the INTENSE Project&amp;#160;</w:t>
      </w:r>
      <w:r>
        <w:t xml:space="preserve">”</w:t>
      </w:r>
      <w:r>
        <w:t xml:space="preserve"> </w:t>
      </w:r>
      <w:hyperlink r:id="rId56">
        <w:r>
          <w:rPr>
            <w:rStyle w:val="Hyperlink"/>
          </w:rPr>
          <w:t xml:space="preserve">https://doi.org/10.5194/egusphere-egu24-19552</w:t>
        </w:r>
      </w:hyperlink>
      <w:r>
        <w:t xml:space="preserve">.</w:t>
      </w:r>
    </w:p>
    <w:bookmarkEnd w:id="57"/>
    <w:bookmarkStart w:id="59" w:name="ref-Ghanmi.2016"/>
    <w:p>
      <w:pPr>
        <w:pStyle w:val="Bibliography"/>
      </w:pPr>
      <w:r>
        <w:t xml:space="preserve">Ghanmi, Hanen, Zoubeida Bargaoui, and Cécile Mallet. 2016.</w:t>
      </w:r>
      <w:r>
        <w:t xml:space="preserve"> </w:t>
      </w:r>
      <w:r>
        <w:t xml:space="preserve">“</w:t>
      </w:r>
      <w:r>
        <w:t xml:space="preserve">Estimation of intensity-duration-frequency relationships according to the property of scale invariance and regionalization analysis in a Mediterranean coastal area</w:t>
      </w:r>
      <w:r>
        <w:t xml:space="preserve">.”</w:t>
      </w:r>
      <w:r>
        <w:t xml:space="preserve"> </w:t>
      </w:r>
      <w:r>
        <w:rPr>
          <w:i/>
          <w:iCs/>
        </w:rPr>
        <w:t xml:space="preserve">Journal of Hydrology</w:t>
      </w:r>
      <w:r>
        <w:t xml:space="preserve"> </w:t>
      </w:r>
      <w:r>
        <w:t xml:space="preserve">541: 38–49.</w:t>
      </w:r>
      <w:r>
        <w:t xml:space="preserve"> </w:t>
      </w:r>
      <w:hyperlink r:id="rId58">
        <w:r>
          <w:rPr>
            <w:rStyle w:val="Hyperlink"/>
          </w:rPr>
          <w:t xml:space="preserve">https://doi.org/10.1016/j.jhydrol.2016.07.002</w:t>
        </w:r>
      </w:hyperlink>
      <w:r>
        <w:t xml:space="preserve">.</w:t>
      </w:r>
    </w:p>
    <w:bookmarkEnd w:id="59"/>
    <w:bookmarkStart w:id="61" w:name="ref-Gnecco.2023"/>
    <w:p>
      <w:pPr>
        <w:pStyle w:val="Bibliography"/>
      </w:pPr>
      <w:r>
        <w:t xml:space="preserve">Gnecco, Ilaria, Anna Palla, Paolo La Barbera, Giorgio Roth, and Francesca Giannoni. 2023.</w:t>
      </w:r>
      <w:r>
        <w:t xml:space="preserve"> </w:t>
      </w:r>
      <w:r>
        <w:t xml:space="preserve">“</w:t>
      </w:r>
      <w:r>
        <w:t xml:space="preserve">Defining intensity–duration–frequency curves at short durations: a methodological framework</w:t>
      </w:r>
      <w:r>
        <w:t xml:space="preserve">.”</w:t>
      </w:r>
      <w:r>
        <w:t xml:space="preserve"> </w:t>
      </w:r>
      <w:r>
        <w:rPr>
          <w:i/>
          <w:iCs/>
        </w:rPr>
        <w:t xml:space="preserve">Hydrological Sciences Journal</w:t>
      </w:r>
      <w:r>
        <w:t xml:space="preserve"> </w:t>
      </w:r>
      <w:r>
        <w:t xml:space="preserve">68 (11): 1499–1512.</w:t>
      </w:r>
      <w:r>
        <w:t xml:space="preserve"> </w:t>
      </w:r>
      <w:hyperlink r:id="rId60">
        <w:r>
          <w:rPr>
            <w:rStyle w:val="Hyperlink"/>
          </w:rPr>
          <w:t xml:space="preserve">https://doi.org/10.1080/02626667.2023.2224002</w:t>
        </w:r>
      </w:hyperlink>
      <w:r>
        <w:t xml:space="preserve">.</w:t>
      </w:r>
    </w:p>
    <w:bookmarkEnd w:id="61"/>
    <w:bookmarkStart w:id="63" w:name="ref-Gu.2022"/>
    <w:p>
      <w:pPr>
        <w:pStyle w:val="Bibliography"/>
      </w:pPr>
      <w:r>
        <w:t xml:space="preserve">Gu, Xuezhi, Lei Ye, Qian Xin, Chi Zhang, Fanzhang Zeng, Sofia D. Nerantzaki, and Simon Michael Papalexiou. 2022.</w:t>
      </w:r>
      <w:r>
        <w:t xml:space="preserve"> </w:t>
      </w:r>
      <w:r>
        <w:t xml:space="preserve">“</w:t>
      </w:r>
      <w:r>
        <w:t xml:space="preserve">Extreme Precipitation in China: A Review on Statistical Methods and Applications</w:t>
      </w:r>
      <w:r>
        <w:t xml:space="preserve">.”</w:t>
      </w:r>
      <w:r>
        <w:t xml:space="preserve"> </w:t>
      </w:r>
      <w:r>
        <w:rPr>
          <w:i/>
          <w:iCs/>
        </w:rPr>
        <w:t xml:space="preserve">Advances in Water Resources</w:t>
      </w:r>
      <w:r>
        <w:t xml:space="preserve"> </w:t>
      </w:r>
      <w:r>
        <w:t xml:space="preserve">163: 104144.</w:t>
      </w:r>
      <w:r>
        <w:t xml:space="preserve"> </w:t>
      </w:r>
      <w:hyperlink r:id="rId62">
        <w:r>
          <w:rPr>
            <w:rStyle w:val="Hyperlink"/>
          </w:rPr>
          <w:t xml:space="preserve">https://doi.org/10.1016/j.advwatres.2022.104144</w:t>
        </w:r>
      </w:hyperlink>
      <w:r>
        <w:t xml:space="preserve">.</w:t>
      </w:r>
    </w:p>
    <w:bookmarkEnd w:id="63"/>
    <w:bookmarkStart w:id="65" w:name="ref-Guerreiro.2024ji"/>
    <w:p>
      <w:pPr>
        <w:pStyle w:val="Bibliography"/>
      </w:pPr>
      <w:r>
        <w:t xml:space="preserve">Guerreiro, Selma B., Stephen Blenkinsop, Elizabeth Lewis, David Pritchard, Amy Green, and Hayley J. Fowler. 2024.</w:t>
      </w:r>
      <w:r>
        <w:t xml:space="preserve"> </w:t>
      </w:r>
      <w:r>
        <w:t xml:space="preserve">“</w:t>
      </w:r>
      <w:r>
        <w:t xml:space="preserve">Unravelling the complex interplay between daily and sub-daily rainfall extremes in different climates</w:t>
      </w:r>
      <w:r>
        <w:t xml:space="preserve">.”</w:t>
      </w:r>
      <w:r>
        <w:t xml:space="preserve"> </w:t>
      </w:r>
      <w:r>
        <w:rPr>
          <w:i/>
          <w:iCs/>
        </w:rPr>
        <w:t xml:space="preserve">Weather and Climate Extremes</w:t>
      </w:r>
      <w:r>
        <w:t xml:space="preserve"> </w:t>
      </w:r>
      <w:r>
        <w:t xml:space="preserve">46: 100735.</w:t>
      </w:r>
      <w:r>
        <w:t xml:space="preserve"> </w:t>
      </w:r>
      <w:hyperlink r:id="rId64">
        <w:r>
          <w:rPr>
            <w:rStyle w:val="Hyperlink"/>
          </w:rPr>
          <w:t xml:space="preserve">https://doi.org/10.1016/j.wace.2024.100735</w:t>
        </w:r>
      </w:hyperlink>
      <w:r>
        <w:t xml:space="preserve">.</w:t>
      </w:r>
    </w:p>
    <w:bookmarkEnd w:id="65"/>
    <w:bookmarkStart w:id="67" w:name="ref-Guerreiro.2024"/>
    <w:p>
      <w:pPr>
        <w:pStyle w:val="Bibliography"/>
      </w:pPr>
      <w:r>
        <w:t xml:space="preserve">Guerreiro, Selma de Brito, Stephen Blenkinsop, Elizabeth Lewis, David Pritchard, Amy Charlotte Green, and Hayley J Fowler. 2024.</w:t>
      </w:r>
      <w:r>
        <w:t xml:space="preserve"> </w:t>
      </w:r>
      <w:r>
        <w:t xml:space="preserve">“</w:t>
      </w:r>
      <w:r>
        <w:t xml:space="preserve">Unravelling the Complex Interplay between Daily and Sub-Daily Rainfall Extremes in Different Climates</w:t>
      </w:r>
      <w:r>
        <w:t xml:space="preserve">.”</w:t>
      </w:r>
      <w:r>
        <w:t xml:space="preserve"> </w:t>
      </w:r>
      <w:hyperlink r:id="rId66">
        <w:r>
          <w:rPr>
            <w:rStyle w:val="Hyperlink"/>
          </w:rPr>
          <w:t xml:space="preserve">https://doi.org/10.2139/ssrn.4749709</w:t>
        </w:r>
      </w:hyperlink>
      <w:r>
        <w:t xml:space="preserve">.</w:t>
      </w:r>
    </w:p>
    <w:bookmarkEnd w:id="67"/>
    <w:bookmarkStart w:id="69" w:name="ref-Gupta.1990"/>
    <w:p>
      <w:pPr>
        <w:pStyle w:val="Bibliography"/>
      </w:pPr>
      <w:r>
        <w:t xml:space="preserve">Gupta, Vijay K., and Ed Waymire. 1990.</w:t>
      </w:r>
      <w:r>
        <w:t xml:space="preserve"> </w:t>
      </w:r>
      <w:r>
        <w:t xml:space="preserve">“</w:t>
      </w:r>
      <w:r>
        <w:t xml:space="preserve">Multiscaling properties of spatial rainfall and river flow distributions</w:t>
      </w:r>
      <w:r>
        <w:t xml:space="preserve">.”</w:t>
      </w:r>
      <w:r>
        <w:t xml:space="preserve"> </w:t>
      </w:r>
      <w:r>
        <w:rPr>
          <w:i/>
          <w:iCs/>
        </w:rPr>
        <w:t xml:space="preserve">Journal of Geophysical Research: Atmospheres</w:t>
      </w:r>
      <w:r>
        <w:t xml:space="preserve"> </w:t>
      </w:r>
      <w:r>
        <w:t xml:space="preserve">95 (D3): 1999–2009.</w:t>
      </w:r>
      <w:r>
        <w:t xml:space="preserve"> </w:t>
      </w:r>
      <w:hyperlink r:id="rId68">
        <w:r>
          <w:rPr>
            <w:rStyle w:val="Hyperlink"/>
          </w:rPr>
          <w:t xml:space="preserve">https://doi.org/10.1029/jd095id03p01999</w:t>
        </w:r>
      </w:hyperlink>
      <w:r>
        <w:t xml:space="preserve">.</w:t>
      </w:r>
    </w:p>
    <w:bookmarkEnd w:id="69"/>
    <w:bookmarkStart w:id="71" w:name="ref-Innocenti.2017"/>
    <w:p>
      <w:pPr>
        <w:pStyle w:val="Bibliography"/>
      </w:pPr>
      <w:r>
        <w:t xml:space="preserve">Innocenti, Silvia, Alain Mailhot, and Anne Frigon. 2017.</w:t>
      </w:r>
      <w:r>
        <w:t xml:space="preserve"> </w:t>
      </w:r>
      <w:r>
        <w:t xml:space="preserve">“</w:t>
      </w:r>
      <w:r>
        <w:t xml:space="preserve">Simple scaling of extreme precipitation in North America</w:t>
      </w:r>
      <w:r>
        <w:t xml:space="preserve">.”</w:t>
      </w:r>
      <w:r>
        <w:t xml:space="preserve"> </w:t>
      </w:r>
      <w:r>
        <w:rPr>
          <w:i/>
          <w:iCs/>
        </w:rPr>
        <w:t xml:space="preserve">Hydrology and Earth System Sciences</w:t>
      </w:r>
      <w:r>
        <w:t xml:space="preserve"> </w:t>
      </w:r>
      <w:r>
        <w:t xml:space="preserve">21 (11): 5823–46.</w:t>
      </w:r>
      <w:r>
        <w:t xml:space="preserve"> </w:t>
      </w:r>
      <w:hyperlink r:id="rId70">
        <w:r>
          <w:rPr>
            <w:rStyle w:val="Hyperlink"/>
          </w:rPr>
          <w:t xml:space="preserve">https://doi.org/10.5194/hess-21-5823-2017</w:t>
        </w:r>
      </w:hyperlink>
      <w:r>
        <w:t xml:space="preserve">.</w:t>
      </w:r>
    </w:p>
    <w:bookmarkEnd w:id="71"/>
    <w:bookmarkStart w:id="73" w:name="ref-Koutsoyiannis.1993"/>
    <w:p>
      <w:pPr>
        <w:pStyle w:val="Bibliography"/>
      </w:pPr>
      <w:r>
        <w:t xml:space="preserve">Koutsoyiannis, Demetris, and Efi Foufoula‐Georgiou. 1993.</w:t>
      </w:r>
      <w:r>
        <w:t xml:space="preserve"> </w:t>
      </w:r>
      <w:r>
        <w:t xml:space="preserve">“</w:t>
      </w:r>
      <w:r>
        <w:t xml:space="preserve">A scaling model of a storm hyetograph</w:t>
      </w:r>
      <w:r>
        <w:t xml:space="preserve">.”</w:t>
      </w:r>
      <w:r>
        <w:t xml:space="preserve"> </w:t>
      </w:r>
      <w:r>
        <w:rPr>
          <w:i/>
          <w:iCs/>
        </w:rPr>
        <w:t xml:space="preserve">Water Resources Research</w:t>
      </w:r>
      <w:r>
        <w:t xml:space="preserve"> </w:t>
      </w:r>
      <w:r>
        <w:t xml:space="preserve">29 (7): 2345–61.</w:t>
      </w:r>
      <w:r>
        <w:t xml:space="preserve"> </w:t>
      </w:r>
      <w:hyperlink r:id="rId72">
        <w:r>
          <w:rPr>
            <w:rStyle w:val="Hyperlink"/>
          </w:rPr>
          <w:t xml:space="preserve">https://doi.org/10.1029/93wr00395</w:t>
        </w:r>
      </w:hyperlink>
      <w:r>
        <w:t xml:space="preserve">.</w:t>
      </w:r>
    </w:p>
    <w:bookmarkEnd w:id="73"/>
    <w:bookmarkStart w:id="75" w:name="ref-Langousis.2007"/>
    <w:p>
      <w:pPr>
        <w:pStyle w:val="Bibliography"/>
      </w:pPr>
      <w:r>
        <w:t xml:space="preserve">Langousis, Andreas, and Daniele Veneziano. 2007.</w:t>
      </w:r>
      <w:r>
        <w:t xml:space="preserve"> </w:t>
      </w:r>
      <w:r>
        <w:t xml:space="preserve">“</w:t>
      </w:r>
      <w:r>
        <w:t xml:space="preserve">Intensity‐duration‐frequency curves from scaling representations of rainfall</w:t>
      </w:r>
      <w:r>
        <w:t xml:space="preserve">.”</w:t>
      </w:r>
      <w:r>
        <w:t xml:space="preserve"> </w:t>
      </w:r>
      <w:r>
        <w:rPr>
          <w:i/>
          <w:iCs/>
        </w:rPr>
        <w:t xml:space="preserve">Water Resources Research</w:t>
      </w:r>
      <w:r>
        <w:t xml:space="preserve"> </w:t>
      </w:r>
      <w:r>
        <w:t xml:space="preserve">43 (2).</w:t>
      </w:r>
      <w:r>
        <w:t xml:space="preserve"> </w:t>
      </w:r>
      <w:hyperlink r:id="rId74">
        <w:r>
          <w:rPr>
            <w:rStyle w:val="Hyperlink"/>
          </w:rPr>
          <w:t xml:space="preserve">https://doi.org/10.1029/2006wr005245</w:t>
        </w:r>
      </w:hyperlink>
      <w:r>
        <w:t xml:space="preserve">.</w:t>
      </w:r>
    </w:p>
    <w:bookmarkEnd w:id="75"/>
    <w:bookmarkStart w:id="77" w:name="ref-Le.2018"/>
    <w:p>
      <w:pPr>
        <w:pStyle w:val="Bibliography"/>
      </w:pPr>
      <w:r>
        <w:t xml:space="preserve">Le, Phuong Dong, Michael Leonard, and Seth Westra. 2018.</w:t>
      </w:r>
      <w:r>
        <w:t xml:space="preserve"> </w:t>
      </w:r>
      <w:r>
        <w:t xml:space="preserve">“</w:t>
      </w:r>
      <w:r>
        <w:t xml:space="preserve">Modeling Spatial Dependence of Rainfall Extremes Across Multiple Durations</w:t>
      </w:r>
      <w:r>
        <w:t xml:space="preserve">.”</w:t>
      </w:r>
      <w:r>
        <w:t xml:space="preserve"> </w:t>
      </w:r>
      <w:r>
        <w:rPr>
          <w:i/>
          <w:iCs/>
        </w:rPr>
        <w:t xml:space="preserve">Water Resources Research</w:t>
      </w:r>
      <w:r>
        <w:t xml:space="preserve"> </w:t>
      </w:r>
      <w:r>
        <w:t xml:space="preserve">54 (3): 2233–48.</w:t>
      </w:r>
      <w:r>
        <w:t xml:space="preserve"> </w:t>
      </w:r>
      <w:hyperlink r:id="rId76">
        <w:r>
          <w:rPr>
            <w:rStyle w:val="Hyperlink"/>
          </w:rPr>
          <w:t xml:space="preserve">https://doi.org/10.1002/2017wr022231</w:t>
        </w:r>
      </w:hyperlink>
      <w:r>
        <w:t xml:space="preserve">.</w:t>
      </w:r>
    </w:p>
    <w:bookmarkEnd w:id="77"/>
    <w:bookmarkStart w:id="79" w:name="ref-Le.2019"/>
    <w:p>
      <w:pPr>
        <w:pStyle w:val="Bibliography"/>
      </w:pPr>
      <w:r>
        <w:t xml:space="preserve">———. 2019.</w:t>
      </w:r>
      <w:r>
        <w:t xml:space="preserve"> </w:t>
      </w:r>
      <w:r>
        <w:t xml:space="preserve">“</w:t>
      </w:r>
      <w:r>
        <w:t xml:space="preserve">Spatially dependent flood probabilities to support the design of civil infrastructure systems</w:t>
      </w:r>
      <w:r>
        <w:t xml:space="preserve">.”</w:t>
      </w:r>
      <w:r>
        <w:t xml:space="preserve"> </w:t>
      </w:r>
      <w:r>
        <w:rPr>
          <w:i/>
          <w:iCs/>
        </w:rPr>
        <w:t xml:space="preserve">Hydrology and Earth System Sciences</w:t>
      </w:r>
      <w:r>
        <w:t xml:space="preserve"> </w:t>
      </w:r>
      <w:r>
        <w:t xml:space="preserve">23 (11): 4851–67.</w:t>
      </w:r>
      <w:r>
        <w:t xml:space="preserve"> </w:t>
      </w:r>
      <w:hyperlink r:id="rId78">
        <w:r>
          <w:rPr>
            <w:rStyle w:val="Hyperlink"/>
          </w:rPr>
          <w:t xml:space="preserve">https://doi.org/10.5194/hess-23-4851-2019</w:t>
        </w:r>
      </w:hyperlink>
      <w:r>
        <w:t xml:space="preserve">.</w:t>
      </w:r>
    </w:p>
    <w:bookmarkEnd w:id="79"/>
    <w:bookmarkStart w:id="81" w:name="ref-Lima.2018"/>
    <w:p>
      <w:pPr>
        <w:pStyle w:val="Bibliography"/>
      </w:pPr>
      <w:r>
        <w:t xml:space="preserve">Lima, Carlos H. R., Hyun-Han Kwon, and Yong-Tak Kim. 2018.</w:t>
      </w:r>
      <w:r>
        <w:t xml:space="preserve"> </w:t>
      </w:r>
      <w:r>
        <w:t xml:space="preserve">“</w:t>
      </w:r>
      <w:r>
        <w:t xml:space="preserve">A local-regional scaling-invariant Bayesian GEV model for estimating rainfall IDF curves in a future climate</w:t>
      </w:r>
      <w:r>
        <w:t xml:space="preserve">.”</w:t>
      </w:r>
      <w:r>
        <w:t xml:space="preserve"> </w:t>
      </w:r>
      <w:r>
        <w:rPr>
          <w:i/>
          <w:iCs/>
        </w:rPr>
        <w:t xml:space="preserve">Journal of Hydrology</w:t>
      </w:r>
      <w:r>
        <w:t xml:space="preserve"> </w:t>
      </w:r>
      <w:r>
        <w:t xml:space="preserve">566: 73–88.</w:t>
      </w:r>
      <w:r>
        <w:t xml:space="preserve"> </w:t>
      </w:r>
      <w:hyperlink r:id="rId80">
        <w:r>
          <w:rPr>
            <w:rStyle w:val="Hyperlink"/>
          </w:rPr>
          <w:t xml:space="preserve">https://doi.org/10.1016/j.jhydrol.2018.08.075</w:t>
        </w:r>
      </w:hyperlink>
      <w:r>
        <w:t xml:space="preserve">.</w:t>
      </w:r>
    </w:p>
    <w:bookmarkEnd w:id="81"/>
    <w:bookmarkStart w:id="83" w:name="ref-Lovejoy.1985"/>
    <w:p>
      <w:pPr>
        <w:pStyle w:val="Bibliography"/>
      </w:pPr>
      <w:r>
        <w:t xml:space="preserve">Lovejoy, S., and D. Schertzer. 1985.</w:t>
      </w:r>
      <w:r>
        <w:t xml:space="preserve"> </w:t>
      </w:r>
      <w:r>
        <w:t xml:space="preserve">“</w:t>
      </w:r>
      <w:r>
        <w:t xml:space="preserve">Generalized Scale Invariance in the Atmosphere and Fractal Models of Rain</w:t>
      </w:r>
      <w:r>
        <w:t xml:space="preserve">.”</w:t>
      </w:r>
      <w:r>
        <w:t xml:space="preserve"> </w:t>
      </w:r>
      <w:r>
        <w:rPr>
          <w:i/>
          <w:iCs/>
        </w:rPr>
        <w:t xml:space="preserve">Water Resources Research</w:t>
      </w:r>
      <w:r>
        <w:t xml:space="preserve"> </w:t>
      </w:r>
      <w:r>
        <w:t xml:space="preserve">21 (8): 1233–50.</w:t>
      </w:r>
      <w:r>
        <w:t xml:space="preserve"> </w:t>
      </w:r>
      <w:hyperlink r:id="rId82">
        <w:r>
          <w:rPr>
            <w:rStyle w:val="Hyperlink"/>
          </w:rPr>
          <w:t xml:space="preserve">https://doi.org/10.1029/wr021i008p01233</w:t>
        </w:r>
      </w:hyperlink>
      <w:r>
        <w:t xml:space="preserve">.</w:t>
      </w:r>
    </w:p>
    <w:bookmarkEnd w:id="83"/>
    <w:bookmarkStart w:id="85" w:name="ref-Lovejoy.1986"/>
    <w:p>
      <w:pPr>
        <w:pStyle w:val="Bibliography"/>
      </w:pPr>
      <w:r>
        <w:t xml:space="preserve">———. 1986.</w:t>
      </w:r>
      <w:r>
        <w:t xml:space="preserve"> </w:t>
      </w:r>
      <w:r>
        <w:t xml:space="preserve">“</w:t>
      </w:r>
      <w:r>
        <w:t xml:space="preserve">Scale Invariance, Symmetries, Fractals, and Stochastic Simulations of Atmospheric Phenomena</w:t>
      </w:r>
      <w:r>
        <w:t xml:space="preserve">.”</w:t>
      </w:r>
      <w:r>
        <w:t xml:space="preserve"> </w:t>
      </w:r>
      <w:r>
        <w:rPr>
          <w:i/>
          <w:iCs/>
        </w:rPr>
        <w:t xml:space="preserve">Bulletin of the American Meteorological Society</w:t>
      </w:r>
      <w:r>
        <w:t xml:space="preserve"> </w:t>
      </w:r>
      <w:r>
        <w:t xml:space="preserve">67 (1): 21–32.</w:t>
      </w:r>
      <w:r>
        <w:t xml:space="preserve"> </w:t>
      </w:r>
      <w:hyperlink r:id="rId84">
        <w:r>
          <w:rPr>
            <w:rStyle w:val="Hyperlink"/>
          </w:rPr>
          <w:t xml:space="preserve">https://doi.org/10.1175/1520-0477(1986)067&lt;0021:sisfas&gt;2.0.co;2</w:t>
        </w:r>
      </w:hyperlink>
      <w:r>
        <w:t xml:space="preserve">.</w:t>
      </w:r>
    </w:p>
    <w:bookmarkEnd w:id="85"/>
    <w:bookmarkStart w:id="87" w:name="ref-Mandelbrot.1968"/>
    <w:p>
      <w:pPr>
        <w:pStyle w:val="Bibliography"/>
      </w:pPr>
      <w:r>
        <w:t xml:space="preserve">Mandelbrot, Benoit B., and James R. Wallis. 1968.</w:t>
      </w:r>
      <w:r>
        <w:t xml:space="preserve"> </w:t>
      </w:r>
      <w:r>
        <w:t xml:space="preserve">“</w:t>
      </w:r>
      <w:r>
        <w:t xml:space="preserve">Noah, Joseph, and Operational Hydrology</w:t>
      </w:r>
      <w:r>
        <w:t xml:space="preserve">.”</w:t>
      </w:r>
      <w:r>
        <w:t xml:space="preserve"> </w:t>
      </w:r>
      <w:r>
        <w:rPr>
          <w:i/>
          <w:iCs/>
        </w:rPr>
        <w:t xml:space="preserve">Water Resources Research</w:t>
      </w:r>
      <w:r>
        <w:t xml:space="preserve"> </w:t>
      </w:r>
      <w:r>
        <w:t xml:space="preserve">4 (5): 909–18.</w:t>
      </w:r>
      <w:r>
        <w:t xml:space="preserve"> </w:t>
      </w:r>
      <w:hyperlink r:id="rId86">
        <w:r>
          <w:rPr>
            <w:rStyle w:val="Hyperlink"/>
          </w:rPr>
          <w:t xml:space="preserve">https://doi.org/10.1029/wr004i005p00909</w:t>
        </w:r>
      </w:hyperlink>
      <w:r>
        <w:t xml:space="preserve">.</w:t>
      </w:r>
    </w:p>
    <w:bookmarkEnd w:id="87"/>
    <w:bookmarkStart w:id="89" w:name="ref-Mascaro.2020"/>
    <w:p>
      <w:pPr>
        <w:pStyle w:val="Bibliography"/>
      </w:pPr>
      <w:r>
        <w:t xml:space="preserve">Mascaro, Giuseppe. 2020.</w:t>
      </w:r>
      <w:r>
        <w:t xml:space="preserve"> </w:t>
      </w:r>
      <w:r>
        <w:t xml:space="preserve">“</w:t>
      </w:r>
      <w:r>
        <w:t xml:space="preserve">Comparison of Local, Regional, and Scaling Models for Rainfall Intensity–Duration–Frequency Analysis</w:t>
      </w:r>
      <w:r>
        <w:t xml:space="preserve">.”</w:t>
      </w:r>
      <w:r>
        <w:t xml:space="preserve"> </w:t>
      </w:r>
      <w:r>
        <w:rPr>
          <w:i/>
          <w:iCs/>
        </w:rPr>
        <w:t xml:space="preserve">Journal of Applied Meteorology and Climatology</w:t>
      </w:r>
      <w:r>
        <w:t xml:space="preserve"> </w:t>
      </w:r>
      <w:r>
        <w:t xml:space="preserve">59 (9): 1519–36.</w:t>
      </w:r>
      <w:r>
        <w:t xml:space="preserve"> </w:t>
      </w:r>
      <w:hyperlink r:id="rId88">
        <w:r>
          <w:rPr>
            <w:rStyle w:val="Hyperlink"/>
          </w:rPr>
          <w:t xml:space="preserve">https://doi.org/10.1175/jamc-d-20-0094.1</w:t>
        </w:r>
      </w:hyperlink>
      <w:r>
        <w:t xml:space="preserve">.</w:t>
      </w:r>
    </w:p>
    <w:bookmarkEnd w:id="89"/>
    <w:bookmarkStart w:id="91" w:name="ref-Menabde.1997"/>
    <w:p>
      <w:pPr>
        <w:pStyle w:val="Bibliography"/>
      </w:pPr>
      <w:r>
        <w:t xml:space="preserve">Menabde, Merab, Daniel Harris, Alan Seed, Geoff Austin, and David Stow. 1997.</w:t>
      </w:r>
      <w:r>
        <w:t xml:space="preserve"> </w:t>
      </w:r>
      <w:r>
        <w:t xml:space="preserve">“</w:t>
      </w:r>
      <w:r>
        <w:t xml:space="preserve">Multiscaling properties of rainfall and bounded random cascades</w:t>
      </w:r>
      <w:r>
        <w:t xml:space="preserve">.”</w:t>
      </w:r>
      <w:r>
        <w:t xml:space="preserve"> </w:t>
      </w:r>
      <w:r>
        <w:rPr>
          <w:i/>
          <w:iCs/>
        </w:rPr>
        <w:t xml:space="preserve">Water Resources Research</w:t>
      </w:r>
      <w:r>
        <w:t xml:space="preserve"> </w:t>
      </w:r>
      <w:r>
        <w:t xml:space="preserve">33 (12): 2823–30.</w:t>
      </w:r>
      <w:r>
        <w:t xml:space="preserve"> </w:t>
      </w:r>
      <w:hyperlink r:id="rId90">
        <w:r>
          <w:rPr>
            <w:rStyle w:val="Hyperlink"/>
          </w:rPr>
          <w:t xml:space="preserve">https://doi.org/10.1029/97wr02006</w:t>
        </w:r>
      </w:hyperlink>
      <w:r>
        <w:t xml:space="preserve">.</w:t>
      </w:r>
    </w:p>
    <w:bookmarkEnd w:id="91"/>
    <w:bookmarkStart w:id="93" w:name="ref-Menabde.1999"/>
    <w:p>
      <w:pPr>
        <w:pStyle w:val="Bibliography"/>
      </w:pPr>
      <w:r>
        <w:t xml:space="preserve">Menabde, Merab, Alan Seed, and Geoff Pegram. 1999.</w:t>
      </w:r>
      <w:r>
        <w:t xml:space="preserve"> </w:t>
      </w:r>
      <w:r>
        <w:t xml:space="preserve">“</w:t>
      </w:r>
      <w:r>
        <w:t xml:space="preserve">A simple scaling model for extreme rainfall</w:t>
      </w:r>
      <w:r>
        <w:t xml:space="preserve">.”</w:t>
      </w:r>
      <w:r>
        <w:t xml:space="preserve"> </w:t>
      </w:r>
      <w:r>
        <w:rPr>
          <w:i/>
          <w:iCs/>
        </w:rPr>
        <w:t xml:space="preserve">Water Resources Research</w:t>
      </w:r>
      <w:r>
        <w:t xml:space="preserve"> </w:t>
      </w:r>
      <w:r>
        <w:t xml:space="preserve">35 (1): 335–39.</w:t>
      </w:r>
      <w:r>
        <w:t xml:space="preserve"> </w:t>
      </w:r>
      <w:hyperlink r:id="rId92">
        <w:r>
          <w:rPr>
            <w:rStyle w:val="Hyperlink"/>
          </w:rPr>
          <w:t xml:space="preserve">https://doi.org/10.1029/1998wr900012</w:t>
        </w:r>
      </w:hyperlink>
      <w:r>
        <w:t xml:space="preserve">.</w:t>
      </w:r>
    </w:p>
    <w:bookmarkEnd w:id="93"/>
    <w:bookmarkStart w:id="95" w:name="ref-Nguyen.1998"/>
    <w:p>
      <w:pPr>
        <w:pStyle w:val="Bibliography"/>
      </w:pPr>
      <w:r>
        <w:t xml:space="preserve">Nguyen, V. T. V., T. D. Nguyen, and H. Wang. 1998.</w:t>
      </w:r>
      <w:r>
        <w:t xml:space="preserve"> </w:t>
      </w:r>
      <w:r>
        <w:t xml:space="preserve">“</w:t>
      </w:r>
      <w:r>
        <w:t xml:space="preserve">Regional estimation of short duration rainfall extremes</w:t>
      </w:r>
      <w:r>
        <w:t xml:space="preserve">.”</w:t>
      </w:r>
      <w:r>
        <w:t xml:space="preserve"> </w:t>
      </w:r>
      <w:r>
        <w:rPr>
          <w:i/>
          <w:iCs/>
        </w:rPr>
        <w:t xml:space="preserve">Water Science and Technology</w:t>
      </w:r>
      <w:r>
        <w:t xml:space="preserve"> </w:t>
      </w:r>
      <w:r>
        <w:t xml:space="preserve">37 (11): 15–19.</w:t>
      </w:r>
      <w:r>
        <w:t xml:space="preserve"> </w:t>
      </w:r>
      <w:hyperlink r:id="rId94">
        <w:r>
          <w:rPr>
            <w:rStyle w:val="Hyperlink"/>
          </w:rPr>
          <w:t xml:space="preserve">https://doi.org/10.2166/wst.1998.0425</w:t>
        </w:r>
      </w:hyperlink>
      <w:r>
        <w:t xml:space="preserve">.</w:t>
      </w:r>
    </w:p>
    <w:bookmarkEnd w:id="95"/>
    <w:bookmarkStart w:id="97" w:name="ref-Papalexiou.2018"/>
    <w:p>
      <w:pPr>
        <w:pStyle w:val="Bibliography"/>
      </w:pPr>
      <w:r>
        <w:t xml:space="preserve">Papalexiou, Simon Michael, Amir AghaKouchak, and Efi Foufoula‐Georgiou. 2018.</w:t>
      </w:r>
      <w:r>
        <w:t xml:space="preserve"> </w:t>
      </w:r>
      <w:r>
        <w:t xml:space="preserve">“</w:t>
      </w:r>
      <w:r>
        <w:t xml:space="preserve">A Diagnostic Framework for Understanding Climatology of Tails of Hourly Precipitation Extremes in the United States</w:t>
      </w:r>
      <w:r>
        <w:t xml:space="preserve">.”</w:t>
      </w:r>
      <w:r>
        <w:t xml:space="preserve"> </w:t>
      </w:r>
      <w:r>
        <w:rPr>
          <w:i/>
          <w:iCs/>
        </w:rPr>
        <w:t xml:space="preserve">Water Resources Research</w:t>
      </w:r>
      <w:r>
        <w:t xml:space="preserve"> </w:t>
      </w:r>
      <w:r>
        <w:t xml:space="preserve">54 (9): 6725–38.</w:t>
      </w:r>
      <w:r>
        <w:t xml:space="preserve"> </w:t>
      </w:r>
      <w:hyperlink r:id="rId96">
        <w:r>
          <w:rPr>
            <w:rStyle w:val="Hyperlink"/>
          </w:rPr>
          <w:t xml:space="preserve">https://doi.org/10.1029/2018wr022732</w:t>
        </w:r>
      </w:hyperlink>
      <w:r>
        <w:t xml:space="preserve">.</w:t>
      </w:r>
    </w:p>
    <w:bookmarkEnd w:id="97"/>
    <w:bookmarkStart w:id="99" w:name="ref-Papalexiou.2018h3"/>
    <w:p>
      <w:pPr>
        <w:pStyle w:val="Bibliography"/>
      </w:pPr>
      <w:r>
        <w:t xml:space="preserve">Papalexiou, Simon Michael, Yannis Markonis, Federico Lombardo, Amir AghaKouchak, and Efi Foufoula‐Georgiou. 2018.</w:t>
      </w:r>
      <w:r>
        <w:t xml:space="preserve"> </w:t>
      </w:r>
      <w:r>
        <w:t xml:space="preserve">“</w:t>
      </w:r>
      <w:r>
        <w:t xml:space="preserve">Precise Temporal Disaggregation Preserving Marginals and Correlations (DiPMaC) for Stationary and Nonstationary Processes</w:t>
      </w:r>
      <w:r>
        <w:t xml:space="preserve">.”</w:t>
      </w:r>
      <w:r>
        <w:t xml:space="preserve"> </w:t>
      </w:r>
      <w:r>
        <w:rPr>
          <w:i/>
          <w:iCs/>
        </w:rPr>
        <w:t xml:space="preserve">Water Resources Research</w:t>
      </w:r>
      <w:r>
        <w:t xml:space="preserve"> </w:t>
      </w:r>
      <w:r>
        <w:t xml:space="preserve">54 (10): 7435–58.</w:t>
      </w:r>
      <w:r>
        <w:t xml:space="preserve"> </w:t>
      </w:r>
      <w:hyperlink r:id="rId98">
        <w:r>
          <w:rPr>
            <w:rStyle w:val="Hyperlink"/>
          </w:rPr>
          <w:t xml:space="preserve">https://doi.org/10.1029/2018wr022726</w:t>
        </w:r>
      </w:hyperlink>
      <w:r>
        <w:t xml:space="preserve">.</w:t>
      </w:r>
    </w:p>
    <w:bookmarkEnd w:id="99"/>
    <w:bookmarkStart w:id="101" w:name="ref-Qin.2024"/>
    <w:p>
      <w:pPr>
        <w:pStyle w:val="Bibliography"/>
      </w:pPr>
      <w:r>
        <w:t xml:space="preserve">Qin, Xiaosheng, and Chao Dai. 2024.</w:t>
      </w:r>
      <w:r>
        <w:t xml:space="preserve"> </w:t>
      </w:r>
      <w:r>
        <w:t xml:space="preserve">“</w:t>
      </w:r>
      <w:r>
        <w:t xml:space="preserve">Investigation of rainfall disaggregation with flexible timescales based on point process models</w:t>
      </w:r>
      <w:r>
        <w:t xml:space="preserve">.”</w:t>
      </w:r>
      <w:r>
        <w:t xml:space="preserve"> </w:t>
      </w:r>
      <w:r>
        <w:rPr>
          <w:i/>
          <w:iCs/>
        </w:rPr>
        <w:t xml:space="preserve">Journal of Hydrology</w:t>
      </w:r>
      <w:r>
        <w:t xml:space="preserve"> </w:t>
      </w:r>
      <w:r>
        <w:t xml:space="preserve">634: 131101.</w:t>
      </w:r>
      <w:r>
        <w:t xml:space="preserve"> </w:t>
      </w:r>
      <w:hyperlink r:id="rId100">
        <w:r>
          <w:rPr>
            <w:rStyle w:val="Hyperlink"/>
          </w:rPr>
          <w:t xml:space="preserve">https://doi.org/10.1016/j.jhydrol.2024.131101</w:t>
        </w:r>
      </w:hyperlink>
      <w:r>
        <w:t xml:space="preserve">.</w:t>
      </w:r>
    </w:p>
    <w:bookmarkEnd w:id="101"/>
    <w:bookmarkStart w:id="103" w:name="ref-Requena.2021"/>
    <w:p>
      <w:pPr>
        <w:pStyle w:val="Bibliography"/>
      </w:pPr>
      <w:r>
        <w:t xml:space="preserve">Requena, Ana I., Truong-Huy Nguyen, Donald H. Burn, Paulin Coulibaly, and Van-Thanh-Van Nguyen. 2021.</w:t>
      </w:r>
      <w:r>
        <w:t xml:space="preserve"> </w:t>
      </w:r>
      <w:r>
        <w:t xml:space="preserve">“</w:t>
      </w:r>
      <w:r>
        <w:t xml:space="preserve">A temporal downscaling approach for sub-daily gridded extreme rainfall intensity estimation under climate change</w:t>
      </w:r>
      <w:r>
        <w:t xml:space="preserve">.”</w:t>
      </w:r>
      <w:r>
        <w:t xml:space="preserve"> </w:t>
      </w:r>
      <w:r>
        <w:rPr>
          <w:i/>
          <w:iCs/>
        </w:rPr>
        <w:t xml:space="preserve">Journal of Hydrology: Regional Studies</w:t>
      </w:r>
      <w:r>
        <w:t xml:space="preserve"> </w:t>
      </w:r>
      <w:r>
        <w:t xml:space="preserve">35: 100811.</w:t>
      </w:r>
      <w:r>
        <w:t xml:space="preserve"> </w:t>
      </w:r>
      <w:hyperlink r:id="rId102">
        <w:r>
          <w:rPr>
            <w:rStyle w:val="Hyperlink"/>
          </w:rPr>
          <w:t xml:space="preserve">https://doi.org/10.1016/j.ejrh.2021.100811</w:t>
        </w:r>
      </w:hyperlink>
      <w:r>
        <w:t xml:space="preserve">.</w:t>
      </w:r>
    </w:p>
    <w:bookmarkEnd w:id="103"/>
    <w:bookmarkStart w:id="105" w:name="ref-Rodrigues.2023"/>
    <w:p>
      <w:pPr>
        <w:pStyle w:val="Bibliography"/>
      </w:pPr>
      <w:r>
        <w:t xml:space="preserve">Rodrigues, Guilherme, Wilson Fernandes, Veber Costa, and Eber Pinto. 2023.</w:t>
      </w:r>
      <w:r>
        <w:t xml:space="preserve"> </w:t>
      </w:r>
      <w:r>
        <w:t xml:space="preserve">“</w:t>
      </w:r>
      <w:r>
        <w:t xml:space="preserve">Utilizing the Scale Invariance Principle for Deriving a Regional Intensity-Duration-Frequency Relationship in the Metropolitan Region of Belo Horizonte, Brazil</w:t>
      </w:r>
      <w:r>
        <w:t xml:space="preserve">.”</w:t>
      </w:r>
      <w:r>
        <w:t xml:space="preserve"> </w:t>
      </w:r>
      <w:r>
        <w:rPr>
          <w:i/>
          <w:iCs/>
        </w:rPr>
        <w:t xml:space="preserve">Journal of Hydrologic Engineering</w:t>
      </w:r>
      <w:r>
        <w:t xml:space="preserve"> </w:t>
      </w:r>
      <w:r>
        <w:t xml:space="preserve">28 (7): 05023010.</w:t>
      </w:r>
      <w:r>
        <w:t xml:space="preserve"> </w:t>
      </w:r>
      <w:hyperlink r:id="rId104">
        <w:r>
          <w:rPr>
            <w:rStyle w:val="Hyperlink"/>
          </w:rPr>
          <w:t xml:space="preserve">https://doi.org/10.1061/jhyeff.heeng-5934</w:t>
        </w:r>
      </w:hyperlink>
      <w:r>
        <w:t xml:space="preserve">.</w:t>
      </w:r>
    </w:p>
    <w:bookmarkEnd w:id="105"/>
    <w:bookmarkStart w:id="107" w:name="ref-Sane.2018"/>
    <w:p>
      <w:pPr>
        <w:pStyle w:val="Bibliography"/>
      </w:pPr>
      <w:r>
        <w:t xml:space="preserve">Sane, Youssouph, Geremy Panthou, Ansoumana Bodian, Theo Vischel, Thierry Lebel, Honore Dacosta, Guillaume Quantin, et al. 2018.</w:t>
      </w:r>
      <w:r>
        <w:t xml:space="preserve"> </w:t>
      </w:r>
      <w:r>
        <w:t xml:space="preserve">“</w:t>
      </w:r>
      <w:r>
        <w:t xml:space="preserve">Intensity–duration–frequency (IDF) rainfall curves in Senegal</w:t>
      </w:r>
      <w:r>
        <w:t xml:space="preserve">.”</w:t>
      </w:r>
      <w:r>
        <w:t xml:space="preserve"> </w:t>
      </w:r>
      <w:r>
        <w:rPr>
          <w:i/>
          <w:iCs/>
        </w:rPr>
        <w:t xml:space="preserve">Natural Hazards and Earth System Sciences</w:t>
      </w:r>
      <w:r>
        <w:t xml:space="preserve"> </w:t>
      </w:r>
      <w:r>
        <w:t xml:space="preserve">18 (7): 1849–66.</w:t>
      </w:r>
      <w:r>
        <w:t xml:space="preserve"> </w:t>
      </w:r>
      <w:hyperlink r:id="rId106">
        <w:r>
          <w:rPr>
            <w:rStyle w:val="Hyperlink"/>
          </w:rPr>
          <w:t xml:space="preserve">https://doi.org/10.5194/nhess-18-1849-2018</w:t>
        </w:r>
      </w:hyperlink>
      <w:r>
        <w:t xml:space="preserve">.</w:t>
      </w:r>
    </w:p>
    <w:bookmarkEnd w:id="107"/>
    <w:bookmarkStart w:id="109" w:name="ref-Stephenson.2016"/>
    <w:p>
      <w:pPr>
        <w:pStyle w:val="Bibliography"/>
      </w:pPr>
      <w:r>
        <w:t xml:space="preserve">Stephenson, Alec G., Eric A. Lehmann, and Aloke Phatak. 2016.</w:t>
      </w:r>
      <w:r>
        <w:t xml:space="preserve"> </w:t>
      </w:r>
      <w:r>
        <w:t xml:space="preserve">“</w:t>
      </w:r>
      <w:r>
        <w:t xml:space="preserve">A max-stable process model for rainfall extremes at different accumulation durations</w:t>
      </w:r>
      <w:r>
        <w:t xml:space="preserve">.”</w:t>
      </w:r>
      <w:r>
        <w:t xml:space="preserve"> </w:t>
      </w:r>
      <w:r>
        <w:rPr>
          <w:i/>
          <w:iCs/>
        </w:rPr>
        <w:t xml:space="preserve">Weather and Climate Extremes</w:t>
      </w:r>
      <w:r>
        <w:t xml:space="preserve"> </w:t>
      </w:r>
      <w:r>
        <w:t xml:space="preserve">13: 44–53.</w:t>
      </w:r>
      <w:r>
        <w:t xml:space="preserve"> </w:t>
      </w:r>
      <w:hyperlink r:id="rId108">
        <w:r>
          <w:rPr>
            <w:rStyle w:val="Hyperlink"/>
          </w:rPr>
          <w:t xml:space="preserve">https://doi.org/10.1016/j.wace.2016.07.002</w:t>
        </w:r>
      </w:hyperlink>
      <w:r>
        <w:t xml:space="preserve">.</w:t>
      </w:r>
    </w:p>
    <w:bookmarkEnd w:id="109"/>
    <w:bookmarkStart w:id="111" w:name="ref-Tayşi.2021"/>
    <w:p>
      <w:pPr>
        <w:pStyle w:val="Bibliography"/>
      </w:pPr>
      <w:r>
        <w:t xml:space="preserve">Tayşi, H, and M Özger. 2021.</w:t>
      </w:r>
      <w:r>
        <w:t xml:space="preserve"> </w:t>
      </w:r>
      <w:r>
        <w:t xml:space="preserve">“</w:t>
      </w:r>
      <w:r>
        <w:t xml:space="preserve">Disaggregation of future GCMs to generate IDF curves for the assessment of urban floods</w:t>
      </w:r>
      <w:r>
        <w:t xml:space="preserve">.”</w:t>
      </w:r>
      <w:r>
        <w:t xml:space="preserve"> </w:t>
      </w:r>
      <w:r>
        <w:rPr>
          <w:i/>
          <w:iCs/>
        </w:rPr>
        <w:t xml:space="preserve">Journal of Water and Climate Change</w:t>
      </w:r>
      <w:r>
        <w:t xml:space="preserve"> </w:t>
      </w:r>
      <w:r>
        <w:t xml:space="preserve">13 (2): 684–706.</w:t>
      </w:r>
      <w:r>
        <w:t xml:space="preserve"> </w:t>
      </w:r>
      <w:hyperlink r:id="rId110">
        <w:r>
          <w:rPr>
            <w:rStyle w:val="Hyperlink"/>
          </w:rPr>
          <w:t xml:space="preserve">https://doi.org/10.2166/wcc.2021.241</w:t>
        </w:r>
      </w:hyperlink>
      <w:r>
        <w:t xml:space="preserve">.</w:t>
      </w:r>
    </w:p>
    <w:bookmarkEnd w:id="111"/>
    <w:bookmarkStart w:id="113" w:name="ref-Vorobevskii.2023"/>
    <w:p>
      <w:pPr>
        <w:pStyle w:val="Bibliography"/>
      </w:pPr>
      <w:r>
        <w:t xml:space="preserve">Vorobevskii, Ivan, Jeongha Park, Dongkyun Kim, Klemens Barfus, and Rico Kronenberg. 2023.</w:t>
      </w:r>
      <w:r>
        <w:t xml:space="preserve"> </w:t>
      </w:r>
      <w:r>
        <w:t xml:space="preserve">“</w:t>
      </w:r>
      <w:r>
        <w:t xml:space="preserve">Simulating sub-hourly rainfall data for current and future periods using two statistical disaggregation models: case studies from Germany and South Korea</w:t>
      </w:r>
      <w:r>
        <w:t xml:space="preserve">.”</w:t>
      </w:r>
      <w:r>
        <w:t xml:space="preserve"> </w:t>
      </w:r>
      <w:r>
        <w:rPr>
          <w:i/>
          <w:iCs/>
        </w:rPr>
        <w:t xml:space="preserve">Hydrology and Earth System Sciences</w:t>
      </w:r>
      <w:r>
        <w:t xml:space="preserve"> </w:t>
      </w:r>
      <w:r>
        <w:t xml:space="preserve">28 (2): 391–416.</w:t>
      </w:r>
      <w:r>
        <w:t xml:space="preserve"> </w:t>
      </w:r>
      <w:hyperlink r:id="rId112">
        <w:r>
          <w:rPr>
            <w:rStyle w:val="Hyperlink"/>
          </w:rPr>
          <w:t xml:space="preserve">https://doi.org/10.5194/hess-28-391-2024</w:t>
        </w:r>
      </w:hyperlink>
      <w:r>
        <w:t xml:space="preserve">.</w:t>
      </w:r>
    </w:p>
    <w:bookmarkEnd w:id="113"/>
    <w:bookmarkStart w:id="115" w:name="ref-Vyver.2018"/>
    <w:p>
      <w:pPr>
        <w:pStyle w:val="Bibliography"/>
      </w:pPr>
      <w:r>
        <w:t xml:space="preserve">Vyver, Hans Van de. 2018.</w:t>
      </w:r>
      <w:r>
        <w:t xml:space="preserve"> </w:t>
      </w:r>
      <w:r>
        <w:t xml:space="preserve">“</w:t>
      </w:r>
      <w:r>
        <w:t xml:space="preserve">A multiscaling‐based intensity–duration–frequency model for extreme precipitation</w:t>
      </w:r>
      <w:r>
        <w:t xml:space="preserve">.”</w:t>
      </w:r>
      <w:r>
        <w:t xml:space="preserve"> </w:t>
      </w:r>
      <w:r>
        <w:rPr>
          <w:i/>
          <w:iCs/>
        </w:rPr>
        <w:t xml:space="preserve">Hydrological Processes</w:t>
      </w:r>
      <w:r>
        <w:t xml:space="preserve"> </w:t>
      </w:r>
      <w:r>
        <w:t xml:space="preserve">32 (11): 1635–47.</w:t>
      </w:r>
      <w:r>
        <w:t xml:space="preserve"> </w:t>
      </w:r>
      <w:hyperlink r:id="rId114">
        <w:r>
          <w:rPr>
            <w:rStyle w:val="Hyperlink"/>
          </w:rPr>
          <w:t xml:space="preserve">https://doi.org/10.1002/hyp.11516</w:t>
        </w:r>
      </w:hyperlink>
      <w:r>
        <w:t xml:space="preserve">.</w:t>
      </w:r>
    </w:p>
    <w:bookmarkEnd w:id="115"/>
    <w:bookmarkStart w:id="117" w:name="ref-Wang.2024"/>
    <w:p>
      <w:pPr>
        <w:pStyle w:val="Bibliography"/>
      </w:pPr>
      <w:r>
        <w:t xml:space="preserve">Wang, Zijie, Robert L. Wilby, and Dapeng Yu. 2024.</w:t>
      </w:r>
      <w:r>
        <w:t xml:space="preserve"> </w:t>
      </w:r>
      <w:r>
        <w:t xml:space="preserve">“</w:t>
      </w:r>
      <w:r>
        <w:t xml:space="preserve">Spatial and temporal scaling of extreme rainfall in the United Kingdom</w:t>
      </w:r>
      <w:r>
        <w:t xml:space="preserve">.”</w:t>
      </w:r>
      <w:r>
        <w:t xml:space="preserve"> </w:t>
      </w:r>
      <w:r>
        <w:rPr>
          <w:i/>
          <w:iCs/>
        </w:rPr>
        <w:t xml:space="preserve">International Journal of Climatology</w:t>
      </w:r>
      <w:r>
        <w:t xml:space="preserve"> </w:t>
      </w:r>
      <w:r>
        <w:t xml:space="preserve">44 (1): 286–304.</w:t>
      </w:r>
      <w:r>
        <w:t xml:space="preserve"> </w:t>
      </w:r>
      <w:hyperlink r:id="rId116">
        <w:r>
          <w:rPr>
            <w:rStyle w:val="Hyperlink"/>
          </w:rPr>
          <w:t xml:space="preserve">https://doi.org/10.1002/joc.8330</w:t>
        </w:r>
      </w:hyperlink>
      <w:r>
        <w:t xml:space="preserve">.</w:t>
      </w:r>
    </w:p>
    <w:bookmarkEnd w:id="117"/>
    <w:bookmarkStart w:id="119" w:name="ref-Yeo.2022"/>
    <w:p>
      <w:pPr>
        <w:pStyle w:val="Bibliography"/>
      </w:pPr>
      <w:r>
        <w:t xml:space="preserve">Yeo, Myeong-Ho, Van-Thanh-Van Nguyen, Yong Sang Kim, and Theodore A. Kpodonu. 2022.</w:t>
      </w:r>
      <w:r>
        <w:t xml:space="preserve"> </w:t>
      </w:r>
      <w:r>
        <w:t xml:space="preserve">“</w:t>
      </w:r>
      <w:r>
        <w:t xml:space="preserve">An Integrated Extreme Rainfall Modeling Tool (SDExtreme) for Climate Change Impacts and Adaptation</w:t>
      </w:r>
      <w:r>
        <w:t xml:space="preserve">.”</w:t>
      </w:r>
      <w:r>
        <w:t xml:space="preserve"> </w:t>
      </w:r>
      <w:r>
        <w:rPr>
          <w:i/>
          <w:iCs/>
        </w:rPr>
        <w:t xml:space="preserve">Water Resources Management</w:t>
      </w:r>
      <w:r>
        <w:t xml:space="preserve"> </w:t>
      </w:r>
      <w:r>
        <w:t xml:space="preserve">36 (9): 3153–79.</w:t>
      </w:r>
      <w:r>
        <w:t xml:space="preserve"> </w:t>
      </w:r>
      <w:hyperlink r:id="rId118">
        <w:r>
          <w:rPr>
            <w:rStyle w:val="Hyperlink"/>
          </w:rPr>
          <w:t xml:space="preserve">https://doi.org/10.1007/s11269-022-03194-1</w:t>
        </w:r>
      </w:hyperlink>
      <w:r>
        <w:t xml:space="preserve">.</w:t>
      </w:r>
    </w:p>
    <w:bookmarkEnd w:id="119"/>
    <w:bookmarkStart w:id="121" w:name="ref-Yeo.2021"/>
    <w:p>
      <w:pPr>
        <w:pStyle w:val="Bibliography"/>
      </w:pPr>
      <w:r>
        <w:t xml:space="preserve">Yeo, Myeong‐Ho, Van‐Thanh‐Van Nguyen, and Theodore A. Kpodonu. 2021.</w:t>
      </w:r>
      <w:r>
        <w:t xml:space="preserve"> </w:t>
      </w:r>
      <w:r>
        <w:t xml:space="preserve">“</w:t>
      </w:r>
      <w:r>
        <w:t xml:space="preserve">Characterizing extreme rainfalls and constructing confidence intervals for IDF curves using Scaling‐GEV distribution model</w:t>
      </w:r>
      <w:r>
        <w:t xml:space="preserve">.”</w:t>
      </w:r>
      <w:r>
        <w:t xml:space="preserve"> </w:t>
      </w:r>
      <w:r>
        <w:rPr>
          <w:i/>
          <w:iCs/>
        </w:rPr>
        <w:t xml:space="preserve">International Journal of Climatology</w:t>
      </w:r>
      <w:r>
        <w:t xml:space="preserve"> </w:t>
      </w:r>
      <w:r>
        <w:t xml:space="preserve">41 (1): 456–68.</w:t>
      </w:r>
      <w:r>
        <w:t xml:space="preserve"> </w:t>
      </w:r>
      <w:hyperlink r:id="rId120">
        <w:r>
          <w:rPr>
            <w:rStyle w:val="Hyperlink"/>
          </w:rPr>
          <w:t xml:space="preserve">https://doi.org/10.1002/joc.6631</w:t>
        </w:r>
      </w:hyperlink>
      <w:r>
        <w:t xml:space="preserve">.</w:t>
      </w:r>
    </w:p>
    <w:bookmarkEnd w:id="121"/>
    <w:bookmarkStart w:id="123" w:name="ref-Yu.2004"/>
    <w:p>
      <w:pPr>
        <w:pStyle w:val="Bibliography"/>
      </w:pPr>
      <w:r>
        <w:t xml:space="preserve">Yu, Pao-Shan, Tao-Chang Yang, and Chin-Sheng Lin. 2004.</w:t>
      </w:r>
      <w:r>
        <w:t xml:space="preserve"> </w:t>
      </w:r>
      <w:r>
        <w:t xml:space="preserve">“</w:t>
      </w:r>
      <w:r>
        <w:t xml:space="preserve">Regional rainfall intensity formulas based on scaling property of rainfall</w:t>
      </w:r>
      <w:r>
        <w:t xml:space="preserve">.”</w:t>
      </w:r>
      <w:r>
        <w:t xml:space="preserve"> </w:t>
      </w:r>
      <w:r>
        <w:rPr>
          <w:i/>
          <w:iCs/>
        </w:rPr>
        <w:t xml:space="preserve">Journal of Hydrology</w:t>
      </w:r>
      <w:r>
        <w:t xml:space="preserve"> </w:t>
      </w:r>
      <w:r>
        <w:t xml:space="preserve">295 (1-4): 108–23.</w:t>
      </w:r>
      <w:r>
        <w:t xml:space="preserve"> </w:t>
      </w:r>
      <w:hyperlink r:id="rId122">
        <w:r>
          <w:rPr>
            <w:rStyle w:val="Hyperlink"/>
          </w:rPr>
          <w:t xml:space="preserve">https://doi.org/10.1016/j.jhydrol.2004.03.003</w:t>
        </w:r>
      </w:hyperlink>
      <w: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6" Target="https://doi.org/10.1002/2017wr022231" TargetMode="External" /><Relationship Type="http://schemas.openxmlformats.org/officeDocument/2006/relationships/hyperlink" Id="rId114" Target="https://doi.org/10.1002/hyp.11516" TargetMode="External" /><Relationship Type="http://schemas.openxmlformats.org/officeDocument/2006/relationships/hyperlink" Id="rId120" Target="https://doi.org/10.1002/joc.6631" TargetMode="External" /><Relationship Type="http://schemas.openxmlformats.org/officeDocument/2006/relationships/hyperlink" Id="rId116" Target="https://doi.org/10.1002/joc.8330" TargetMode="External" /><Relationship Type="http://schemas.openxmlformats.org/officeDocument/2006/relationships/hyperlink" Id="rId33" Target="https://doi.org/10.1007/s00477-023-02546-6" TargetMode="External" /><Relationship Type="http://schemas.openxmlformats.org/officeDocument/2006/relationships/hyperlink" Id="rId44" Target="https://doi.org/10.1007/s11069-004-4550-y" TargetMode="External" /><Relationship Type="http://schemas.openxmlformats.org/officeDocument/2006/relationships/hyperlink" Id="rId42" Target="https://doi.org/10.1007/s11269-020-02667-5" TargetMode="External" /><Relationship Type="http://schemas.openxmlformats.org/officeDocument/2006/relationships/hyperlink" Id="rId118" Target="https://doi.org/10.1007/s11269-022-03194-1" TargetMode="External" /><Relationship Type="http://schemas.openxmlformats.org/officeDocument/2006/relationships/hyperlink" Id="rId50" Target="https://doi.org/10.1007/s13253-010-0023-9" TargetMode="External" /><Relationship Type="http://schemas.openxmlformats.org/officeDocument/2006/relationships/hyperlink" Id="rId62" Target="https://doi.org/10.1016/j.advwatres.2022.104144" TargetMode="External" /><Relationship Type="http://schemas.openxmlformats.org/officeDocument/2006/relationships/hyperlink" Id="rId102" Target="https://doi.org/10.1016/j.ejrh.2021.100811" TargetMode="External" /><Relationship Type="http://schemas.openxmlformats.org/officeDocument/2006/relationships/hyperlink" Id="rId122" Target="https://doi.org/10.1016/j.jhydrol.2004.03.003" TargetMode="External" /><Relationship Type="http://schemas.openxmlformats.org/officeDocument/2006/relationships/hyperlink" Id="rId40" Target="https://doi.org/10.1016/j.jhydrol.2016.06.007" TargetMode="External" /><Relationship Type="http://schemas.openxmlformats.org/officeDocument/2006/relationships/hyperlink" Id="rId58" Target="https://doi.org/10.1016/j.jhydrol.2016.07.002" TargetMode="External" /><Relationship Type="http://schemas.openxmlformats.org/officeDocument/2006/relationships/hyperlink" Id="rId80" Target="https://doi.org/10.1016/j.jhydrol.2018.08.075" TargetMode="External" /><Relationship Type="http://schemas.openxmlformats.org/officeDocument/2006/relationships/hyperlink" Id="rId54" Target="https://doi.org/10.1016/j.jhydrol.2024.130847" TargetMode="External" /><Relationship Type="http://schemas.openxmlformats.org/officeDocument/2006/relationships/hyperlink" Id="rId100" Target="https://doi.org/10.1016/j.jhydrol.2024.131101" TargetMode="External" /><Relationship Type="http://schemas.openxmlformats.org/officeDocument/2006/relationships/hyperlink" Id="rId108" Target="https://doi.org/10.1016/j.wace.2016.07.002" TargetMode="External" /><Relationship Type="http://schemas.openxmlformats.org/officeDocument/2006/relationships/hyperlink" Id="rId64" Target="https://doi.org/10.1016/j.wace.2024.100735" TargetMode="External" /><Relationship Type="http://schemas.openxmlformats.org/officeDocument/2006/relationships/hyperlink" Id="rId46" Target="https://doi.org/10.1016/s0022-1694(96)03086-7" TargetMode="External" /><Relationship Type="http://schemas.openxmlformats.org/officeDocument/2006/relationships/hyperlink" Id="rId92" Target="https://doi.org/10.1029/1998wr900012" TargetMode="External" /><Relationship Type="http://schemas.openxmlformats.org/officeDocument/2006/relationships/hyperlink" Id="rId31" Target="https://doi.org/10.1029/2006wr004911" TargetMode="External" /><Relationship Type="http://schemas.openxmlformats.org/officeDocument/2006/relationships/hyperlink" Id="rId74" Target="https://doi.org/10.1029/2006wr005245" TargetMode="External" /><Relationship Type="http://schemas.openxmlformats.org/officeDocument/2006/relationships/hyperlink" Id="rId98" Target="https://doi.org/10.1029/2018wr022726" TargetMode="External" /><Relationship Type="http://schemas.openxmlformats.org/officeDocument/2006/relationships/hyperlink" Id="rId96" Target="https://doi.org/10.1029/2018wr022732" TargetMode="External" /><Relationship Type="http://schemas.openxmlformats.org/officeDocument/2006/relationships/hyperlink" Id="rId72" Target="https://doi.org/10.1029/93wr00395" TargetMode="External" /><Relationship Type="http://schemas.openxmlformats.org/officeDocument/2006/relationships/hyperlink" Id="rId90" Target="https://doi.org/10.1029/97wr02006" TargetMode="External" /><Relationship Type="http://schemas.openxmlformats.org/officeDocument/2006/relationships/hyperlink" Id="rId68" Target="https://doi.org/10.1029/jd095id03p01999" TargetMode="External" /><Relationship Type="http://schemas.openxmlformats.org/officeDocument/2006/relationships/hyperlink" Id="rId86" Target="https://doi.org/10.1029/wr004i005p00909" TargetMode="External" /><Relationship Type="http://schemas.openxmlformats.org/officeDocument/2006/relationships/hyperlink" Id="rId82" Target="https://doi.org/10.1029/wr021i008p01233" TargetMode="External" /><Relationship Type="http://schemas.openxmlformats.org/officeDocument/2006/relationships/hyperlink" Id="rId104" Target="https://doi.org/10.1061/jhyeff.heeng-5934" TargetMode="External" /><Relationship Type="http://schemas.openxmlformats.org/officeDocument/2006/relationships/hyperlink" Id="rId60" Target="https://doi.org/10.1080/02626667.2023.2224002" TargetMode="External" /><Relationship Type="http://schemas.openxmlformats.org/officeDocument/2006/relationships/hyperlink" Id="rId52" Target="https://doi.org/10.1088/1748-9326/ab370a" TargetMode="External" /><Relationship Type="http://schemas.openxmlformats.org/officeDocument/2006/relationships/hyperlink" Id="rId38" Target="https://doi.org/10.1088/1748-9326/abd4ab" TargetMode="External" /><Relationship Type="http://schemas.openxmlformats.org/officeDocument/2006/relationships/hyperlink" Id="rId84" Target="https://doi.org/10.1175/1520-0477(1986)067&lt;0021:sisfas&gt;2.0.co;2" TargetMode="External" /><Relationship Type="http://schemas.openxmlformats.org/officeDocument/2006/relationships/hyperlink" Id="rId88" Target="https://doi.org/10.1175/jamc-d-20-0094.1" TargetMode="External" /><Relationship Type="http://schemas.openxmlformats.org/officeDocument/2006/relationships/hyperlink" Id="rId27" Target="https://doi.org/10.1590/1678-4324-2022210694" TargetMode="External" /><Relationship Type="http://schemas.openxmlformats.org/officeDocument/2006/relationships/hyperlink" Id="rId29"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66" Target="https://doi.org/10.2139/ssrn.4749709" TargetMode="External" /><Relationship Type="http://schemas.openxmlformats.org/officeDocument/2006/relationships/hyperlink" Id="rId110" Target="https://doi.org/10.2166/wcc.2021.241" TargetMode="External" /><Relationship Type="http://schemas.openxmlformats.org/officeDocument/2006/relationships/hyperlink" Id="rId94" Target="https://doi.org/10.2166/wst.1998.0425" TargetMode="External" /><Relationship Type="http://schemas.openxmlformats.org/officeDocument/2006/relationships/hyperlink" Id="rId56" Target="https://doi.org/10.5194/egusphere-egu24-19552" TargetMode="External" /><Relationship Type="http://schemas.openxmlformats.org/officeDocument/2006/relationships/hyperlink" Id="rId70" Target="https://doi.org/10.5194/hess-21-5823-2017" TargetMode="External" /><Relationship Type="http://schemas.openxmlformats.org/officeDocument/2006/relationships/hyperlink" Id="rId78" Target="https://doi.org/10.5194/hess-23-4851-2019" TargetMode="External" /><Relationship Type="http://schemas.openxmlformats.org/officeDocument/2006/relationships/hyperlink" Id="rId112" Target="https://doi.org/10.5194/hess-28-391-2024" TargetMode="External" /><Relationship Type="http://schemas.openxmlformats.org/officeDocument/2006/relationships/hyperlink" Id="rId106" Target="https://doi.org/10.5194/nhess-18-1849-2018" TargetMode="External" /><Relationship Type="http://schemas.openxmlformats.org/officeDocument/2006/relationships/hyperlink" Id="rId48" Target="https://doi.org/10.5194/nhess-2018-290" TargetMode="External" /><Relationship Type="http://schemas.openxmlformats.org/officeDocument/2006/relationships/hyperlink" Id="rId23" Target="https://www.itia.ntua.gr/en/softinfo/3/"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2017wr022231" TargetMode="External" /><Relationship Type="http://schemas.openxmlformats.org/officeDocument/2006/relationships/hyperlink" Id="rId114" Target="https://doi.org/10.1002/hyp.11516" TargetMode="External" /><Relationship Type="http://schemas.openxmlformats.org/officeDocument/2006/relationships/hyperlink" Id="rId120" Target="https://doi.org/10.1002/joc.6631" TargetMode="External" /><Relationship Type="http://schemas.openxmlformats.org/officeDocument/2006/relationships/hyperlink" Id="rId116" Target="https://doi.org/10.1002/joc.8330" TargetMode="External" /><Relationship Type="http://schemas.openxmlformats.org/officeDocument/2006/relationships/hyperlink" Id="rId33" Target="https://doi.org/10.1007/s00477-023-02546-6" TargetMode="External" /><Relationship Type="http://schemas.openxmlformats.org/officeDocument/2006/relationships/hyperlink" Id="rId44" Target="https://doi.org/10.1007/s11069-004-4550-y" TargetMode="External" /><Relationship Type="http://schemas.openxmlformats.org/officeDocument/2006/relationships/hyperlink" Id="rId42" Target="https://doi.org/10.1007/s11269-020-02667-5" TargetMode="External" /><Relationship Type="http://schemas.openxmlformats.org/officeDocument/2006/relationships/hyperlink" Id="rId118" Target="https://doi.org/10.1007/s11269-022-03194-1" TargetMode="External" /><Relationship Type="http://schemas.openxmlformats.org/officeDocument/2006/relationships/hyperlink" Id="rId50" Target="https://doi.org/10.1007/s13253-010-0023-9" TargetMode="External" /><Relationship Type="http://schemas.openxmlformats.org/officeDocument/2006/relationships/hyperlink" Id="rId62" Target="https://doi.org/10.1016/j.advwatres.2022.104144" TargetMode="External" /><Relationship Type="http://schemas.openxmlformats.org/officeDocument/2006/relationships/hyperlink" Id="rId102" Target="https://doi.org/10.1016/j.ejrh.2021.100811" TargetMode="External" /><Relationship Type="http://schemas.openxmlformats.org/officeDocument/2006/relationships/hyperlink" Id="rId122" Target="https://doi.org/10.1016/j.jhydrol.2004.03.003" TargetMode="External" /><Relationship Type="http://schemas.openxmlformats.org/officeDocument/2006/relationships/hyperlink" Id="rId40" Target="https://doi.org/10.1016/j.jhydrol.2016.06.007" TargetMode="External" /><Relationship Type="http://schemas.openxmlformats.org/officeDocument/2006/relationships/hyperlink" Id="rId58" Target="https://doi.org/10.1016/j.jhydrol.2016.07.002" TargetMode="External" /><Relationship Type="http://schemas.openxmlformats.org/officeDocument/2006/relationships/hyperlink" Id="rId80" Target="https://doi.org/10.1016/j.jhydrol.2018.08.075" TargetMode="External" /><Relationship Type="http://schemas.openxmlformats.org/officeDocument/2006/relationships/hyperlink" Id="rId54" Target="https://doi.org/10.1016/j.jhydrol.2024.130847" TargetMode="External" /><Relationship Type="http://schemas.openxmlformats.org/officeDocument/2006/relationships/hyperlink" Id="rId100" Target="https://doi.org/10.1016/j.jhydrol.2024.131101" TargetMode="External" /><Relationship Type="http://schemas.openxmlformats.org/officeDocument/2006/relationships/hyperlink" Id="rId108" Target="https://doi.org/10.1016/j.wace.2016.07.002" TargetMode="External" /><Relationship Type="http://schemas.openxmlformats.org/officeDocument/2006/relationships/hyperlink" Id="rId64" Target="https://doi.org/10.1016/j.wace.2024.100735" TargetMode="External" /><Relationship Type="http://schemas.openxmlformats.org/officeDocument/2006/relationships/hyperlink" Id="rId46" Target="https://doi.org/10.1016/s0022-1694(96)03086-7" TargetMode="External" /><Relationship Type="http://schemas.openxmlformats.org/officeDocument/2006/relationships/hyperlink" Id="rId92" Target="https://doi.org/10.1029/1998wr900012" TargetMode="External" /><Relationship Type="http://schemas.openxmlformats.org/officeDocument/2006/relationships/hyperlink" Id="rId31" Target="https://doi.org/10.1029/2006wr004911" TargetMode="External" /><Relationship Type="http://schemas.openxmlformats.org/officeDocument/2006/relationships/hyperlink" Id="rId74" Target="https://doi.org/10.1029/2006wr005245" TargetMode="External" /><Relationship Type="http://schemas.openxmlformats.org/officeDocument/2006/relationships/hyperlink" Id="rId98" Target="https://doi.org/10.1029/2018wr022726" TargetMode="External" /><Relationship Type="http://schemas.openxmlformats.org/officeDocument/2006/relationships/hyperlink" Id="rId96" Target="https://doi.org/10.1029/2018wr022732" TargetMode="External" /><Relationship Type="http://schemas.openxmlformats.org/officeDocument/2006/relationships/hyperlink" Id="rId72" Target="https://doi.org/10.1029/93wr00395" TargetMode="External" /><Relationship Type="http://schemas.openxmlformats.org/officeDocument/2006/relationships/hyperlink" Id="rId90" Target="https://doi.org/10.1029/97wr02006" TargetMode="External" /><Relationship Type="http://schemas.openxmlformats.org/officeDocument/2006/relationships/hyperlink" Id="rId68" Target="https://doi.org/10.1029/jd095id03p01999" TargetMode="External" /><Relationship Type="http://schemas.openxmlformats.org/officeDocument/2006/relationships/hyperlink" Id="rId86" Target="https://doi.org/10.1029/wr004i005p00909" TargetMode="External" /><Relationship Type="http://schemas.openxmlformats.org/officeDocument/2006/relationships/hyperlink" Id="rId82" Target="https://doi.org/10.1029/wr021i008p01233" TargetMode="External" /><Relationship Type="http://schemas.openxmlformats.org/officeDocument/2006/relationships/hyperlink" Id="rId104" Target="https://doi.org/10.1061/jhyeff.heeng-5934" TargetMode="External" /><Relationship Type="http://schemas.openxmlformats.org/officeDocument/2006/relationships/hyperlink" Id="rId60" Target="https://doi.org/10.1080/02626667.2023.2224002" TargetMode="External" /><Relationship Type="http://schemas.openxmlformats.org/officeDocument/2006/relationships/hyperlink" Id="rId52" Target="https://doi.org/10.1088/1748-9326/ab370a" TargetMode="External" /><Relationship Type="http://schemas.openxmlformats.org/officeDocument/2006/relationships/hyperlink" Id="rId38" Target="https://doi.org/10.1088/1748-9326/abd4ab" TargetMode="External" /><Relationship Type="http://schemas.openxmlformats.org/officeDocument/2006/relationships/hyperlink" Id="rId84" Target="https://doi.org/10.1175/1520-0477(1986)067&lt;0021:sisfas&gt;2.0.co;2" TargetMode="External" /><Relationship Type="http://schemas.openxmlformats.org/officeDocument/2006/relationships/hyperlink" Id="rId88" Target="https://doi.org/10.1175/jamc-d-20-0094.1" TargetMode="External" /><Relationship Type="http://schemas.openxmlformats.org/officeDocument/2006/relationships/hyperlink" Id="rId27" Target="https://doi.org/10.1590/1678-4324-2022210694" TargetMode="External" /><Relationship Type="http://schemas.openxmlformats.org/officeDocument/2006/relationships/hyperlink" Id="rId29"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66" Target="https://doi.org/10.2139/ssrn.4749709" TargetMode="External" /><Relationship Type="http://schemas.openxmlformats.org/officeDocument/2006/relationships/hyperlink" Id="rId110" Target="https://doi.org/10.2166/wcc.2021.241" TargetMode="External" /><Relationship Type="http://schemas.openxmlformats.org/officeDocument/2006/relationships/hyperlink" Id="rId94" Target="https://doi.org/10.2166/wst.1998.0425" TargetMode="External" /><Relationship Type="http://schemas.openxmlformats.org/officeDocument/2006/relationships/hyperlink" Id="rId56" Target="https://doi.org/10.5194/egusphere-egu24-19552" TargetMode="External" /><Relationship Type="http://schemas.openxmlformats.org/officeDocument/2006/relationships/hyperlink" Id="rId70" Target="https://doi.org/10.5194/hess-21-5823-2017" TargetMode="External" /><Relationship Type="http://schemas.openxmlformats.org/officeDocument/2006/relationships/hyperlink" Id="rId78" Target="https://doi.org/10.5194/hess-23-4851-2019" TargetMode="External" /><Relationship Type="http://schemas.openxmlformats.org/officeDocument/2006/relationships/hyperlink" Id="rId112" Target="https://doi.org/10.5194/hess-28-391-2024" TargetMode="External" /><Relationship Type="http://schemas.openxmlformats.org/officeDocument/2006/relationships/hyperlink" Id="rId106" Target="https://doi.org/10.5194/nhess-18-1849-2018" TargetMode="External" /><Relationship Type="http://schemas.openxmlformats.org/officeDocument/2006/relationships/hyperlink" Id="rId48" Target="https://doi.org/10.5194/nhess-2018-290" TargetMode="External" /><Relationship Type="http://schemas.openxmlformats.org/officeDocument/2006/relationships/hyperlink" Id="rId23" Target="https://www.itia.ntua.gr/en/softinfo/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2025-09-19T14:28:57Z</dcterms:created>
  <dcterms:modified xsi:type="dcterms:W3CDTF">2025-09-19T14:28:57Z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ocite">
    <vt:lpwstr>@*</vt:lpwstr>
  </property>
  <property fmtid="{D5CDD505-2E9C-101B-9397-08002B2CF9AE}" pid="12" name="toc-title">
    <vt:lpwstr>Table of contents</vt:lpwstr>
  </property>
</Properties>
</file>