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 temporal das chuvas intensas</w:t>
      </w:r>
    </w:p>
    <w:p>
      <w:pPr>
        <w:pStyle w:val="Author"/>
      </w:pPr>
      <w:r>
        <w:t xml:space="preserve">Dirceu S. Reis Jr.</w:t>
      </w:r>
    </w:p>
    <w:bookmarkStart w:id="26" w:name="sec.desagregacao"/>
    <w:p>
      <w:pPr>
        <w:pStyle w:val="Heading2"/>
      </w:pPr>
      <w:r>
        <w:t xml:space="preserve">1 Desagregação Temporal</w:t>
      </w:r>
    </w:p>
    <w:p>
      <w:pPr>
        <w:pStyle w:val="FirstParagraph"/>
      </w:pPr>
      <w:r>
        <w:t xml:space="preserve">A desagregação temporal é a principal resposta a essa assimetria. O objetivo não é apenas</w:t>
      </w:r>
      <w:r>
        <w:t xml:space="preserve"> </w:t>
      </w:r>
      <w:r>
        <w:t xml:space="preserve">“quebrar”</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(Bartlett–Lewis, Neyman–Scott, LetItRain/Hyetos)</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Técnicas de Regionalização e Modelagem Espacial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 Abreu et al., 2022).</w:t>
      </w:r>
    </w:p>
    <w:p>
      <w:pPr>
        <w:pStyle w:val="BodyText"/>
      </w:pPr>
      <w:r>
        <w:t xml:space="preserve">No Brasil, o método que relaciona chuvas de diferentes durações (método RRDD) tornou-se uma das principais técnicas de desagregação diária em subdiária. Seu funcionamento baseia-se em coeficientes de desagregação</w:t>
      </w:r>
      <w:r>
        <w:t xml:space="preserve"> </w:t>
      </w:r>
      <m:oMath>
        <m:r>
          <m:t>C</m:t>
        </m:r>
        <m:r>
          <m:t>D</m:t>
        </m:r>
        <m:r>
          <m:t>τ</m:t>
        </m:r>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τ</m:t>
        </m:r>
        <m:r>
          <m:rPr>
            <m:sty m:val="p"/>
          </m:rPr>
          <m:t>=</m:t>
        </m:r>
        <m:r>
          <m:t>1</m:t>
        </m:r>
        <m:r>
          <m:t>h</m:t>
        </m:r>
      </m:oMath>
      <w:r>
        <w:t xml:space="preserve"> </w:t>
      </w:r>
      <w:r>
        <w:t xml:space="preserve">por:</w:t>
      </w:r>
    </w:p>
    <w:p>
      <w:pPr>
        <w:pStyle w:val="BodyText"/>
      </w:pPr>
      <m:oMathPara>
        <m:oMathParaPr>
          <m:jc m:val="center"/>
        </m:oMathParaPr>
        <m:oMath>
          <m:r>
            <m:t>P</m:t>
          </m:r>
          <m:r>
            <m:t>τ</m:t>
          </m:r>
          <m:d>
            <m:dPr>
              <m:begChr m:val="("/>
              <m:endChr m:val=")"/>
              <m:sepChr m:val=""/>
              <m:grow/>
            </m:dPr>
            <m:e>
              <m:r>
                <m:t>T</m:t>
              </m:r>
            </m:e>
          </m:d>
          <m:r>
            <m:rPr>
              <m:sty m:val="p"/>
            </m:rPr>
            <m:t>=</m:t>
          </m:r>
          <m:r>
            <m:t>C</m:t>
          </m:r>
          <m:r>
            <m:t>D</m:t>
          </m:r>
          <m:r>
            <m:t>τ</m:t>
          </m:r>
          <m:r>
            <m:rPr>
              <m:sty m:val="p"/>
            </m:rPr>
            <m:t>×</m:t>
          </m:r>
          <m:r>
            <m:t>P</m:t>
          </m:r>
          <m:r>
            <m:t>24</m:t>
          </m:r>
          <m:r>
            <m:t>h</m:t>
          </m:r>
          <m:d>
            <m:dPr>
              <m:begChr m:val="("/>
              <m:endChr m:val=")"/>
              <m:sepChr m:val=""/>
              <m:grow/>
            </m:dPr>
            <m:e>
              <m:r>
                <m:t>T</m:t>
              </m:r>
            </m:e>
          </m:d>
          <m:r>
            <m:rPr>
              <m:sty m:val="p"/>
            </m:rPr>
            <m:t>,</m:t>
          </m:r>
          <m:r>
            <m:t>τ</m:t>
          </m:r>
          <m:r>
            <m:rPr>
              <m:sty m:val="p"/>
            </m:rPr>
            <m:t>∈</m:t>
          </m:r>
          <m:r>
            <m:t>6</m:t>
          </m:r>
          <m:r>
            <m:t>m</m:t>
          </m:r>
          <m:r>
            <m:t>i</m:t>
          </m:r>
          <m:r>
            <m:t>n</m:t>
          </m:r>
          <m:r>
            <m:rPr>
              <m:sty m:val="p"/>
            </m:rPr>
            <m:t>,</m:t>
          </m:r>
          <m:r>
            <m:t>1</m:t>
          </m:r>
          <m:r>
            <m:t>h</m:t>
          </m:r>
          <m:r>
            <m:rPr>
              <m:sty m:val="p"/>
            </m:rPr>
            <m:t>,</m:t>
          </m:r>
          <m:r>
            <m:t>2</m:t>
          </m:r>
          <m:r>
            <m:t>h</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 Abreu et al., 2022). No contexto brasileiro, os</w:t>
      </w:r>
      <w:r>
        <w:t xml:space="preserve"> </w:t>
      </w:r>
      <m:oMath>
        <m:r>
          <m:t>C</m:t>
        </m:r>
        <m:r>
          <m:t>D</m:t>
        </m:r>
        <m:r>
          <m:t>τ</m:t>
        </m:r>
      </m:oMath>
      <w:r>
        <w:t xml:space="preserve"> </w:t>
      </w:r>
      <w:r>
        <w:t xml:space="preserve">mais amplamente aplicados foram originalmente estabelecidos pela CETESB (1979). Eles foram obtidos a partir da média de registros subdiários provenientes de pluviógrafos instalados em diversas localidades do país e, por isso, acabaram sendo considerados como coeficientes gerais para todo o território nacional.</w:t>
      </w:r>
    </w:p>
    <w:p>
      <w:pPr>
        <w:pStyle w:val="BodyText"/>
      </w:pPr>
      <w:r>
        <w:t xml:space="preserve">A literatura recente propõe diversas variações e aprimoramentos. Nesse contexto, Abreu et al. (2022) compararam</w:t>
      </w:r>
      <w:r>
        <w:t xml:space="preserve">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(CETESB)</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(estimados posto a posto). A partir deles, construíram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w:t>
      </w:r>
      <w:r>
        <w:t xml:space="preserve"> </w:t>
      </w:r>
      <m:oMath>
        <m:r>
          <m:t>C</m:t>
        </m:r>
        <m:r>
          <m:t>D</m:t>
        </m:r>
        <m:r>
          <m:t>s</m:t>
        </m:r>
      </m:oMath>
      <w:r>
        <w:t xml:space="preserve">.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aplicaram a técnica de interpolação por ponderação do inverso da distância (Inverse Distance Weighting – IDW).</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foi aplicado na divisão do Brasil em oito microclimas homogêneos, a partir de dados de 98 postos pluviográficos previamente analisados por Pfafstetter (1956; 1982). O estudo focou nas alturas máximas para 24h e 1h, representadas em papel de probabilidade de Hershfield e Wilson. Observou-se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 (2016) revisitaram e atualizaram o zoneamento de Torrico com base em cerca de mil equações IDF disponíveis no Brasil. Consideraram-se apenas ajustes provenientes de pluviogramas (descartando relações gerais entre durações) e, havendo múltiplas IDFs por localidade, optou-se pela mais recente. O período de retorno de referência para comparação foi T=10 anos, usual em macrodrenagem urbana. No processo de rezoneamento, as intensidades e as relações entre durações obtidas a partir das IDF atuais foram comparadas às estimadas por Torrico (1974) com ênfase em</w:t>
      </w:r>
      <w:r>
        <w:t xml:space="preserve"> </w:t>
      </w:r>
      <m:oMath>
        <m:r>
          <m:t>r</m:t>
        </m:r>
        <m:r>
          <m:t>1</m:t>
        </m:r>
        <m:r>
          <m:t>h</m:t>
        </m:r>
        <m:r>
          <m:rPr>
            <m:sty m:val="p"/>
          </m:rPr>
          <m:t>,</m:t>
        </m:r>
        <m:r>
          <m:t>24</m:t>
        </m:r>
        <m:r>
          <m:t>h</m:t>
        </m:r>
      </m:oMath>
      <w:r>
        <w:t xml:space="preserve">, apoiando-se em mapas climáticos nacionais para áreas com baixa densidade de dados e verificando a homogeneidade intra-zona por estatísticas descritivas. O resultado foi um conjunto de novas isozonas e coeficientes regionais de desagregação</w:t>
      </w:r>
      <w:r>
        <w:t xml:space="preserve"> </w:t>
      </w:r>
      <m:oMath>
        <m:r>
          <m:t>r</m:t>
        </m:r>
        <m:r>
          <m:t>τ</m:t>
        </m:r>
        <m:r>
          <m:t>h</m:t>
        </m:r>
        <m:r>
          <m:rPr>
            <m:sty m:val="p"/>
          </m:rPr>
          <m:t>,</m:t>
        </m:r>
        <m:r>
          <m:t>24</m:t>
        </m:r>
        <m:r>
          <m:t>h</m:t>
        </m:r>
      </m:oMath>
      <w:r>
        <w:t xml:space="preserve">, para T=10 anos.</w:t>
      </w:r>
    </w:p>
    <w:p>
      <w:pPr>
        <w:pStyle w:val="BodyText"/>
      </w:pPr>
      <w:r>
        <w:t xml:space="preserve">Além de coeficientes e isozonas, há uma vertente importante de equações paramétricas DDF/IDF. Baldassarre et al. (2006) realizaram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foram extrapoladas para estimar as profundidades de precipitação de projeto para durações mais curtas, especificamente 15, 20, 30 e 45 minutos. Para avaliar a precisão dessas estimativas extrapoladas, elas foram comparadas com os quantis de precipitação obtidos pelo ajuste direto da distribuição de Gumbel aos dados observados em cada duração. Embora a distribuição de Gumbel tenha sido considerado um ajuste aceitável para os dados utilizados no estudo e tenha tido sua adequação verificada por testes de L-momentos e Kolmogorov-Smirnov, o artigo menciona que estudos recentes apontaram que a distribuição de Gumbel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 (Baldassarre et al. 2006)</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“posições”</w:t>
      </w:r>
      <w:r>
        <w:t xml:space="preserve"> </w:t>
      </w:r>
      <w:r>
        <w:t xml:space="preserve">no tempo (e no espaço). Em particular, o Processo de Poisson é atrativo porque suas hipóteses de estacionariedade, não-multiplicidade e independência, isto é,</w:t>
      </w:r>
      <w:r>
        <w:t xml:space="preserve"> </w:t>
      </w:r>
      <m:oMath>
        <m:r>
          <m:t>P</m:t>
        </m:r>
        <m:r>
          <m:rPr>
            <m:sty m:val="p"/>
          </m:rPr>
          <m:t>{</m:t>
        </m:r>
        <m:r>
          <m:rPr>
            <m:nor/>
            <m:sty m:val="p"/>
          </m:rPr>
          <m:t>evento em </m:t>
        </m:r>
        <m:d>
          <m:dPr>
            <m:begChr m:val="("/>
            <m:endChr m:val=")"/>
            <m:sepChr m:val=""/>
            <m:grow/>
          </m:dPr>
          <m:e>
            <m:r>
              <m:t>t</m:t>
            </m:r>
            <m:r>
              <m:rPr>
                <m:sty m:val="p"/>
              </m:rPr>
              <m:t>,</m:t>
            </m:r>
            <m:r>
              <m:t>t</m:t>
            </m:r>
            <m:r>
              <m:rPr>
                <m:sty m:val="p"/>
              </m:rPr>
              <m:t>+</m:t>
            </m:r>
            <m:r>
              <m:t>Δ</m:t>
            </m:r>
            <m:r>
              <m:t>t</m:t>
            </m:r>
          </m:e>
        </m:d>
        <m:r>
          <m:rPr>
            <m:sty m:val="p"/>
          </m:rPr>
          <m:t>}</m:t>
        </m:r>
        <m:r>
          <m:rPr>
            <m:sty m:val="p"/>
          </m:rPr>
          <m:t>≈</m:t>
        </m:r>
        <m:r>
          <m:t>λ</m:t>
        </m:r>
        <m:r>
          <m:t> </m:t>
        </m:r>
        <m:r>
          <m:t>Δ</m:t>
        </m:r>
        <m:r>
          <m:t>t</m:t>
        </m:r>
      </m:oMath>
      <w:r>
        <w:t xml:space="preserve">, probabilidade desprezível de múltiplas chegadas em</w:t>
      </w:r>
      <w:r>
        <w:t xml:space="preserve"> </w:t>
      </w:r>
      <m:oMath>
        <m:r>
          <m:t>Δ</m:t>
        </m:r>
        <m:r>
          <m:t>t</m:t>
        </m:r>
      </m:oMath>
      <w:r>
        <w:t xml:space="preserve"> </w:t>
      </w:r>
      <w:r>
        <w:t xml:space="preserve">e independência entre contagens em intervalos disjuntos, são compatíveis com propriedades essenciais da precipitação.</w:t>
      </w:r>
    </w:p>
    <w:p>
      <w:pPr>
        <w:pStyle w:val="BodyText"/>
      </w:pPr>
      <w:r>
        <w:t xml:space="preserve">Dentro desse arcabouço, consolidaram-se duas famílias: (i) modelos simples baseados em Poisson (p.ex., Poisson Ruído Branco e Poisson de Pulsos Retangulares), que representam a chuva como uma sequência de pulsos com alturas e durações aleatórias; e (ii) processos pontuais de agrupamento, notadamente Neyman–Scott e Bartlett–Lewis, capazes de reproduzir estatísticas de primeira e segunda ordem em ampla faixa de agregações (Rodriguez-Iturbe et al., 1987). A distinção estrutural entre os dois últimos é sutil: no Neyman–Scott as células são deslocadas do instante de origem do evento; no Bartlett–Lewis há uma célula no próprio ponto de origem do evento. Em avaliações clássicas (Denver/Boston), ambos reproduzem bem média, variância e autocorrelação, mas tendem a distorcer a proporção de tempos secos se mal calibrados (Rodriguez-Iturbe et al., 1987).</w:t>
      </w:r>
    </w:p>
    <w:p>
      <w:pPr>
        <w:pStyle w:val="BodyText"/>
      </w:pPr>
      <w:r>
        <w:t xml:space="preserve">O modelo de Pulsos Retangulares de Bartlett–Lewis original (Rodriguez-Iturbe et al., 1987) baseia-se nas seguintes hipóteses: (1) as origens dos episódios chuvosos</w:t>
      </w:r>
      <w:r>
        <w:t xml:space="preserve"> </w:t>
      </w:r>
      <m:oMath>
        <m:sSub>
          <m:e>
            <m:r>
              <m:t>t</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t</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(p.ex.,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Rodriguez-Iturbe et al. (1988) propuseram o Modified Bartlett–Lewis Rectangular Pulse Model (MBLPRM). Na versão modificada,</w:t>
      </w:r>
      <w:r>
        <w:t xml:space="preserve"> </w:t>
      </w:r>
      <m:oMath>
        <m:r>
          <m:t>η</m:t>
        </m:r>
      </m:oMath>
      <w:r>
        <w:t xml:space="preserve"> </w:t>
      </w:r>
      <w:r>
        <w:t xml:space="preserve">varia aleatoriamente de episódio para episódio segundo uma distribuição Gama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passam a variar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 (2001) implementam no</w:t>
      </w:r>
      <w:r>
        <w:t xml:space="preserve"> </w:t>
      </w:r>
      <w:hyperlink r:id="rId23">
        <w:r>
          <w:rPr>
            <w:rStyle w:val="Hyperlink"/>
          </w:rPr>
          <w:t xml:space="preserve">HYETOS</w:t>
        </w:r>
      </w:hyperlink>
      <w:r>
        <w:t xml:space="preserve"> </w:t>
      </w:r>
      <w:r>
        <w:t xml:space="preserve"> </w:t>
      </w:r>
      <w:r>
        <w:t xml:space="preserve">uma desagregação condicionada acoplada ao processo de Bartlett–Lewis. O procedimento inicia gerando, via Bartlett–Lewis,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 𝑑𝑎</w:t>
      </w:r>
      <w:r>
        <w:t xml:space="preserve"> </w:t>
      </w:r>
      <w:r>
        <w:t xml:space="preserve">, o algoritmo repete a amostragem, e,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 (2018) generalizam esse arcabouço no HyetosMinute, estendendo a desagregação para escalas sub-horárias até 1 minuto e incorporando variantes do Bartlett–Lewis que aumentam a variabilidade intradiária, como o modelo com parâmetro de intensidade randomizado e a versão que impõe dependência entre intensidade e duração da célula. A plataforma também integra um algoritmo de estimação EAS2 (</w:t>
      </w:r>
      <w:r>
        <w:rPr>
          <w:i/>
          <w:iCs/>
        </w:rPr>
        <w:t xml:space="preserve">Evolutionary Annealing–Simplex</w:t>
      </w:r>
      <w:r>
        <w:t xml:space="preserve">) para ajuste de parâmetros do Bartlett–Lewis,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 Em aplicações recentes, Tayşi &amp; Özger (2022) utilizaram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 (2024) propuseram o Modelagem por Processos Pontuais e Desagregação da Precipitação (Point-Process Modelling and Rainfall Disaggregation – PPMRD) que utiliza diversos modelos de processo pontual e procedimentos de ajuste, baseados no trabalho de Kossieris et al. (2018), para gerar e desagregar dados de precipitação. A premissa é que um gerador (processo pontual) bem parametrizado reproduz as estatísticas observadas em um conjunto de escalas</w:t>
      </w:r>
      <w:r>
        <w:t xml:space="preserve"> </w:t>
      </w:r>
      <w:r>
        <w:t xml:space="preserve">“verificadas”</w:t>
      </w:r>
      <w:r>
        <w:t xml:space="preserve">;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a</m:t>
        </m:r>
      </m:oMath>
      <w:r>
        <w:t xml:space="preserve">, BLRP6x com dependência intensidade–duração, BLRP7 com intensidade Gama, NSRP5, NSRP6) ajustados mensalmente por otimização global, minimizando erros relativos entre estatísticas simuladas e observadas em várias escalas (média, variância, probabilidade de seco, assimetria) e avaliando extremos via Gumbel. O gerador é escolhido pelo desempenho agregado nessas métricas. A desagregação no PPMRD generaliza o esquema tipo HYETOS: em vez de</w:t>
      </w:r>
      <w:r>
        <w:t xml:space="preserve"> </w:t>
      </w:r>
      <w:r>
        <w:t xml:space="preserve">“dias úmidos”</w:t>
      </w:r>
      <w:r>
        <w:t xml:space="preserve">, trabalha-se com sequências úmidas com nível superior (p.ex.,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 ensembles é recomendado para lidar com a incerteza inerente ao caráter estocástico e aos efeitos de fronteira impostos pela série superior.</w:t>
      </w:r>
    </w:p>
    <w:p>
      <w:pPr>
        <w:pStyle w:val="BodyText"/>
      </w:pPr>
      <w:r>
        <w:t xml:space="preserve">Em paralelo, Vorobevskii et al. (2023) compararam um modelo condicional (WayDown, que conserva a soma diária via cadeia de Markov e cópulas) com um gerador incondicional (LetItRain, duplo Poisson). WayDown é um modelo condicional de desagregação de precipitação, disponibilizado como pacote R</w:t>
      </w:r>
      <w:r>
        <w:t xml:space="preserve">.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 Dados os intervalos</w:t>
      </w:r>
      <w:r>
        <w:t xml:space="preserve"> </w:t>
      </w:r>
      <w:r>
        <w:t xml:space="preserve">“úmidos”</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(lag-1)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~30 tentativas sem sucesso, uma nova série binária é amostrada e o processo recomeça. Para consistência entre dias, o último valor do dia anterior é considerado ao amostrar o início do dia corrente (transição evento-a-evento). O método foi testado com resoluções de 1, 5, 10 e 30 min, com bom desempenho computacional.</w:t>
      </w:r>
    </w:p>
    <w:p>
      <w:pPr>
        <w:pStyle w:val="BodyText"/>
      </w:pPr>
      <w:r>
        <w:t xml:space="preserve">O LetItRain</w:t>
      </w:r>
      <w:r>
        <w:t xml:space="preserve"> </w:t>
      </w:r>
      <w:r>
        <w:t xml:space="preserve"> </w:t>
      </w:r>
      <w:r>
        <w:t xml:space="preserve">é um gerador incondicional de séries de precipitação que estende os modelos de clusters de Poisson (Neyman–Scott/Bartlett–Lewis).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1ª a 3ª ordem das séries observadas; (ii) relação inversa entre duração e intensidade da célula, reforçando picos de curta duração; (iii) intensidade celular com distribuição Gama; (iv) dois algoritmos de embaralhamento (</w:t>
      </w:r>
      <w:r>
        <w:t xml:space="preserve">“shuffling”</w:t>
      </w:r>
      <w:r>
        <w:t xml:space="preserve">)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(p.ex., média–variância, média–proporção úmida; e relações entre variâncias/proporções em diferentes agregações) são ajustadas; calcula-se um fator de mudança para a média diária (razão futuro/histórico), usado em conjunto com um gerador climático diário (p.ex., LARS-WG)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observaram que o WayDown tende a reproduzir melhor a mediana das estatísticas, enquanto o LetItRain fornece maior variabilidade de cenários. Ambos podem superestimar extremos até certo limiar e subestimar acima dele, explicitando o trade-off entre conservação de massa diária e liberdade estatística intradiária.</w:t>
      </w:r>
    </w:p>
    <w:bookmarkEnd w:id="24"/>
    <w:bookmarkStart w:id="25"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consolidou-se com Mandelbrot &amp; Wallis (1968), ao reinterpretar o efeito de Hurst como auto-semelhança estatística: reescalando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o estatístico</w:t>
      </w:r>
      <w:r>
        <w:t xml:space="preserve"> </w:t>
      </w:r>
      <w:r>
        <w:rPr>
          <w:i/>
          <w:iCs/>
        </w:rPr>
        <w:t xml:space="preserve">rescaled-range</w:t>
      </w:r>
      <w:r>
        <w:t xml:space="preserve"> </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(p.ex., movimento browniano fracionário/ruído fracionário) e implica variabilidade multiescalar persistente.</w:t>
      </w:r>
    </w:p>
    <w:p>
      <w:pPr>
        <w:pStyle w:val="BodyText"/>
      </w:pPr>
      <w:r>
        <w:t xml:space="preserve">Lovejoy &amp; Schertzer (1985) formulam a invariância de escala generalizada (GSI),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 (1986) consolidam a GSI ao mostrar que a anisotropia gravitacional persiste em todas as escalas, de modo que as estruturas tornam-se mais</w:t>
      </w:r>
      <w:r>
        <w:t xml:space="preserve"> </w:t>
      </w:r>
      <w:r>
        <w:t xml:space="preserve">“achatadas”</w:t>
      </w:r>
      <w:r>
        <w:t xml:space="preserve"> </w:t>
      </w:r>
      <w:r>
        <w:t xml:space="preserve">com o aumento de escala, mas nunca estritamente bidimensionais.</w:t>
      </w:r>
    </w:p>
    <w:p>
      <w:pPr>
        <w:pStyle w:val="BodyText"/>
      </w:pPr>
      <w:r>
        <w:t xml:space="preserve">Em hidrologia, essa base foi trazida para a prática por Koutsoyiannis &amp; Foufoula-Georgiou (1993), ao proporem um modelo de escala simples para a intensidade intratempestade que, analítica e empiricamente, reproduz de forma consistente hietogramas de diferentes durações/profundidades com poucos parâmetros. O artigo propõe um modelo de escalonamento para hietogramas de episódios chuvosos em que a intensidade instantânea</w:t>
      </w:r>
      <w:r>
        <w:t xml:space="preserve"> </w:t>
      </w:r>
      <m:oMath>
        <m:r>
          <m:t>s</m:t>
        </m:r>
        <m:d>
          <m:dPr>
            <m:begChr m:val="("/>
            <m:endChr m:val=")"/>
            <m:sepChr m:val=""/>
            <m:grow/>
          </m:dPr>
          <m:e>
            <m:r>
              <m:t>t</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t</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t</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t</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t</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t</m:t>
            </m:r>
            <m:r>
              <m:rPr>
                <m:sty m:val="p"/>
              </m:rPr>
              <m:t>,</m:t>
            </m:r>
            <m:r>
              <m:t>D</m:t>
            </m:r>
          </m:e>
        </m:d>
        <m:r>
          <m:rPr>
            <m:sty m:val="p"/>
          </m:rPr>
          <m:t>=</m:t>
        </m:r>
        <m:nary>
          <m:naryPr>
            <m:chr m:val="∫"/>
            <m:limLoc m:val="subSup"/>
            <m:subHide m:val="off"/>
            <m:supHide m:val="off"/>
          </m:naryPr>
          <m:sub>
            <m:r>
              <m:t>0</m:t>
            </m:r>
          </m:sub>
          <m:sup>
            <m:r>
              <m:t>t</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é constante com</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herdam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vezes uma função de</w:t>
      </w:r>
      <w:r>
        <w:t xml:space="preserve"> </w:t>
      </w:r>
      <m:oMath>
        <m:r>
          <m:t>ρ</m:t>
        </m:r>
        <m:r>
          <m:rPr>
            <m:sty m:val="p"/>
          </m:rPr>
          <m:t>=</m:t>
        </m:r>
        <m:r>
          <m:t>Δ</m:t>
        </m:r>
        <m:r>
          <m:rPr>
            <m:sty m:val="p"/>
          </m:rPr>
          <m:t>/</m:t>
        </m:r>
        <m:r>
          <m:t>D</m:t>
        </m:r>
      </m:oMath>
      <w:r>
        <w:t xml:space="preserve"> </w:t>
      </w:r>
      <w:r>
        <w:t xml:space="preserve">. Desta forma, a autocorrelação dos incrementos depende apenas de</w:t>
      </w:r>
      <w:r>
        <w:t xml:space="preserve"> </w:t>
      </w:r>
      <m:oMath>
        <m:r>
          <m:t>ρ</m:t>
        </m:r>
      </m:oMath>
      <w:r>
        <w:t xml:space="preserve"> </w:t>
      </w:r>
      <w:r>
        <w:t xml:space="preserve">(e do lag normalizado), não de</w:t>
      </w:r>
      <w:r>
        <w:t xml:space="preserve"> </w:t>
      </w:r>
      <m:oMath>
        <m:r>
          <m:t>D</m:t>
        </m:r>
      </m:oMath>
      <w:r>
        <w:t xml:space="preserve"> </w:t>
      </w:r>
      <w:r>
        <w:t xml:space="preserve">nem de</w:t>
      </w:r>
      <w:r>
        <w:t xml:space="preserve"> </w:t>
      </w:r>
      <m:oMath>
        <m:r>
          <m:t>η</m:t>
        </m:r>
      </m:oMath>
      <w:r>
        <w:t xml:space="preserve">. Esse modelo é coerente com as curvas de massa usadas em projeto, ao contrário de modelos estacionários de intensidade, que não capturam essa dependência com a duração.</w:t>
      </w:r>
    </w:p>
    <w:p>
      <w:pPr>
        <w:pStyle w:val="BodyText"/>
      </w:pPr>
      <w:r>
        <w:t xml:space="preserve">Burlando &amp; Rosso (1996) constroem um arcabouço para curvas profundidade–duração–frequência (DDF) a partir da hipótese de invariância de escala. A ideia central é estimar conjuntamente (i) o expoente de escala</w:t>
      </w:r>
      <w:r>
        <w:t xml:space="preserve"> </w:t>
      </w:r>
      <m:oMath>
        <m:r>
          <m:t>n</m:t>
        </m:r>
      </m:oMath>
      <w:r>
        <w:t xml:space="preserve"> </w:t>
      </w:r>
      <w:r>
        <w:t xml:space="preserve">que governa a média e (ii) uma função de dissipação</w:t>
      </w:r>
      <w:r>
        <w:t xml:space="preserve"> </w:t>
      </w:r>
      <m:oMath>
        <m:sSub>
          <m:e>
            <m:r>
              <m:t>ψ</m:t>
            </m:r>
          </m:e>
          <m:sub>
            <m:r>
              <m:t>ζ</m:t>
            </m:r>
          </m:sub>
        </m:sSub>
      </m:oMath>
      <w:r>
        <w:t xml:space="preserve"> </w:t>
      </w:r>
      <w:r>
        <w:t xml:space="preserve">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(wide-sense)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decorre que o coeficiente de variação e, mais geralmente,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n</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n</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reais frequentemente exibem multiescalamento, Burlando &amp; Rosso (1996) introduzem a função de dissipação</w:t>
      </w:r>
      <w:r>
        <w:t xml:space="preserve"> </w:t>
      </w:r>
      <m:oMath>
        <m:sSub>
          <m:e>
            <m:r>
              <m:t>ψ</m:t>
            </m:r>
          </m:e>
          <m:sub>
            <m:r>
              <m:t>ζ</m:t>
            </m:r>
          </m:sub>
        </m:sSub>
      </m:oMath>
      <w:r>
        <w:t xml:space="preserve"> </w:t>
      </w:r>
      <w:r>
        <w:t xml:space="preserve">e especializam o arcabouço com a distribuição lognormal (LN2). Para LN2, os autores demonstram que</w:t>
      </w:r>
      <w:r>
        <w:t xml:space="preserve"> </w:t>
      </w:r>
      <m:oMath>
        <m:sSub>
          <m:e>
            <m:r>
              <m:t>ψ</m:t>
            </m:r>
          </m:e>
          <m:sub>
            <m:r>
              <m:t>ζ</m:t>
            </m:r>
          </m:sub>
        </m:sSub>
      </m:oMath>
      <w:r>
        <w:t xml:space="preserve"> </w:t>
      </w:r>
      <w:r>
        <w:t xml:space="preserve">é convexa (condição necessária à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que implicam uma forma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degenera para a forma de escala simples acima, garantindo consistência. Esses vínculos de escala impõem consistência entre durações, o que é diretamente útil à desagregação temporal.</w:t>
      </w:r>
    </w:p>
    <w:p>
      <w:pPr>
        <w:pStyle w:val="BodyText"/>
      </w:pPr>
      <w:r>
        <w:t xml:space="preserve">Menabde et al. (1997) formalizam a invariância de escala da chuva em termos de leis de potência para segunda ordem e para famílias de momentos. Para um campo unidimensional</w:t>
      </w:r>
      <w:r>
        <w:t xml:space="preserve"> </w:t>
      </w:r>
      <m:oMath>
        <m:r>
          <m:t>R</m:t>
        </m:r>
        <m:d>
          <m:dPr>
            <m:begChr m:val="("/>
            <m:endChr m:val=")"/>
            <m:sepChr m:val=""/>
            <m:grow/>
          </m:dPr>
          <m:e>
            <m:r>
              <m:t>t</m:t>
            </m:r>
          </m:e>
        </m:d>
      </m:oMath>
      <w:r>
        <w:t xml:space="preserve">, assumindo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multiescalamento</w:t>
      </w:r>
      <w:r>
        <w:t xml:space="preserve"> </w:t>
      </w:r>
      <w:r>
        <w:t xml:space="preserve">,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“bruto”</w:t>
      </w:r>
      <w:r>
        <w:t xml:space="preserve">, recomenda-se estimar</w:t>
      </w:r>
      <w:r>
        <w:t xml:space="preserve"> </w:t>
      </w:r>
      <m:oMath>
        <m:r>
          <m:t>ζ</m:t>
        </m:r>
        <m:d>
          <m:dPr>
            <m:begChr m:val="("/>
            <m:endChr m:val=")"/>
            <m:sepChr m:val=""/>
            <m:grow/>
          </m:dPr>
          <m:e>
            <m:r>
              <m:t>q</m:t>
            </m:r>
          </m:e>
        </m:d>
      </m:oMath>
      <w:r>
        <w:t xml:space="preserve"> </w:t>
      </w:r>
      <w:r>
        <w:t xml:space="preserve">em gradientes absolutos ou aplicar um filtro lei-de-potência antes de</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introduzem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a 1 nas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Os parâmetros são estimados via 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(declive) e</w:t>
      </w:r>
      <w:r>
        <w:t xml:space="preserve"> </w:t>
      </w:r>
      <m:oMath>
        <m:sSub>
          <m:e>
            <m:r>
              <m:t>p</m:t>
            </m:r>
          </m:e>
          <m:sub>
            <m:r>
              <m:t>1</m:t>
            </m:r>
          </m:sub>
        </m:sSub>
      </m:oMath>
      <w:r>
        <w:t xml:space="preserve"> </w:t>
      </w:r>
      <w:r>
        <w:t xml:space="preserve">(intercepto).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cascata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condicionada a totais na escala superior por ajuste proporcional; ao contrário das cascatas não-limitadas, dispensa pós-filtragem para corrigir</w:t>
      </w:r>
      <w:r>
        <w:t xml:space="preserve"> </w:t>
      </w:r>
      <m:oMath>
        <m:r>
          <m:t>β</m:t>
        </m:r>
      </m:oMath>
      <w:r>
        <w:t xml:space="preserve">.</w:t>
      </w:r>
    </w:p>
    <w:p>
      <w:pPr>
        <w:pStyle w:val="BodyText"/>
      </w:pPr>
      <w:r>
        <w:t xml:space="preserve">Koutsoyiannis et al. (1998) estabelecem um arcabouço matemático para IDF que separa, de forma teoricamente consistente, a dependência em duração e em frequência. Propõem 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com uma forma parsimoniosa para a componente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Mostram ainda que termos adicionais no denominador são desnecessários</w:t>
      </w:r>
      <w:r>
        <w:t xml:space="preserve"> </w:t>
      </w:r>
      <m:oMath>
        <m:d>
          <m:dPr>
            <m:begChr m:val="("/>
            <m:endChr m:val=")"/>
            <m:sepChr m:val=""/>
            <m:grow/>
          </m:dPr>
          <m:e>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e>
        </m:d>
      </m:oMath>
      <w:r>
        <w:t xml:space="preserve"> </w:t>
      </w:r>
      <w:r>
        <w:t xml:space="preserve">com erro de aproximação pequeno), e que</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deixando toda a dependência de frequência para</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r>
            <m:t>Ξ</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 downscaling 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 (1999) aplicam a hipótese de simples escala à descrição IDF dos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momentos que satisfazem</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localização e escala obedecem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e a relação IDF resultante é</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 downscaling de extremos de durações subdiárias a partir de informação diária, mantendo a consistência entre durações exigida por DDF/IDF baseadas em invariância de escala.</w:t>
      </w:r>
    </w:p>
    <w:p>
      <w:pPr>
        <w:pStyle w:val="BodyText"/>
      </w:pPr>
      <w:r>
        <w:t xml:space="preserve">Consolidando esse avanço, Gupta &amp; Waymire (1999) estabeleceram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(wide sense),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intercepto logarítmico na lei de escala simples e</w:t>
      </w:r>
      <w:r>
        <w:t xml:space="preserve"> </w:t>
      </w:r>
      <m:oMath>
        <m:sSub>
          <m:e>
            <m:r>
              <m:t>θ</m:t>
            </m:r>
          </m:e>
          <m:sub>
            <m:r>
              <m:t>h</m:t>
            </m:r>
          </m:sub>
        </m:sSub>
      </m:oMath>
      <w:r>
        <w:t xml:space="preserve"> </w:t>
      </w:r>
      <w:r>
        <w:t xml:space="preserve">é o expoente de escala. No multiescalamento (wide sense) a relação geral é</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não linear e côncava, capturando a intensificação de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 GEV-scaling (ou GUM/GEV com scaling). Nguyen et al. (1998) 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t xml:space="preserve">“multiscaling”</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 (1998) combinaram GEV e a invariância para estimar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 (Menabde et al., 1999),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(PMW)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r>
        <w:t xml:space="preserve"> </w:t>
      </w:r>
    </w:p>
    <w:p>
      <w:pPr>
        <w:pStyle w:val="BodyText"/>
      </w:pPr>
      <w:r>
        <w:t xml:space="preserve">Borga et al. (2005) aplicam a invariância de escala a séries de máximos anuais de profundidade de chuva em múltiplas durações para derivar uma DDF simples em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onde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simple scaling</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&lt; 60 min, as razões profundidade–duração (t vs. 60 min) são praticamente independentes do período de retorno e da localização, facilitando transferência entre durações e regionalização.</w:t>
      </w:r>
      <w:r>
        <w:t xml:space="preserve"> </w:t>
      </w:r>
    </w:p>
    <w:p>
      <w:pPr>
        <w:pStyle w:val="BodyText"/>
      </w:pPr>
      <w:r>
        <w:t xml:space="preserve">Em contraste com as formulações paramétricas clássicas de IDF e com usos diretos de Gumbel/GEV, Langousis &amp; Veneziano (2007) constroem as curvas IDF a partir de modelos de chuva localmente multifractais, nos quais a dependência em duração e em frequência emerge do próprio gerador estocástico e não é imposta por uma forma IDF pré-definida. A inovação central é a decomposição em processo exterior (escala de</w:t>
      </w:r>
      <w:r>
        <w:t xml:space="preserve"> </w:t>
      </w:r>
      <w:r>
        <w:t xml:space="preserve">“episódio”</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e depois</w:t>
      </w:r>
      <w:r>
        <w:t xml:space="preserve"> </w:t>
      </w:r>
      <w:r>
        <w:t xml:space="preserve">“dar forma”</w:t>
      </w:r>
      <w:r>
        <w:t xml:space="preserve"> </w:t>
      </w:r>
      <w:r>
        <w:t xml:space="preserve">à IDF, os autores estimam os parâmetros</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de</w:t>
      </w:r>
      <w:r>
        <w:t xml:space="preserve"> </w:t>
      </w:r>
      <w:r>
        <w:t xml:space="preserve">“dressing”</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 Diferentemente de abordagens que regionalizam quantis ou ajustam formas IDF por potência, o trabalho apresenta três variantes com crescente parcimônia para o processo exterior: (i)</w:t>
      </w:r>
      <w:r>
        <w:t xml:space="preserve"> </w:t>
      </w:r>
      <w:r>
        <w:t xml:space="preserve">“tempestades”</w:t>
      </w:r>
      <w:r>
        <w:t xml:space="preserve"> </w:t>
      </w:r>
      <w:r>
        <w:t xml:space="preserve">i.i.d.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aleatórias;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 (2016) propõem um enquadramento regional de curvas IDF em que os máximos de precipitação agregados em duração</w:t>
      </w:r>
      <w:r>
        <w:t xml:space="preserve"> </w:t>
      </w:r>
      <m:oMath>
        <m:r>
          <m:t>D</m:t>
        </m:r>
      </m:oMath>
      <w:r>
        <w:t xml:space="preserve"> </w:t>
      </w:r>
      <w:r>
        <w:t xml:space="preserve">seguem uma GEV cujos parâmetros obedecem a um escalonamento simples ao longo de</w:t>
      </w:r>
      <w:r>
        <w:t xml:space="preserve"> </w:t>
      </w:r>
      <m:oMath>
        <m:r>
          <m:t>D</m:t>
        </m:r>
      </m:oMath>
      <w:r>
        <w:t xml:space="preserve">. As duas hipóteses‐chave são: (i) extremos diários são GEV (justificado por EVT) e (ii) máximos agregados em durações dentro de um intervalo</w:t>
      </w:r>
      <w:r>
        <w:t xml:space="preserve"> </w:t>
      </w:r>
      <w:r>
        <w:t xml:space="preserve">“escala‐invariante”</w:t>
      </w:r>
      <w:r>
        <w:t xml:space="preserve"> </w:t>
      </w:r>
      <w:r>
        <w:t xml:space="preserve">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enquanto a forma permanece constante</w:t>
      </w:r>
      <w:r>
        <w:t xml:space="preserve"> </w:t>
      </w:r>
      <m:oMath>
        <m:sSub>
          <m:e>
            <m:r>
              <m:t>ξ</m:t>
            </m:r>
          </m:e>
          <m:sub>
            <m:r>
              <m:t>D</m:t>
            </m:r>
          </m:sub>
        </m:sSub>
        <m:r>
          <m:rPr>
            <m:sty m:val="p"/>
          </m:rPr>
          <m:t>=</m:t>
        </m:r>
        <m:r>
          <m:t>n</m:t>
        </m:r>
      </m:oMath>
      <w:r>
        <w:t xml:space="preserve"> </w:t>
      </w:r>
      <w:r>
        <w:t xml:space="preserve">. Aqui</w:t>
      </w:r>
      <w:r>
        <w:t xml:space="preserve"> </w:t>
      </w:r>
      <m:oMath>
        <m:r>
          <m:t>η</m:t>
        </m:r>
      </m:oMath>
      <w:r>
        <w:t xml:space="preserve"> </w:t>
      </w:r>
      <w:r>
        <w:t xml:space="preserve">é o expoente de escala (declive log–log dos parâmetros vs.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n</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semana,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n</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 (2016) utilizaram a invariância de escala simples em séries de máximos anuais de intensidade para durações de 5 min a 24 h em 15 pluviômetros no norte da Tunísia, combinando-a com GEV–EV1 (Gumbel) e PWMs para construir IDF e, em seguida, IDAF regionais usando a rede diária muito mais densa. A hipótese central é o escala simple para intensidades máximas</w:t>
      </w:r>
      <w:r>
        <w:t xml:space="preserve"> </w:t>
      </w:r>
      <m:oMath>
        <m:sSub>
          <m:e>
            <m:r>
              <m:t>I</m:t>
            </m:r>
          </m:e>
          <m:sub>
            <m:r>
              <m:t>d</m:t>
            </m:r>
          </m:sub>
        </m:sSub>
      </m:oMath>
      <w:r>
        <w:t xml:space="preserve"> </w:t>
      </w:r>
      <w:r>
        <w:t xml:space="preserve">entre uma duração alvo</w:t>
      </w:r>
      <w:r>
        <w:t xml:space="preserve"> </w:t>
      </w:r>
      <m:oMath>
        <m:r>
          <m:t>d</m:t>
        </m:r>
      </m:oMath>
      <w:r>
        <w:t xml:space="preserve"> </w:t>
      </w:r>
      <w:r>
        <w:t xml:space="preserve">e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(ou PWMs)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r>
        <w:t xml:space="preserve"> </w:t>
      </w:r>
    </w:p>
    <w:p>
      <w:pPr>
        <w:pStyle w:val="BodyText"/>
      </w:pPr>
      <w:r>
        <w:t xml:space="preserve">Sane et al. (2018) constroem curvas IDF para o Senegal comparando duas formulações baseadas em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 (1988) 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própria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 (2019) constroem um arcabouço global de IDF a partir do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PWMs. A principal contribuição metodológica é formalizar uma IDF contínua em duração que</w:t>
      </w:r>
      <w:r>
        <w:t xml:space="preserve"> </w:t>
      </w:r>
      <w:r>
        <w:t xml:space="preserve">“empresta força”</w:t>
      </w:r>
      <w:r>
        <w:t xml:space="preserve"> </w:t>
      </w:r>
      <w:r>
        <w:t xml:space="preserve">entre escalas via o escalonamento independente de</w:t>
      </w:r>
      <w:r>
        <w:t xml:space="preserve"> </w:t>
      </w:r>
      <m:oMath>
        <m:r>
          <m:t>μ</m:t>
        </m:r>
      </m:oMath>
      <w:r>
        <w:t xml:space="preserve"> </w:t>
      </w:r>
      <w:r>
        <w:t xml:space="preserve">e</w:t>
      </w:r>
      <w:r>
        <w:t xml:space="preserve"> </w:t>
      </w:r>
      <m:oMath>
        <m:r>
          <m:t>σ</m:t>
        </m:r>
      </m:oMath>
      <w:r>
        <w:t xml:space="preserv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 (2020) compara, em 223 pluviômetros (30 min–24 h) no Arizona, cinco modelos de IDF — dois locais (At-site; At-site com correção de viés em</w:t>
      </w:r>
      <w:r>
        <w:t xml:space="preserve"> </w:t>
      </w:r>
      <m:oMath>
        <m:r>
          <m:t>ξ</m:t>
        </m:r>
      </m:oMath>
      <w:r>
        <w:t xml:space="preserve">), um regional (index-flood de Hosking–Wallis) e dois de escala simples (um local, Sc, e um regional novo, RegSc). Mostra evidência robusta de escala simples entre 24 h e 30 min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Em cross-validation com bootstrapping,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 (2021) apresentam um esquema de desagregação temporal baseado em invariância de escala que chamam de Scaling-GEV. Partem da hipótese de escala simples para máximos anuais (AMPs), pela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identificam dois regimes de duração com pontos de ruptura (≈30 min e 90 min, respectivamente) e mostram que S3NCM é, em geral, o mais acurado para durações subdiárias, enquanto SLmom tende a ir melhor nas mais longas. Como contribuição adicional, introduzem um bootstrap modificado que constrói intervalos de confiança de 95% para IDFs usando somente AMPs diárias: reamostram as AMPs de 1 dia, propagam a incerteza via relações de scaling para as durações curtas e fecham os limites com a inversa da GEV.</w:t>
      </w:r>
    </w:p>
    <w:p>
      <w:pPr>
        <w:pStyle w:val="BodyText"/>
      </w:pPr>
      <w:r>
        <w:t xml:space="preserve">Para aplicações em grade sob mudança do clima, Requena et al. (2021) propuseram um downscaling temporal que combina AM diários de RCMs com expoentes de escala observados em grade. No estudo, a desagregação temporal em grade baseia-se no modelo GEV com invariância de escala formulado via probabilistic weighted moments (PWMs). O modelo segue a formulação da escala simples com a distribuição GEV.</w:t>
      </w:r>
      <w:r>
        <w:t xml:space="preserve"> </w:t>
      </w:r>
      <w:r>
        <w:t xml:space="preserve"> </w:t>
      </w:r>
      <w:r>
        <w:t xml:space="preserve">&lt;!–#Sob escala simples, as PWMs em duas escalas temporais</w:t>
      </w:r>
      <w:r>
        <w:t xml:space="preserve"> </w:t>
      </w:r>
      <m:oMath>
        <m:r>
          <m:t>t</m:t>
        </m:r>
      </m:oMath>
      <w:r>
        <w:t xml:space="preserve"> </w:t>
      </w:r>
      <w:r>
        <w:t xml:space="preserve">e</w:t>
      </w:r>
      <w:r>
        <w:t xml:space="preserve"> </w:t>
      </w:r>
      <m:oMath>
        <m:r>
          <m:t>λ</m:t>
        </m:r>
        <m:r>
          <m:t>t</m:t>
        </m:r>
      </m:oMath>
      <w:r>
        <w:t xml:space="preserve"> </w:t>
      </w:r>
      <w:r>
        <w:t xml:space="preserve">relacionam-se por</w:t>
      </w:r>
    </w:p>
    <w:p>
      <w:pPr>
        <w:pStyle w:val="BodyText"/>
      </w:pPr>
      <m:oMathPara>
        <m:oMathParaPr>
          <m:jc m:val="center"/>
        </m:oMathParaPr>
        <m:oMath>
          <m:sSub>
            <m:e>
              <m:r>
                <m:t>β</m:t>
              </m:r>
            </m:e>
            <m:sub>
              <m:r>
                <m:t>r</m:t>
              </m:r>
            </m:sub>
          </m:sSub>
          <m:d>
            <m:dPr>
              <m:begChr m:val="("/>
              <m:endChr m:val=")"/>
              <m:sepChr m:val=""/>
              <m:grow/>
            </m:dPr>
            <m:e>
              <m:r>
                <m:t>λ</m:t>
              </m:r>
              <m:r>
                <m:t>t</m:t>
              </m:r>
            </m:e>
          </m:d>
          <m:r>
            <m:rPr>
              <m:sty m:val="p"/>
            </m:rPr>
            <m:t>=</m:t>
          </m:r>
          <m:sSup>
            <m:e>
              <m:r>
                <m:t>λ</m:t>
              </m:r>
            </m:e>
            <m:sup>
              <m:r>
                <m:t>S</m:t>
              </m:r>
            </m:sup>
          </m:sSup>
          <m:r>
            <m:t> </m:t>
          </m:r>
          <m:sSub>
            <m:e>
              <m:r>
                <m:t>β</m:t>
              </m:r>
            </m:e>
            <m:sub>
              <m:r>
                <m:t>r</m:t>
              </m:r>
            </m:sub>
          </m:sSub>
          <m:d>
            <m:dPr>
              <m:begChr m:val="("/>
              <m:endChr m:val=")"/>
              <m:sepChr m:val=""/>
              <m:grow/>
            </m:dPr>
            <m:e>
              <m:r>
                <m:t>t</m:t>
              </m:r>
            </m:e>
          </m:d>
        </m:oMath>
      </m:oMathPara>
    </w:p>
    <w:p>
      <w:pPr>
        <w:pStyle w:val="FirstParagraph"/>
      </w:pPr>
      <w:r>
        <w:t xml:space="preserve">onde</w:t>
      </w:r>
      <w:r>
        <w:t xml:space="preserve"> </w:t>
      </w:r>
      <m:oMath>
        <m:r>
          <m:t>λ</m:t>
        </m:r>
      </m:oMath>
      <w:r>
        <w:t xml:space="preserve"> </w:t>
      </w:r>
      <w:r>
        <w:t xml:space="preserve">é a razão de escalas (p.ex.,</w:t>
      </w:r>
      <w:r>
        <w:t xml:space="preserve"> </w:t>
      </w:r>
      <m:oMath>
        <m:r>
          <m:t>λ</m:t>
        </m:r>
        <m:r>
          <m:rPr>
            <m:sty m:val="p"/>
          </m:rPr>
          <m:t>=</m:t>
        </m:r>
        <m:r>
          <m:t>1</m:t>
        </m:r>
        <m:r>
          <m:rPr>
            <m:sty m:val="p"/>
          </m:rPr>
          <m:t>/</m:t>
        </m:r>
        <m:r>
          <m:t>24</m:t>
        </m:r>
      </m:oMath>
      <w:r>
        <w:t xml:space="preserve"> </w:t>
      </w:r>
      <w:r>
        <w:t xml:space="preserve">para 1 h a partir de 24 h) e</w:t>
      </w:r>
      <w:r>
        <w:t xml:space="preserve"> </w:t>
      </w:r>
      <m:oMath>
        <m:r>
          <m:t>S</m:t>
        </m:r>
      </m:oMath>
      <w:r>
        <w:t xml:space="preserve"> </w:t>
      </w:r>
      <w:r>
        <w:t xml:space="preserve">é o expoente de escala comum aos momentos; essa hipótese permite transportar estatísticas entre durações a partir de uma escala de referência diária. A mesma lei induz a relação, para parâmetros/quantis da GEV,</w:t>
      </w:r>
    </w:p>
    <w:p>
      <w:pPr>
        <w:pStyle w:val="BodyText"/>
      </w:pPr>
      <m:oMathPara>
        <m:oMathParaPr>
          <m:jc m:val="center"/>
        </m:oMathParaPr>
        <m:oMath>
          <m:r>
            <m:t>g</m:t>
          </m:r>
          <m:d>
            <m:dPr>
              <m:begChr m:val="("/>
              <m:endChr m:val=")"/>
              <m:sepChr m:val=""/>
              <m:grow/>
            </m:dPr>
            <m:e>
              <m:r>
                <m:t>λ</m:t>
              </m:r>
              <m:r>
                <m:t>t</m:t>
              </m:r>
            </m:e>
          </m:d>
          <m:r>
            <m:rPr>
              <m:sty m:val="p"/>
            </m:rPr>
            <m:t>=</m:t>
          </m:r>
          <m:sSup>
            <m:e>
              <m:r>
                <m:t>λ</m:t>
              </m:r>
            </m:e>
            <m:sup>
              <m:r>
                <m:t>S</m:t>
              </m:r>
            </m:sup>
          </m:sSup>
          <m:r>
            <m:t>g</m:t>
          </m:r>
          <m:d>
            <m:dPr>
              <m:begChr m:val="("/>
              <m:endChr m:val=")"/>
              <m:sepChr m:val=""/>
              <m:grow/>
            </m:dPr>
            <m:e>
              <m:r>
                <m:t>t</m:t>
              </m:r>
            </m:e>
          </m:d>
          <m:r>
            <m:rPr>
              <m:sty m:val="p"/>
            </m:rPr>
            <m:t>,</m:t>
          </m:r>
          <m:r>
            <m:t>  </m:t>
          </m:r>
          <m:r>
            <m:t>κ</m:t>
          </m:r>
          <m:d>
            <m:dPr>
              <m:begChr m:val="("/>
              <m:endChr m:val=")"/>
              <m:sepChr m:val=""/>
              <m:grow/>
            </m:dPr>
            <m:e>
              <m:r>
                <m:t>λ</m:t>
              </m:r>
              <m:r>
                <m:t>t</m:t>
              </m:r>
            </m:e>
          </m:d>
          <m:r>
            <m:rPr>
              <m:sty m:val="p"/>
            </m:rPr>
            <m:t>=</m:t>
          </m:r>
          <m:r>
            <m:t>κ</m:t>
          </m:r>
          <m:d>
            <m:dPr>
              <m:begChr m:val="("/>
              <m:endChr m:val=")"/>
              <m:sepChr m:val=""/>
              <m:grow/>
            </m:dPr>
            <m:e>
              <m:r>
                <m:t>t</m:t>
              </m:r>
            </m:e>
          </m:d>
        </m:oMath>
      </m:oMathPara>
    </w:p>
    <w:p>
      <w:pPr>
        <w:pStyle w:val="FirstParagraph"/>
      </w:pPr>
      <w:r>
        <w:t xml:space="preserve">em que</w:t>
      </w:r>
      <w:r>
        <w:t xml:space="preserve"> </w:t>
      </w:r>
      <m:oMath>
        <m:r>
          <m:t>g</m:t>
        </m:r>
      </m:oMath>
      <w:r>
        <w:t xml:space="preserve"> </w:t>
      </w:r>
      <w:r>
        <w:t xml:space="preserve">denota o parâmetro de posição, o de escala ou o quantil de retorno</w:t>
      </w:r>
      <w:r>
        <w:t xml:space="preserve"> </w:t>
      </w:r>
      <m:oMath>
        <m:r>
          <m:t>T</m:t>
        </m:r>
      </m:oMath>
      <w:r>
        <w:t xml:space="preserve"> </w:t>
      </w:r>
      <w:r>
        <w:t xml:space="preserve">e</w:t>
      </w:r>
      <w:r>
        <w:t xml:space="preserve"> </w:t>
      </w:r>
      <m:oMath>
        <m:r>
          <m:t>κ</m:t>
        </m:r>
      </m:oMath>
      <w:r>
        <w:t xml:space="preserve"> </w:t>
      </w:r>
      <w:r>
        <w:t xml:space="preserve">é o parâmetro de forma, assumido invariável à mudança de duração; assim, quantis subdiários são obtidos diretamente de séries anuais máximas (AMS) diárias –&gt;.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t xml:space="preserve">“piecewise”</w:t>
      </w:r>
      <w:r>
        <w:t xml:space="preserve"> </w:t>
      </w:r>
      <w:r>
        <w:t xml:space="preserve">coerente entre durações.</w:t>
      </w:r>
    </w:p>
    <w:p>
      <w:pPr>
        <w:pStyle w:val="BodyText"/>
      </w:pPr>
      <w:r>
        <w:t xml:space="preserve">Benestad et al. (2021) &lt;!–#propõem uma fórmula simples para estimar IDFs subdiárias usando apenas dados diários (24 h) e dois indicadores facilmente observáveis: a média em dias chuvosos</w:t>
      </w:r>
      <w:r>
        <w:t xml:space="preserve"> </w:t>
      </w:r>
      <m:oMath>
        <m:r>
          <m:t>μ</m:t>
        </m:r>
      </m:oMath>
      <w:r>
        <w:t xml:space="preserve"> </w:t>
      </w:r>
      <w:r>
        <w:t xml:space="preserve">e a frequência de dias chuvosos</w:t>
      </w:r>
      <w:r>
        <w:t xml:space="preserve"> </w:t>
      </w:r>
      <m:oMath>
        <m:sSub>
          <m:e>
            <m:r>
              <m:t>f</m:t>
            </m:r>
          </m:e>
          <m:sub>
            <m:r>
              <m:t>w</m:t>
            </m:r>
          </m:sub>
        </m:sSub>
      </m:oMath>
      <w:r>
        <w:t xml:space="preserve">. Partindo de uma aproximação exponencial para a cauda moderada da chuva diária e de um fator corretivo</w:t>
      </w:r>
      <w:r>
        <w:t xml:space="preserve"> </w:t>
      </w:r>
      <m:oMath>
        <m:r>
          <m:t>α</m:t>
        </m:r>
      </m:oMath>
      <w:r>
        <w:t xml:space="preserve"> </w:t>
      </w:r>
      <w:r>
        <w:t xml:space="preserve">(que ajusta a discrepância entre a cauda observada e a exponencial), os autores estendem o raciocínio para escalas subdiárias assumindo lei de potência em duração. O resultado é a expressão prática</w:t>
      </w:r>
    </w:p>
    <w:p>
      <w:pPr>
        <w:pStyle w:val="BodyText"/>
      </w:pPr>
      <m:oMathPara>
        <m:oMathParaPr>
          <m:jc m:val="center"/>
        </m:oMathParaPr>
        <m:oMath>
          <m:sSub>
            <m:e>
              <m:r>
                <m:t>x</m:t>
              </m:r>
            </m:e>
            <m:sub>
              <m:r>
                <m:t>L</m:t>
              </m:r>
            </m:sub>
          </m:sSub>
          <m:r>
            <m:rPr>
              <m:sty m:val="p"/>
            </m:rPr>
            <m:t>=</m:t>
          </m:r>
          <m:r>
            <m:t>α</m:t>
          </m:r>
          <m:r>
            <m:t> </m:t>
          </m:r>
          <m:r>
            <m:t>μ</m:t>
          </m:r>
          <m:sSup>
            <m:e>
              <m:d>
                <m:dPr>
                  <m:begChr m:val="("/>
                  <m:endChr m:val=")"/>
                  <m:sepChr m:val=""/>
                  <m:grow/>
                </m:dPr>
                <m:e>
                  <m:f>
                    <m:fPr>
                      <m:type m:val="bar"/>
                    </m:fPr>
                    <m:num>
                      <m:r>
                        <m:t>L</m:t>
                      </m:r>
                    </m:num>
                    <m:den>
                      <m:r>
                        <m:t>24</m:t>
                      </m:r>
                    </m:den>
                  </m:f>
                </m:e>
              </m:d>
            </m:e>
            <m:sup>
              <m:r>
                <m:t>ζ</m:t>
              </m:r>
            </m:sup>
          </m:sSup>
          <m:r>
            <m:t>​</m:t>
          </m:r>
          <m:r>
            <m:rPr>
              <m:sty m:val="p"/>
            </m:rPr>
            <m:t>ln</m:t>
          </m:r>
          <m:r>
            <m:t>​</m:t>
          </m:r>
          <m:d>
            <m:dPr>
              <m:begChr m:val="["/>
              <m:endChr m:val="]"/>
              <m:sepChr m:val=""/>
              <m:grow/>
            </m:dPr>
            <m:e>
              <m:sSub>
                <m:e>
                  <m:r>
                    <m:t>f</m:t>
                  </m:r>
                </m:e>
                <m:sub>
                  <m:r>
                    <m:t>w</m:t>
                  </m:r>
                </m:sub>
              </m:sSub>
              <m:r>
                <m:t> </m:t>
              </m:r>
              <m:r>
                <m:t>τ</m:t>
              </m:r>
            </m:e>
          </m:d>
        </m:oMath>
      </m:oMathPara>
    </w:p>
    <w:p>
      <w:pPr>
        <w:pStyle w:val="FirstParagraph"/>
      </w:pPr>
      <w:r>
        <w:t xml:space="preserve">em que</w:t>
      </w:r>
      <w:r>
        <w:t xml:space="preserve"> </w:t>
      </w:r>
      <m:oMath>
        <m:sSub>
          <m:e>
            <m:r>
              <m:t>x</m:t>
            </m:r>
          </m:e>
          <m:sub>
            <m:r>
              <m:t>L</m:t>
            </m:r>
          </m:sub>
        </m:sSub>
      </m:oMath>
      <w:r>
        <w:t xml:space="preserve"> </w:t>
      </w:r>
      <w:r>
        <w:t xml:space="preserve">é o nível de retorno na duração</w:t>
      </w:r>
      <w:r>
        <w:t xml:space="preserve"> </w:t>
      </w:r>
      <m:oMath>
        <m:r>
          <m:t>L</m:t>
        </m:r>
      </m:oMath>
      <w:r>
        <w:t xml:space="preserve"> </w:t>
      </w:r>
      <w:r>
        <w:t xml:space="preserve">(h) para período de retorno</w:t>
      </w:r>
      <w:r>
        <w:t xml:space="preserve"> </w:t>
      </w:r>
      <m:oMath>
        <m:r>
          <m:t>τ</m:t>
        </m:r>
      </m:oMath>
      <w:r>
        <w:t xml:space="preserve">,</w:t>
      </w:r>
      <w:r>
        <w:t xml:space="preserve"> </w:t>
      </w:r>
      <m:oMath>
        <m:r>
          <m:t>ζ</m:t>
        </m:r>
      </m:oMath>
      <w:r>
        <w:t xml:space="preserve"> </w:t>
      </w:r>
      <w:r>
        <w:t xml:space="preserve">é o expoente de escala temporal estimado como a inclinação da regressão</w:t>
      </w:r>
      <w:r>
        <w:t xml:space="preserve"> </w:t>
      </w:r>
      <m:oMath>
        <m:r>
          <m:rPr>
            <m:sty m:val="p"/>
          </m:rPr>
          <m:t>log</m:t>
        </m:r>
        <m:sSub>
          <m:e>
            <m:r>
              <m:t>x</m:t>
            </m:r>
          </m:e>
          <m:sub>
            <m:r>
              <m:t>L</m:t>
            </m:r>
          </m:sub>
        </m:sSub>
      </m:oMath>
      <w:r>
        <w:t xml:space="preserve"> </w:t>
      </w:r>
      <w:r>
        <w:t xml:space="preserve">versus</w:t>
      </w:r>
      <w:r>
        <w:t xml:space="preserve"> </w:t>
      </w:r>
      <m:oMath>
        <m:r>
          <m:rPr>
            <m:sty m:val="p"/>
          </m:rPr>
          <m:t>log</m:t>
        </m:r>
        <m:d>
          <m:dPr>
            <m:begChr m:val="("/>
            <m:endChr m:val=")"/>
            <m:sepChr m:val=""/>
            <m:grow/>
          </m:dPr>
          <m:e>
            <m:r>
              <m:t>L</m:t>
            </m:r>
            <m:r>
              <m:rPr>
                <m:sty m:val="p"/>
              </m:rPr>
              <m:t>/</m:t>
            </m:r>
            <m:r>
              <m:t>24</m:t>
            </m:r>
          </m:e>
        </m:d>
      </m:oMath>
      <w:r>
        <w:t xml:space="preserve">, e</w:t>
      </w:r>
      <w:r>
        <w:t xml:space="preserve"> </w:t>
      </w:r>
      <m:oMath>
        <m:r>
          <m:t>α</m:t>
        </m:r>
      </m:oMath>
      <w:r>
        <w:t xml:space="preserve"> </w:t>
      </w:r>
      <w:r>
        <w:t xml:space="preserve">pode vir da calibração diária (os autores discutem ainda sua dependência com</w:t>
      </w:r>
      <w:r>
        <w:t xml:space="preserve"> </w:t>
      </w:r>
      <m:oMath>
        <m:r>
          <m:t>τ</m:t>
        </m:r>
      </m:oMath>
      <w:r>
        <w:t xml:space="preserve">). Essa forma funciona como um downscaling temporal analítico: transfere informação do diário para o sub-diário sem ajustar EV/GEV em cada duração, explorando que</w:t>
      </w:r>
      <w:r>
        <w:t xml:space="preserve"> </w:t>
      </w:r>
      <m:oMath>
        <m:r>
          <m:t>μ</m:t>
        </m:r>
      </m:oMath>
      <w:r>
        <w:t xml:space="preserve"> </w:t>
      </w:r>
      <w:r>
        <w:t xml:space="preserve">e</w:t>
      </w:r>
      <w:r>
        <w:t xml:space="preserve"> </w:t>
      </w:r>
      <m:oMath>
        <m:sSub>
          <m:e>
            <m:r>
              <m:t>f</m:t>
            </m:r>
          </m:e>
          <m:sub>
            <m:r>
              <m:t>w</m:t>
            </m:r>
          </m:sub>
        </m:sSub>
      </m:oMath>
      <w:r>
        <w:t xml:space="preserve"> </w:t>
      </w:r>
      <w:r>
        <w:t xml:space="preserve">já capturam não-estacionariedade climática. Metodologicamente, o estudo calibra</w:t>
      </w:r>
      <w:r>
        <w:t xml:space="preserve"> </w:t>
      </w:r>
      <m:oMath>
        <m:r>
          <m:t>ζ</m:t>
        </m:r>
      </m:oMath>
      <w:r>
        <w:t xml:space="preserve"> </w:t>
      </w:r>
      <w:r>
        <w:t xml:space="preserve">a partir de IDFs observadas em 14 postos de Oslo via regressão log–log, mostra que o termo</w:t>
      </w:r>
      <w:r>
        <w:t xml:space="preserve"> </w:t>
      </w:r>
      <m:oMath>
        <m:sSup>
          <m:e>
            <m:d>
              <m:dPr>
                <m:begChr m:val="("/>
                <m:endChr m:val=")"/>
                <m:sepChr m:val=""/>
                <m:grow/>
              </m:dPr>
              <m:e>
                <m:r>
                  <m:t>L</m:t>
                </m:r>
                <m:r>
                  <m:rPr>
                    <m:sty m:val="p"/>
                  </m:rPr>
                  <m:t>/</m:t>
                </m:r>
                <m:r>
                  <m:t>24</m:t>
                </m:r>
              </m:e>
            </m:d>
          </m:e>
          <m:sup>
            <m:r>
              <m:t>ζ</m:t>
            </m:r>
          </m:sup>
        </m:sSup>
      </m:oMath>
      <w:r>
        <w:t xml:space="preserve"> </w:t>
      </w:r>
      <w:r>
        <w:t xml:space="preserve">domina a variação com</w:t>
      </w:r>
      <w:r>
        <w:t xml:space="preserve"> </w:t>
      </w:r>
      <m:oMath>
        <m:r>
          <m:t>L</m:t>
        </m:r>
      </m:oMath>
      <w:r>
        <w:t xml:space="preserve"> </w:t>
      </w:r>
      <w:r>
        <w:t xml:space="preserve">frente a</w:t>
      </w:r>
      <w:r>
        <w:t xml:space="preserve"> </w:t>
      </w:r>
      <m:oMath>
        <m:r>
          <m:rPr>
            <m:sty m:val="p"/>
          </m:rPr>
          <m:t>ln</m:t>
        </m:r>
        <m:d>
          <m:dPr>
            <m:begChr m:val="["/>
            <m:endChr m:val="]"/>
            <m:sepChr m:val=""/>
            <m:grow/>
          </m:dPr>
          <m:e>
            <m:sSub>
              <m:e>
                <m:r>
                  <m:t>f</m:t>
                </m:r>
              </m:e>
              <m:sub>
                <m:r>
                  <m:t>w</m:t>
                </m:r>
              </m:sub>
            </m:sSub>
            <m:r>
              <m:t>τ</m:t>
            </m:r>
          </m:e>
        </m:d>
      </m:oMath>
      <w:r>
        <w:t xml:space="preserve">, e valida a fórmula em postos independentes no país (desempenho bom para</w:t>
      </w:r>
      <w:r>
        <w:t xml:space="preserve"> </w:t>
      </w:r>
      <m:oMath>
        <m:r>
          <m:t>T</m:t>
        </m:r>
        <m:r>
          <m:rPr>
            <m:sty m:val="p"/>
          </m:rPr>
          <m:t>=</m:t>
        </m:r>
        <m:r>
          <m:t>10</m:t>
        </m:r>
      </m:oMath>
      <w:r>
        <w:t xml:space="preserve"> </w:t>
      </w:r>
      <w:r>
        <w:t xml:space="preserve">anos; desempenho decai em</w:t>
      </w:r>
      <w:r>
        <w:t xml:space="preserve"> </w:t>
      </w:r>
      <m:oMath>
        <m:r>
          <m:t>T</m:t>
        </m:r>
      </m:oMath>
      <w:r>
        <w:t xml:space="preserve"> </w:t>
      </w:r>
      <w:r>
        <w:t xml:space="preserve">muito altos, onde</w:t>
      </w:r>
      <w:r>
        <w:t xml:space="preserve"> </w:t>
      </w:r>
      <m:oMath>
        <m:r>
          <m:t>α</m:t>
        </m:r>
      </m:oMath>
      <w:r>
        <w:t xml:space="preserve"> </w:t>
      </w:r>
      <w:r>
        <w:t xml:space="preserve">cresce e a curvatura da IDF real exibe</w:t>
      </w:r>
      <w:r>
        <w:t xml:space="preserve"> </w:t>
      </w:r>
      <w:r>
        <w:t xml:space="preserve">“quebras”</w:t>
      </w:r>
      <w:r>
        <w:t xml:space="preserve">). Em contraste com esquemas clássicos, a expressão explicita</w:t>
      </w:r>
      <w:r>
        <w:t xml:space="preserve"> </w:t>
      </w:r>
      <m:oMath>
        <m:r>
          <m:t>μ</m:t>
        </m:r>
      </m:oMath>
      <w:r>
        <w:t xml:space="preserve"> </w:t>
      </w:r>
      <w:r>
        <w:t xml:space="preserve">e</w:t>
      </w:r>
      <w:r>
        <w:t xml:space="preserve"> </w:t>
      </w:r>
      <m:oMath>
        <m:sSub>
          <m:e>
            <m:r>
              <m:t>f</m:t>
            </m:r>
          </m:e>
          <m:sub>
            <m:r>
              <m:t>w</m:t>
            </m:r>
          </m:sub>
        </m:sSub>
      </m:oMath>
      <w:r>
        <w:t xml:space="preserve"> </w:t>
      </w:r>
      <w:r>
        <w:t xml:space="preserve">na IDF, conectando diretamente a forma da curva à climatologia local de intensidade média e frequência de chuva — o que a torna útil onde faltam séries sub-horárias e para cenários futuros se</w:t>
      </w:r>
      <w:r>
        <w:t xml:space="preserve"> </w:t>
      </w:r>
      <m:oMath>
        <m:r>
          <m:t>μ</m:t>
        </m:r>
      </m:oMath>
      <w:r>
        <w:t xml:space="preserve"> </w:t>
      </w:r>
      <w:r>
        <w:t xml:space="preserve">e</w:t>
      </w:r>
      <w:r>
        <w:t xml:space="preserve"> </w:t>
      </w:r>
      <m:oMath>
        <m:sSub>
          <m:e>
            <m:r>
              <m:t>f</m:t>
            </m:r>
          </m:e>
          <m:sub>
            <m:r>
              <m:t>w</m:t>
            </m:r>
          </m:sub>
        </m:sSub>
      </m:oMath>
      <w:r>
        <w:t xml:space="preserve"> </w:t>
      </w:r>
      <w:r>
        <w:t xml:space="preserve">puderem ser projetados. #Mais Regionalização–&gt;</w:t>
      </w:r>
    </w:p>
    <w:p>
      <w:pPr>
        <w:pStyle w:val="BodyText"/>
      </w:pPr>
      <w:r>
        <w:t xml:space="preserve">Apesar do embasamento teórico consolidado há décadas (Burlando &amp; Rosso, 1996), impedimentos práticos, sobretudo a escassez de dados de longa duração, limitaram aplicações regionais por muito tempo. Barbosa e Costa (2023) 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simple scaling, razões de variabilidade como o CV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(momentos/PWM, máxima verossimilhança, Bayes) e identificação de regimes com quebras entre faixas de duração operacionais (p.ex., 1–24 h).</w:t>
      </w:r>
    </w:p>
    <w:p>
      <w:pPr>
        <w:pStyle w:val="BodyText"/>
      </w:pPr>
      <w:r>
        <w:t xml:space="preserve">Gnecco et al. (2023) 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 (1998),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 (2024) aplicaram um modelo unificado de intensidades extremas no Reino Unido, integrando registros diários, fatores geográficos e regiões homogêneas de precipitação, utilizando a distribuição Gumbel (EV1). O estudo parte da hipótese de simple scaling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(simple scaling)</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r>
        <w:t xml:space="preserve"> </w:t>
      </w:r>
    </w:p>
    <w:p>
      <w:pPr>
        <w:pStyle w:val="BodyText"/>
      </w:pPr>
      <w:r>
        <w:t xml:space="preserve">Creaco (2024) 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simple scaling,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“real”</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multiple scaling,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CV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multiple scaling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p>
      <w:pPr>
        <w:pStyle w:val="Compact"/>
        <w:numPr>
          <w:ilvl w:val="0"/>
          <w:numId w:val="1002"/>
        </w:numPr>
      </w:pPr>
      <w:r>
        <w:rPr>
          <w:b/>
          <w:bCs/>
        </w:rPr>
        <w:t xml:space="preserve">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“fragmentos”</w:t>
      </w:r>
      <w:r>
        <w:t xml:space="preserve"> </w:t>
      </w:r>
      <w:r>
        <w:t xml:space="preserve">subdiários históricos (hietogramas normalizados). No MOF, para uma estação doadora sss,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KS bivariado 2D2S ao nível de 5%; (iii) modela-se a probabilidade de duas estações serem similares ($u=1$) com regressão logística em diferenças de latitude, longitude, elevação e no produto lat×lon, gerando um ranking de vizinhos por estação e por estação do ano; e (iv) executa-se o reamostrador KNN com janela sazonal móvel (±15 dias) e lógica por estados (seco/úmido em $i-1$ 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 (2020) aplicaram o KNN-MOF em 40 estações nas bacias dos rios São Francisco e Doce, gerando séries de 60, 180 e 360 min; calibraram o número de doadoras SSS, o desvio absoluto máximo dos totais diários (adotando 10%) e mostraram que SSS ideal variou com a duração (p.ex., 15 para 60 min; 5 para 180/360 min). Em validação com 100 rodadas, os desvios médios das estatísticas-alvo (média, variância, assimetria e quantis dos máximos anuais de bloco) ficaram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 (2018) propõem o DiPMaC (Disaggregation Preserving Marginals and Correlations).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“pai”</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“inflar”</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AR($p$)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“sucesso”</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p>
      <w:pPr>
        <w:pStyle w:val="Compact"/>
        <w:numPr>
          <w:ilvl w:val="0"/>
          <w:numId w:val="1003"/>
        </w:numPr>
      </w:pPr>
      <w:r>
        <w:rPr>
          <w:b/>
          <w:bCs/>
        </w:rPr>
        <w:t xml:space="preserve">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“empresta informação”</w:t>
      </w:r>
      <w:r>
        <w:t xml:space="preserve"> </w:t>
      </w:r>
      <w:r>
        <w:t xml:space="preserve">de vizinhos e de durações mais longas por meio de estruturas compartilhadas. A inferência é tipicamente bayesiana (MCMC/INLA), entregando quantis de projeto com incerteza plenamente quantificada.</w:t>
      </w:r>
    </w:p>
    <w:p>
      <w:pPr>
        <w:pStyle w:val="BodyText"/>
      </w:pPr>
      <w:r>
        <w:t xml:space="preserve">Para modelagem espacial de extremos com pooling 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 pooling entre locais.</w:t>
      </w:r>
    </w:p>
    <w:p>
      <w:pPr>
        <w:pStyle w:val="BodyText"/>
      </w:pPr>
      <w:r>
        <w:t xml:space="preserve">Para mudanças climáticas e IDFs não estacionárias condicionadas ao diário, Lima et al. (2016) 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w:t>
      </w:r>
      <w:r>
        <w:t xml:space="preserve"> </w:t>
      </w:r>
      <m:oMath>
        <m:d>
          <m:dPr>
            <m:begChr m:val="["/>
            <m:endChr m:val="]"/>
            <m:sepChr m:val=""/>
            <m:grow/>
          </m:dPr>
          <m:e>
            <m:r>
              <m:t>a</m:t>
            </m:r>
            <m:r>
              <m:rPr>
                <m:sty m:val="p"/>
              </m:rPr>
              <m:t>,</m:t>
            </m:r>
            <m:sSub>
              <m:e>
                <m:r>
                  <m:t>b</m:t>
                </m:r>
              </m:e>
              <m:sub>
                <m:r>
                  <m:t>i</m:t>
                </m:r>
              </m:sub>
            </m:sSub>
          </m:e>
        </m:d>
      </m:oMath>
      <w:r>
        <w:t xml:space="preserve">,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 aaa (até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 (2018),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max-estáveis são uma alternativa, pois dispensam a suposição de independência condicional dos dados. Stephenson et al. (2016) realizaram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 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w:t>
      </w:r>
      <w:r>
        <w:t xml:space="preserve"> </w:t>
      </w:r>
      <w:r>
        <w:t xml:space="preserve">“amarrando”</w:t>
      </w:r>
      <w:r>
        <w:t xml:space="preserve"> </w:t>
      </w:r>
      <w:r>
        <w:t xml:space="preserve">os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max-estável tipo Reich–Shaby, cuja FDC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r>
        <w:t xml:space="preserve"> </w:t>
      </w:r>
    </w:p>
    <w:p>
      <w:pPr>
        <w:pStyle w:val="BodyText"/>
      </w:pPr>
      <w:r>
        <w:t xml:space="preserve">Van de Vyver (2018) propõe um modelo IDF fundado em multiescalonamento dos máximos anuais, estendendo a</w:t>
      </w:r>
      <w:r>
        <w:t xml:space="preserve"> </w:t>
      </w:r>
      <w:r>
        <w:t xml:space="preserve">“escala simples + GEV”</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 (2018) 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“deslocamento”</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 False Discovery Rate Bayesiano,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 (2018) propõem um modelo de valores extremos espacial que combina a variabilidade de chuva extrema em múltiplas durações com a teoria de processos max-estáveis, visando estimar probabilidades condicionais de cheias entre bacias com tempos de resposta distintos. O artigo define um conjunto comum de parâmetros marginais (para a GEV) entre durações seguindo a formulação de Koutsoyiannis et al. (1998) que permite a reparametrização da distribuição GEV para ligá-la entre múltiplas durações. Em cada posto</w:t>
      </w:r>
      <w:r>
        <w:t xml:space="preserve"> </w:t>
      </w:r>
      <m:oMath>
        <m:r>
          <m:t>i</m:t>
        </m:r>
      </m:oMath>
      <w:r>
        <w:t xml:space="preserve">, as AMAX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“3 parâmetros × número de durações”</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“ligadas”</w:t>
      </w:r>
      <w:r>
        <w:t xml:space="preserve"> </w:t>
      </w:r>
      <w:r>
        <w:t xml:space="preserve">entre durações para obter os parametros; (ii) esses cinco parâmetros são espacializados (p.ex., thin-plate splines),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max-estável Brown–Resnick à dependência espacial/entre-durações, com um</w:t>
      </w:r>
      <w:r>
        <w:t xml:space="preserve"> </w:t>
      </w:r>
      <w:r>
        <w:t xml:space="preserve">“nugget de duração”</w:t>
      </w:r>
      <w:r>
        <w:t xml:space="preserve"> </w:t>
      </w:r>
      <w:r>
        <w:t xml:space="preserve">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 (2022) apresentam uma síntese abrangente de métodos e aplicações (AM, POT, PMP, não-estacionariedade, IDFs, incerteza e variabilidade espacial), útil como guia metodológico por região/clima.</w:t>
      </w:r>
    </w:p>
    <w:bookmarkEnd w:id="25"/>
    <w:bookmarkEnd w:id="26"/>
    <w:bookmarkStart w:id="125"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Start w:id="124" w:name="refs"/>
    <w:bookmarkStart w:id="28"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
          <w:iCs/>
        </w:rPr>
        <w:t xml:space="preserve">Brazilian Archives of Biology and Technology</w:t>
      </w:r>
      <w:r>
        <w:t xml:space="preserve"> </w:t>
      </w:r>
      <w:r>
        <w:t xml:space="preserve">65: e20210694.</w:t>
      </w:r>
      <w:r>
        <w:t xml:space="preserve"> </w:t>
      </w:r>
      <w:hyperlink r:id="rId27">
        <w:r>
          <w:rPr>
            <w:rStyle w:val="Hyperlink"/>
          </w:rPr>
          <w:t xml:space="preserve">https://doi.org/10.1590/1678-4324-2022210694</w:t>
        </w:r>
      </w:hyperlink>
      <w:r>
        <w:t xml:space="preserve">.</w:t>
      </w:r>
    </w:p>
    <w:bookmarkEnd w:id="28"/>
    <w:bookmarkStart w:id="30"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
          <w:iCs/>
        </w:rPr>
        <w:t xml:space="preserve">RBRH</w:t>
      </w:r>
      <w:r>
        <w:t xml:space="preserve"> </w:t>
      </w:r>
      <w:r>
        <w:t xml:space="preserve">25: e5.</w:t>
      </w:r>
      <w:r>
        <w:t xml:space="preserve"> </w:t>
      </w:r>
      <w:hyperlink r:id="rId29">
        <w:r>
          <w:rPr>
            <w:rStyle w:val="Hyperlink"/>
          </w:rPr>
          <w:t xml:space="preserve">https://doi.org/10.1590/2318-0331.252020190054</w:t>
        </w:r>
      </w:hyperlink>
      <w:r>
        <w:t xml:space="preserve">.</w:t>
      </w:r>
    </w:p>
    <w:bookmarkEnd w:id="30"/>
    <w:bookmarkStart w:id="32"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
          <w:iCs/>
        </w:rPr>
        <w:t xml:space="preserve">Water Resources Research</w:t>
      </w:r>
      <w:r>
        <w:t xml:space="preserve"> </w:t>
      </w:r>
      <w:r>
        <w:t xml:space="preserve">42 (12).</w:t>
      </w:r>
      <w:r>
        <w:t xml:space="preserve"> </w:t>
      </w:r>
      <w:hyperlink r:id="rId31">
        <w:r>
          <w:rPr>
            <w:rStyle w:val="Hyperlink"/>
          </w:rPr>
          <w:t xml:space="preserve">https://doi.org/10.1029/2006wr004911</w:t>
        </w:r>
      </w:hyperlink>
      <w:r>
        <w:t xml:space="preserve">.</w:t>
      </w:r>
    </w:p>
    <w:bookmarkEnd w:id="32"/>
    <w:bookmarkStart w:id="34" w:name="ref-Barbosa.2023gyg"/>
    <w:p>
      <w:pPr>
        <w:pStyle w:val="Bibliography"/>
      </w:pPr>
      <w:r>
        <w:t xml:space="preserve">Barbosa, Alan de Gois, and Veber A. F. Costa. 2023b.</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3">
        <w:r>
          <w:rPr>
            <w:rStyle w:val="Hyperlink"/>
          </w:rPr>
          <w:t xml:space="preserve">https://doi.org/10.1007/s00477-023-02546-6</w:t>
        </w:r>
      </w:hyperlink>
      <w:r>
        <w:t xml:space="preserve">.</w:t>
      </w:r>
    </w:p>
    <w:bookmarkEnd w:id="34"/>
    <w:bookmarkStart w:id="35" w:name="ref-Barbosa.2023"/>
    <w:p>
      <w:pPr>
        <w:pStyle w:val="Bibliography"/>
      </w:pPr>
      <w:r>
        <w:t xml:space="preserve">———. 2023a.</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3">
        <w:r>
          <w:rPr>
            <w:rStyle w:val="Hyperlink"/>
          </w:rPr>
          <w:t xml:space="preserve">https://doi.org/10.1007/s00477-023-02546-6</w:t>
        </w:r>
      </w:hyperlink>
      <w:r>
        <w:t xml:space="preserve">.</w:t>
      </w:r>
    </w:p>
    <w:bookmarkEnd w:id="35"/>
    <w:bookmarkStart w:id="37"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
          <w:iCs/>
        </w:rPr>
        <w:t xml:space="preserve">Engenharia Sanitaria e Ambiental</w:t>
      </w:r>
      <w:r>
        <w:t xml:space="preserve"> </w:t>
      </w:r>
      <w:r>
        <w:t xml:space="preserve">21 (04): 635–41.</w:t>
      </w:r>
      <w:r>
        <w:t xml:space="preserve"> </w:t>
      </w:r>
      <w:hyperlink r:id="rId36">
        <w:r>
          <w:rPr>
            <w:rStyle w:val="Hyperlink"/>
          </w:rPr>
          <w:t xml:space="preserve">https://doi.org/10.1590/s1413-41522016133691</w:t>
        </w:r>
      </w:hyperlink>
      <w:r>
        <w:t xml:space="preserve">.</w:t>
      </w:r>
    </w:p>
    <w:bookmarkEnd w:id="37"/>
    <w:bookmarkStart w:id="39" w:name="ref-Benestad.2021"/>
    <w:p>
      <w:pPr>
        <w:pStyle w:val="Bibliography"/>
      </w:pPr>
      <w:r>
        <w:t xml:space="preserve">Benestad, Rasmus E, Julia Lutz, Anita Verpe Dyrrdal, Jan Erik Haugen, Kajsa M Parding, and Andreas Dobler. 2021.</w:t>
      </w:r>
      <w:r>
        <w:t xml:space="preserve"> </w:t>
      </w:r>
      <w:r>
        <w:t xml:space="preserve">“</w:t>
      </w:r>
      <w:r>
        <w:t xml:space="preserve">Testing a simple formula for calculating approximate intensity-duration-frequency curves</w:t>
      </w:r>
      <w:r>
        <w:t xml:space="preserve">.”</w:t>
      </w:r>
      <w:r>
        <w:t xml:space="preserve"> </w:t>
      </w:r>
      <w:r>
        <w:rPr>
          <w:i/>
          <w:iCs/>
        </w:rPr>
        <w:t xml:space="preserve">Environmental Research Letters</w:t>
      </w:r>
      <w:r>
        <w:t xml:space="preserve"> </w:t>
      </w:r>
      <w:r>
        <w:t xml:space="preserve">16 (4): 044009.</w:t>
      </w:r>
      <w:r>
        <w:t xml:space="preserve"> </w:t>
      </w:r>
      <w:hyperlink r:id="rId38">
        <w:r>
          <w:rPr>
            <w:rStyle w:val="Hyperlink"/>
          </w:rPr>
          <w:t xml:space="preserve">https://doi.org/10.1088/1748-9326/abd4ab</w:t>
        </w:r>
      </w:hyperlink>
      <w:r>
        <w:t xml:space="preserve">.</w:t>
      </w:r>
    </w:p>
    <w:bookmarkEnd w:id="39"/>
    <w:bookmarkStart w:id="41"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
          <w:iCs/>
        </w:rPr>
        <w:t xml:space="preserve">Journal of Hydrology</w:t>
      </w:r>
      <w:r>
        <w:t xml:space="preserve"> </w:t>
      </w:r>
      <w:r>
        <w:t xml:space="preserve">540: 82–95.</w:t>
      </w:r>
      <w:r>
        <w:t xml:space="preserve"> </w:t>
      </w:r>
      <w:hyperlink r:id="rId40">
        <w:r>
          <w:rPr>
            <w:rStyle w:val="Hyperlink"/>
          </w:rPr>
          <w:t xml:space="preserve">https://doi.org/10.1016/j.jhydrol.2016.06.007</w:t>
        </w:r>
      </w:hyperlink>
      <w:r>
        <w:t xml:space="preserve">.</w:t>
      </w:r>
    </w:p>
    <w:bookmarkEnd w:id="41"/>
    <w:bookmarkStart w:id="43" w:name="ref-Bonaccorso.2020"/>
    <w:p>
      <w:pPr>
        <w:pStyle w:val="Bibliography"/>
      </w:pPr>
      <w:r>
        <w:t xml:space="preserve">Bonaccorso, Brunella, Giuseppina Brigandì, and Giuseppe T. Aronica. 2020.</w:t>
      </w:r>
      <w:r>
        <w:t xml:space="preserve"> </w:t>
      </w:r>
      <w:r>
        <w:t xml:space="preserve">“</w:t>
      </w:r>
      <w:r>
        <w:t xml:space="preserve">Regional sub-hourly extreme rainfall estimates in Sicily under a scale invariance framework</w:t>
      </w:r>
      <w:r>
        <w:t xml:space="preserve">.”</w:t>
      </w:r>
      <w:r>
        <w:t xml:space="preserve"> </w:t>
      </w:r>
      <w:r>
        <w:rPr>
          <w:i/>
          <w:iCs/>
        </w:rPr>
        <w:t xml:space="preserve">Water Resources Management</w:t>
      </w:r>
      <w:r>
        <w:t xml:space="preserve"> </w:t>
      </w:r>
      <w:r>
        <w:t xml:space="preserve">34 (14): 4363–80.</w:t>
      </w:r>
      <w:r>
        <w:t xml:space="preserve"> </w:t>
      </w:r>
      <w:hyperlink r:id="rId42">
        <w:r>
          <w:rPr>
            <w:rStyle w:val="Hyperlink"/>
          </w:rPr>
          <w:t xml:space="preserve">https://doi.org/10.1007/s11269-020-02667-5</w:t>
        </w:r>
      </w:hyperlink>
      <w:r>
        <w:t xml:space="preserve">.</w:t>
      </w:r>
    </w:p>
    <w:bookmarkEnd w:id="43"/>
    <w:bookmarkStart w:id="45"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
          <w:iCs/>
        </w:rPr>
        <w:t xml:space="preserve">Natural Hazards</w:t>
      </w:r>
      <w:r>
        <w:t xml:space="preserve"> </w:t>
      </w:r>
      <w:r>
        <w:t xml:space="preserve">36 (1-2): 221–35.</w:t>
      </w:r>
      <w:r>
        <w:t xml:space="preserve"> </w:t>
      </w:r>
      <w:hyperlink r:id="rId44">
        <w:r>
          <w:rPr>
            <w:rStyle w:val="Hyperlink"/>
          </w:rPr>
          <w:t xml:space="preserve">https://doi.org/10.1007/s11069-004-4550-y</w:t>
        </w:r>
      </w:hyperlink>
      <w:r>
        <w:t xml:space="preserve">.</w:t>
      </w:r>
    </w:p>
    <w:bookmarkEnd w:id="45"/>
    <w:bookmarkStart w:id="47"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
          <w:iCs/>
        </w:rPr>
        <w:t xml:space="preserve">Journal of Hydrology</w:t>
      </w:r>
      <w:r>
        <w:t xml:space="preserve"> </w:t>
      </w:r>
      <w:r>
        <w:t xml:space="preserve">187 (1-2): 45–64.</w:t>
      </w:r>
      <w:r>
        <w:t xml:space="preserve"> </w:t>
      </w:r>
      <w:hyperlink r:id="rId46">
        <w:r>
          <w:rPr>
            <w:rStyle w:val="Hyperlink"/>
          </w:rPr>
          <w:t xml:space="preserve">https://doi.org/10.1016/s0022-1694(96)03086-7</w:t>
        </w:r>
      </w:hyperlink>
      <w:r>
        <w:t xml:space="preserve">.</w:t>
      </w:r>
    </w:p>
    <w:bookmarkEnd w:id="47"/>
    <w:bookmarkStart w:id="49"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8">
        <w:r>
          <w:rPr>
            <w:rStyle w:val="Hyperlink"/>
          </w:rPr>
          <w:t xml:space="preserve">https://doi.org/10.5194/nhess-2018-290</w:t>
        </w:r>
      </w:hyperlink>
      <w:r>
        <w:t xml:space="preserve">.</w:t>
      </w:r>
    </w:p>
    <w:bookmarkEnd w:id="49"/>
    <w:bookmarkStart w:id="51" w:name="ref-Cooley.2010"/>
    <w:p>
      <w:pPr>
        <w:pStyle w:val="Bibliography"/>
      </w:pPr>
      <w:r>
        <w:t xml:space="preserve">Cooley, Daniel, and Stephan R. Sain. 2010.</w:t>
      </w:r>
      <w:r>
        <w:t xml:space="preserve"> </w:t>
      </w:r>
      <w:r>
        <w:t xml:space="preserve">“</w:t>
      </w:r>
      <w:r>
        <w:t xml:space="preserve">Spatial Hierarchical Modeling of Precipitation Extremes From a Regional Climate Model</w:t>
      </w:r>
      <w:r>
        <w:t xml:space="preserve">.”</w:t>
      </w:r>
      <w:r>
        <w:t xml:space="preserve"> </w:t>
      </w:r>
      <w:r>
        <w:rPr>
          <w:i/>
          <w:iCs/>
        </w:rPr>
        <w:t xml:space="preserve">Journal of Agricultural, Biological, and Environmental Statistics</w:t>
      </w:r>
      <w:r>
        <w:t xml:space="preserve"> </w:t>
      </w:r>
      <w:r>
        <w:t xml:space="preserve">15 (3): 381–402.</w:t>
      </w:r>
      <w:r>
        <w:t xml:space="preserve"> </w:t>
      </w:r>
      <w:hyperlink r:id="rId50">
        <w:r>
          <w:rPr>
            <w:rStyle w:val="Hyperlink"/>
          </w:rPr>
          <w:t xml:space="preserve">https://doi.org/10.1007/s13253-010-0023-9</w:t>
        </w:r>
      </w:hyperlink>
      <w:r>
        <w:t xml:space="preserve">.</w:t>
      </w:r>
    </w:p>
    <w:bookmarkEnd w:id="51"/>
    <w:bookmarkStart w:id="53"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
          <w:iCs/>
        </w:rPr>
        <w:t xml:space="preserve">Environmental Research Letters</w:t>
      </w:r>
      <w:r>
        <w:t xml:space="preserve"> </w:t>
      </w:r>
      <w:r>
        <w:t xml:space="preserve">14 (8): 084045.</w:t>
      </w:r>
      <w:r>
        <w:t xml:space="preserve"> </w:t>
      </w:r>
      <w:hyperlink r:id="rId52">
        <w:r>
          <w:rPr>
            <w:rStyle w:val="Hyperlink"/>
          </w:rPr>
          <w:t xml:space="preserve">https://doi.org/10.1088/1748-9326/ab370a</w:t>
        </w:r>
      </w:hyperlink>
      <w:r>
        <w:t xml:space="preserve">.</w:t>
      </w:r>
    </w:p>
    <w:bookmarkEnd w:id="53"/>
    <w:bookmarkStart w:id="55"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
          <w:iCs/>
        </w:rPr>
        <w:t xml:space="preserve">Journal of Hydrology</w:t>
      </w:r>
      <w:r>
        <w:t xml:space="preserve"> </w:t>
      </w:r>
      <w:r>
        <w:t xml:space="preserve">632: 130847.</w:t>
      </w:r>
      <w:r>
        <w:t xml:space="preserve"> </w:t>
      </w:r>
      <w:hyperlink r:id="rId54">
        <w:r>
          <w:rPr>
            <w:rStyle w:val="Hyperlink"/>
          </w:rPr>
          <w:t xml:space="preserve">https://doi.org/10.1016/j.jhydrol.2024.130847</w:t>
        </w:r>
      </w:hyperlink>
      <w:r>
        <w:t xml:space="preserve">.</w:t>
      </w:r>
    </w:p>
    <w:bookmarkEnd w:id="55"/>
    <w:bookmarkStart w:id="57" w:name="ref-Fowler.2024"/>
    <w:p>
      <w:pPr>
        <w:pStyle w:val="Bibliography"/>
      </w:pPr>
      <w:r>
        <w:t xml:space="preserve">Fowler, Hayley, Amy Green, Elizabeth Lewis, David Pritchard, Stephen Blenkinsop, Luis Patino Velasquez, and Anna Whitford. 2024.</w:t>
      </w:r>
      <w:r>
        <w:t xml:space="preserve"> </w:t>
      </w:r>
      <w:r>
        <w:t xml:space="preserve">“</w:t>
      </w:r>
      <w:r>
        <w:t xml:space="preserve">Unveiling global sub-daily precipitation extremes: Insights and development of the INTENSE Project&amp;#160;</w:t>
      </w:r>
      <w:r>
        <w:t xml:space="preserve">”</w:t>
      </w:r>
      <w:r>
        <w:t xml:space="preserve"> </w:t>
      </w:r>
      <w:hyperlink r:id="rId56">
        <w:r>
          <w:rPr>
            <w:rStyle w:val="Hyperlink"/>
          </w:rPr>
          <w:t xml:space="preserve">https://doi.org/10.5194/egusphere-egu24-19552</w:t>
        </w:r>
      </w:hyperlink>
      <w:r>
        <w:t xml:space="preserve">.</w:t>
      </w:r>
    </w:p>
    <w:bookmarkEnd w:id="57"/>
    <w:bookmarkStart w:id="59"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
          <w:iCs/>
        </w:rPr>
        <w:t xml:space="preserve">Journal of Hydrology</w:t>
      </w:r>
      <w:r>
        <w:t xml:space="preserve"> </w:t>
      </w:r>
      <w:r>
        <w:t xml:space="preserve">541: 38–49.</w:t>
      </w:r>
      <w:r>
        <w:t xml:space="preserve"> </w:t>
      </w:r>
      <w:hyperlink r:id="rId58">
        <w:r>
          <w:rPr>
            <w:rStyle w:val="Hyperlink"/>
          </w:rPr>
          <w:t xml:space="preserve">https://doi.org/10.1016/j.jhydrol.2016.07.002</w:t>
        </w:r>
      </w:hyperlink>
      <w:r>
        <w:t xml:space="preserve">.</w:t>
      </w:r>
    </w:p>
    <w:bookmarkEnd w:id="59"/>
    <w:bookmarkStart w:id="61"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
          <w:iCs/>
        </w:rPr>
        <w:t xml:space="preserve">Hydrological Sciences Journal</w:t>
      </w:r>
      <w:r>
        <w:t xml:space="preserve"> </w:t>
      </w:r>
      <w:r>
        <w:t xml:space="preserve">68 (11): 1499–1512.</w:t>
      </w:r>
      <w:r>
        <w:t xml:space="preserve"> </w:t>
      </w:r>
      <w:hyperlink r:id="rId60">
        <w:r>
          <w:rPr>
            <w:rStyle w:val="Hyperlink"/>
          </w:rPr>
          <w:t xml:space="preserve">https://doi.org/10.1080/02626667.2023.2224002</w:t>
        </w:r>
      </w:hyperlink>
      <w:r>
        <w:t xml:space="preserve">.</w:t>
      </w:r>
    </w:p>
    <w:bookmarkEnd w:id="61"/>
    <w:bookmarkStart w:id="63"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
          <w:iCs/>
        </w:rPr>
        <w:t xml:space="preserve">Advances in Water Resources</w:t>
      </w:r>
      <w:r>
        <w:t xml:space="preserve"> </w:t>
      </w:r>
      <w:r>
        <w:t xml:space="preserve">163: 104144.</w:t>
      </w:r>
      <w:r>
        <w:t xml:space="preserve"> </w:t>
      </w:r>
      <w:hyperlink r:id="rId62">
        <w:r>
          <w:rPr>
            <w:rStyle w:val="Hyperlink"/>
          </w:rPr>
          <w:t xml:space="preserve">https://doi.org/10.1016/j.advwatres.2022.104144</w:t>
        </w:r>
      </w:hyperlink>
      <w:r>
        <w:t xml:space="preserve">.</w:t>
      </w:r>
    </w:p>
    <w:bookmarkEnd w:id="63"/>
    <w:bookmarkStart w:id="65" w:name="ref-Guerreiro.2024ji"/>
    <w:p>
      <w:pPr>
        <w:pStyle w:val="Bibliography"/>
      </w:pPr>
      <w:r>
        <w:t xml:space="preserve">Guerreiro, Selma B., Stephen Blenkinsop, Elizabeth Lewis, David Pritchard, Amy Green, and Hayley J. Fowler. 2024.</w:t>
      </w:r>
      <w:r>
        <w:t xml:space="preserve"> </w:t>
      </w:r>
      <w:r>
        <w:t xml:space="preserve">“</w:t>
      </w:r>
      <w:r>
        <w:t xml:space="preserve">Unravelling the complex interplay between daily and sub-daily rainfall extremes in different climates</w:t>
      </w:r>
      <w:r>
        <w:t xml:space="preserve">.”</w:t>
      </w:r>
      <w:r>
        <w:t xml:space="preserve"> </w:t>
      </w:r>
      <w:r>
        <w:rPr>
          <w:i/>
          <w:iCs/>
        </w:rPr>
        <w:t xml:space="preserve">Weather and Climate Extremes</w:t>
      </w:r>
      <w:r>
        <w:t xml:space="preserve"> </w:t>
      </w:r>
      <w:r>
        <w:t xml:space="preserve">46: 100735.</w:t>
      </w:r>
      <w:r>
        <w:t xml:space="preserve"> </w:t>
      </w:r>
      <w:hyperlink r:id="rId64">
        <w:r>
          <w:rPr>
            <w:rStyle w:val="Hyperlink"/>
          </w:rPr>
          <w:t xml:space="preserve">https://doi.org/10.1016/j.wace.2024.100735</w:t>
        </w:r>
      </w:hyperlink>
      <w:r>
        <w:t xml:space="preserve">.</w:t>
      </w:r>
    </w:p>
    <w:bookmarkEnd w:id="65"/>
    <w:bookmarkStart w:id="67" w:name="ref-Guerreiro.2024"/>
    <w:p>
      <w:pPr>
        <w:pStyle w:val="Bibliography"/>
      </w:pPr>
      <w:r>
        <w:t xml:space="preserve">Guerreiro, Selma de Brito, Stephen Blenkinsop, Elizabeth Lewis, David Pritchard, Amy Charlotte Green, and Hayley J Fowler. 2024.</w:t>
      </w:r>
      <w:r>
        <w:t xml:space="preserve"> </w:t>
      </w:r>
      <w:r>
        <w:t xml:space="preserve">“</w:t>
      </w:r>
      <w:r>
        <w:t xml:space="preserve">Unravelling the Complex Interplay between Daily and Sub-Daily Rainfall Extremes in Different Climates</w:t>
      </w:r>
      <w:r>
        <w:t xml:space="preserve">.”</w:t>
      </w:r>
      <w:r>
        <w:t xml:space="preserve"> </w:t>
      </w:r>
      <w:hyperlink r:id="rId66">
        <w:r>
          <w:rPr>
            <w:rStyle w:val="Hyperlink"/>
          </w:rPr>
          <w:t xml:space="preserve">https://doi.org/10.2139/ssrn.4749709</w:t>
        </w:r>
      </w:hyperlink>
      <w:r>
        <w:t xml:space="preserve">.</w:t>
      </w:r>
    </w:p>
    <w:bookmarkEnd w:id="67"/>
    <w:bookmarkStart w:id="69"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
          <w:iCs/>
        </w:rPr>
        <w:t xml:space="preserve">Journal of Geophysical Research: Atmospheres</w:t>
      </w:r>
      <w:r>
        <w:t xml:space="preserve"> </w:t>
      </w:r>
      <w:r>
        <w:t xml:space="preserve">95 (D3): 1999–2009.</w:t>
      </w:r>
      <w:r>
        <w:t xml:space="preserve"> </w:t>
      </w:r>
      <w:hyperlink r:id="rId68">
        <w:r>
          <w:rPr>
            <w:rStyle w:val="Hyperlink"/>
          </w:rPr>
          <w:t xml:space="preserve">https://doi.org/10.1029/jd095id03p01999</w:t>
        </w:r>
      </w:hyperlink>
      <w:r>
        <w:t xml:space="preserve">.</w:t>
      </w:r>
    </w:p>
    <w:bookmarkEnd w:id="69"/>
    <w:bookmarkStart w:id="71" w:name="ref-Innocenti.2017"/>
    <w:p>
      <w:pPr>
        <w:pStyle w:val="Bibliography"/>
      </w:pPr>
      <w:r>
        <w:t xml:space="preserve">Innocenti, Silvia, Alain Mailhot, and Anne Frigon. 2017.</w:t>
      </w:r>
      <w:r>
        <w:t xml:space="preserve"> </w:t>
      </w:r>
      <w:r>
        <w:t xml:space="preserve">“</w:t>
      </w:r>
      <w:r>
        <w:t xml:space="preserve">Simple scaling of extreme precipitation in North America</w:t>
      </w:r>
      <w:r>
        <w:t xml:space="preserve">.”</w:t>
      </w:r>
      <w:r>
        <w:t xml:space="preserve"> </w:t>
      </w:r>
      <w:r>
        <w:rPr>
          <w:i/>
          <w:iCs/>
        </w:rPr>
        <w:t xml:space="preserve">Hydrology and Earth System Sciences</w:t>
      </w:r>
      <w:r>
        <w:t xml:space="preserve"> </w:t>
      </w:r>
      <w:r>
        <w:t xml:space="preserve">21 (11): 5823–46.</w:t>
      </w:r>
      <w:r>
        <w:t xml:space="preserve"> </w:t>
      </w:r>
      <w:hyperlink r:id="rId70">
        <w:r>
          <w:rPr>
            <w:rStyle w:val="Hyperlink"/>
          </w:rPr>
          <w:t xml:space="preserve">https://doi.org/10.5194/hess-21-5823-2017</w:t>
        </w:r>
      </w:hyperlink>
      <w:r>
        <w:t xml:space="preserve">.</w:t>
      </w:r>
    </w:p>
    <w:bookmarkEnd w:id="71"/>
    <w:bookmarkStart w:id="73"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
          <w:iCs/>
        </w:rPr>
        <w:t xml:space="preserve">Water Resources Research</w:t>
      </w:r>
      <w:r>
        <w:t xml:space="preserve"> </w:t>
      </w:r>
      <w:r>
        <w:t xml:space="preserve">29 (7): 2345–61.</w:t>
      </w:r>
      <w:r>
        <w:t xml:space="preserve"> </w:t>
      </w:r>
      <w:hyperlink r:id="rId72">
        <w:r>
          <w:rPr>
            <w:rStyle w:val="Hyperlink"/>
          </w:rPr>
          <w:t xml:space="preserve">https://doi.org/10.1029/93wr00395</w:t>
        </w:r>
      </w:hyperlink>
      <w:r>
        <w:t xml:space="preserve">.</w:t>
      </w:r>
    </w:p>
    <w:bookmarkEnd w:id="73"/>
    <w:bookmarkStart w:id="75"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
          <w:iCs/>
        </w:rPr>
        <w:t xml:space="preserve">Water Resources Research</w:t>
      </w:r>
      <w:r>
        <w:t xml:space="preserve"> </w:t>
      </w:r>
      <w:r>
        <w:t xml:space="preserve">43 (2).</w:t>
      </w:r>
      <w:r>
        <w:t xml:space="preserve"> </w:t>
      </w:r>
      <w:hyperlink r:id="rId74">
        <w:r>
          <w:rPr>
            <w:rStyle w:val="Hyperlink"/>
          </w:rPr>
          <w:t xml:space="preserve">https://doi.org/10.1029/2006wr005245</w:t>
        </w:r>
      </w:hyperlink>
      <w:r>
        <w:t xml:space="preserve">.</w:t>
      </w:r>
    </w:p>
    <w:bookmarkEnd w:id="75"/>
    <w:bookmarkStart w:id="77"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
          <w:iCs/>
        </w:rPr>
        <w:t xml:space="preserve">Water Resources Research</w:t>
      </w:r>
      <w:r>
        <w:t xml:space="preserve"> </w:t>
      </w:r>
      <w:r>
        <w:t xml:space="preserve">54 (3): 2233–48.</w:t>
      </w:r>
      <w:r>
        <w:t xml:space="preserve"> </w:t>
      </w:r>
      <w:hyperlink r:id="rId76">
        <w:r>
          <w:rPr>
            <w:rStyle w:val="Hyperlink"/>
          </w:rPr>
          <w:t xml:space="preserve">https://doi.org/10.1002/2017wr022231</w:t>
        </w:r>
      </w:hyperlink>
      <w:r>
        <w:t xml:space="preserve">.</w:t>
      </w:r>
    </w:p>
    <w:bookmarkEnd w:id="77"/>
    <w:bookmarkStart w:id="79" w:name="ref-Le.2019"/>
    <w:p>
      <w:pPr>
        <w:pStyle w:val="Bibliography"/>
      </w:pPr>
      <w:r>
        <w:t xml:space="preserve">———. 2019.</w:t>
      </w:r>
      <w:r>
        <w:t xml:space="preserve"> </w:t>
      </w:r>
      <w:r>
        <w:t xml:space="preserve">“</w:t>
      </w:r>
      <w:r>
        <w:t xml:space="preserve">Spatially dependent flood probabilities to support the design of civil infrastructure systems</w:t>
      </w:r>
      <w:r>
        <w:t xml:space="preserve">.”</w:t>
      </w:r>
      <w:r>
        <w:t xml:space="preserve"> </w:t>
      </w:r>
      <w:r>
        <w:rPr>
          <w:i/>
          <w:iCs/>
        </w:rPr>
        <w:t xml:space="preserve">Hydrology and Earth System Sciences</w:t>
      </w:r>
      <w:r>
        <w:t xml:space="preserve"> </w:t>
      </w:r>
      <w:r>
        <w:t xml:space="preserve">23 (11): 4851–67.</w:t>
      </w:r>
      <w:r>
        <w:t xml:space="preserve"> </w:t>
      </w:r>
      <w:hyperlink r:id="rId78">
        <w:r>
          <w:rPr>
            <w:rStyle w:val="Hyperlink"/>
          </w:rPr>
          <w:t xml:space="preserve">https://doi.org/10.5194/hess-23-4851-2019</w:t>
        </w:r>
      </w:hyperlink>
      <w:r>
        <w:t xml:space="preserve">.</w:t>
      </w:r>
    </w:p>
    <w:bookmarkEnd w:id="79"/>
    <w:bookmarkStart w:id="81"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
          <w:iCs/>
        </w:rPr>
        <w:t xml:space="preserve">Journal of Hydrology</w:t>
      </w:r>
      <w:r>
        <w:t xml:space="preserve"> </w:t>
      </w:r>
      <w:r>
        <w:t xml:space="preserve">566: 73–88.</w:t>
      </w:r>
      <w:r>
        <w:t xml:space="preserve"> </w:t>
      </w:r>
      <w:hyperlink r:id="rId80">
        <w:r>
          <w:rPr>
            <w:rStyle w:val="Hyperlink"/>
          </w:rPr>
          <w:t xml:space="preserve">https://doi.org/10.1016/j.jhydrol.2018.08.075</w:t>
        </w:r>
      </w:hyperlink>
      <w:r>
        <w:t xml:space="preserve">.</w:t>
      </w:r>
    </w:p>
    <w:bookmarkEnd w:id="81"/>
    <w:bookmarkStart w:id="83"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
          <w:iCs/>
        </w:rPr>
        <w:t xml:space="preserve">Water Resources Research</w:t>
      </w:r>
      <w:r>
        <w:t xml:space="preserve"> </w:t>
      </w:r>
      <w:r>
        <w:t xml:space="preserve">21 (8): 1233–50.</w:t>
      </w:r>
      <w:r>
        <w:t xml:space="preserve"> </w:t>
      </w:r>
      <w:hyperlink r:id="rId82">
        <w:r>
          <w:rPr>
            <w:rStyle w:val="Hyperlink"/>
          </w:rPr>
          <w:t xml:space="preserve">https://doi.org/10.1029/wr021i008p01233</w:t>
        </w:r>
      </w:hyperlink>
      <w:r>
        <w:t xml:space="preserve">.</w:t>
      </w:r>
    </w:p>
    <w:bookmarkEnd w:id="83"/>
    <w:bookmarkStart w:id="85"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
          <w:iCs/>
        </w:rPr>
        <w:t xml:space="preserve">Bulletin of the American Meteorological Society</w:t>
      </w:r>
      <w:r>
        <w:t xml:space="preserve"> </w:t>
      </w:r>
      <w:r>
        <w:t xml:space="preserve">67 (1): 21–32.</w:t>
      </w:r>
      <w:r>
        <w:t xml:space="preserve"> </w:t>
      </w:r>
      <w:hyperlink r:id="rId84">
        <w:r>
          <w:rPr>
            <w:rStyle w:val="Hyperlink"/>
          </w:rPr>
          <w:t xml:space="preserve">https://doi.org/10.1175/1520-0477(1986)067&lt;0021:sisfas&gt;2.0.co;2</w:t>
        </w:r>
      </w:hyperlink>
      <w:r>
        <w:t xml:space="preserve">.</w:t>
      </w:r>
    </w:p>
    <w:bookmarkEnd w:id="85"/>
    <w:bookmarkStart w:id="87"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
          <w:iCs/>
        </w:rPr>
        <w:t xml:space="preserve">Water Resources Research</w:t>
      </w:r>
      <w:r>
        <w:t xml:space="preserve"> </w:t>
      </w:r>
      <w:r>
        <w:t xml:space="preserve">4 (5): 909–18.</w:t>
      </w:r>
      <w:r>
        <w:t xml:space="preserve"> </w:t>
      </w:r>
      <w:hyperlink r:id="rId86">
        <w:r>
          <w:rPr>
            <w:rStyle w:val="Hyperlink"/>
          </w:rPr>
          <w:t xml:space="preserve">https://doi.org/10.1029/wr004i005p00909</w:t>
        </w:r>
      </w:hyperlink>
      <w:r>
        <w:t xml:space="preserve">.</w:t>
      </w:r>
    </w:p>
    <w:bookmarkEnd w:id="87"/>
    <w:bookmarkStart w:id="89"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
          <w:iCs/>
        </w:rPr>
        <w:t xml:space="preserve">Journal of Applied Meteorology and Climatology</w:t>
      </w:r>
      <w:r>
        <w:t xml:space="preserve"> </w:t>
      </w:r>
      <w:r>
        <w:t xml:space="preserve">59 (9): 1519–36.</w:t>
      </w:r>
      <w:r>
        <w:t xml:space="preserve"> </w:t>
      </w:r>
      <w:hyperlink r:id="rId88">
        <w:r>
          <w:rPr>
            <w:rStyle w:val="Hyperlink"/>
          </w:rPr>
          <w:t xml:space="preserve">https://doi.org/10.1175/jamc-d-20-0094.1</w:t>
        </w:r>
      </w:hyperlink>
      <w:r>
        <w:t xml:space="preserve">.</w:t>
      </w:r>
    </w:p>
    <w:bookmarkEnd w:id="89"/>
    <w:bookmarkStart w:id="91"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
          <w:iCs/>
        </w:rPr>
        <w:t xml:space="preserve">Water Resources Research</w:t>
      </w:r>
      <w:r>
        <w:t xml:space="preserve"> </w:t>
      </w:r>
      <w:r>
        <w:t xml:space="preserve">33 (12): 2823–30.</w:t>
      </w:r>
      <w:r>
        <w:t xml:space="preserve"> </w:t>
      </w:r>
      <w:hyperlink r:id="rId90">
        <w:r>
          <w:rPr>
            <w:rStyle w:val="Hyperlink"/>
          </w:rPr>
          <w:t xml:space="preserve">https://doi.org/10.1029/97wr02006</w:t>
        </w:r>
      </w:hyperlink>
      <w:r>
        <w:t xml:space="preserve">.</w:t>
      </w:r>
    </w:p>
    <w:bookmarkEnd w:id="91"/>
    <w:bookmarkStart w:id="93"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
          <w:iCs/>
        </w:rPr>
        <w:t xml:space="preserve">Water Resources Research</w:t>
      </w:r>
      <w:r>
        <w:t xml:space="preserve"> </w:t>
      </w:r>
      <w:r>
        <w:t xml:space="preserve">35 (1): 335–39.</w:t>
      </w:r>
      <w:r>
        <w:t xml:space="preserve"> </w:t>
      </w:r>
      <w:hyperlink r:id="rId92">
        <w:r>
          <w:rPr>
            <w:rStyle w:val="Hyperlink"/>
          </w:rPr>
          <w:t xml:space="preserve">https://doi.org/10.1029/1998wr900012</w:t>
        </w:r>
      </w:hyperlink>
      <w:r>
        <w:t xml:space="preserve">.</w:t>
      </w:r>
    </w:p>
    <w:bookmarkEnd w:id="93"/>
    <w:bookmarkStart w:id="95"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
          <w:iCs/>
        </w:rPr>
        <w:t xml:space="preserve">Water Science and Technology</w:t>
      </w:r>
      <w:r>
        <w:t xml:space="preserve"> </w:t>
      </w:r>
      <w:r>
        <w:t xml:space="preserve">37 (11): 15–19.</w:t>
      </w:r>
      <w:r>
        <w:t xml:space="preserve"> </w:t>
      </w:r>
      <w:hyperlink r:id="rId94">
        <w:r>
          <w:rPr>
            <w:rStyle w:val="Hyperlink"/>
          </w:rPr>
          <w:t xml:space="preserve">https://doi.org/10.2166/wst.1998.0425</w:t>
        </w:r>
      </w:hyperlink>
      <w:r>
        <w:t xml:space="preserve">.</w:t>
      </w:r>
    </w:p>
    <w:bookmarkEnd w:id="95"/>
    <w:bookmarkStart w:id="97"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
          <w:iCs/>
        </w:rPr>
        <w:t xml:space="preserve">Water Resources Research</w:t>
      </w:r>
      <w:r>
        <w:t xml:space="preserve"> </w:t>
      </w:r>
      <w:r>
        <w:t xml:space="preserve">54 (9): 6725–38.</w:t>
      </w:r>
      <w:r>
        <w:t xml:space="preserve"> </w:t>
      </w:r>
      <w:hyperlink r:id="rId96">
        <w:r>
          <w:rPr>
            <w:rStyle w:val="Hyperlink"/>
          </w:rPr>
          <w:t xml:space="preserve">https://doi.org/10.1029/2018wr022732</w:t>
        </w:r>
      </w:hyperlink>
      <w:r>
        <w:t xml:space="preserve">.</w:t>
      </w:r>
    </w:p>
    <w:bookmarkEnd w:id="97"/>
    <w:bookmarkStart w:id="99" w:name="ref-Papalexiou.2018h3"/>
    <w:p>
      <w:pPr>
        <w:pStyle w:val="Bibliography"/>
      </w:pPr>
      <w:r>
        <w:t xml:space="preserve">Papalexiou, Simon Michael, Yannis Markonis, Federico Lombardo, Amir AghaKouchak, and Efi Foufoula‐Georgiou. 2018.</w:t>
      </w:r>
      <w:r>
        <w:t xml:space="preserve"> </w:t>
      </w:r>
      <w:r>
        <w:t xml:space="preserve">“</w:t>
      </w:r>
      <w:r>
        <w:t xml:space="preserve">Precise Temporal Disaggregation Preserving Marginals and Correlations (DiPMaC) for Stationary and Nonstationary Processes</w:t>
      </w:r>
      <w:r>
        <w:t xml:space="preserve">.”</w:t>
      </w:r>
      <w:r>
        <w:t xml:space="preserve"> </w:t>
      </w:r>
      <w:r>
        <w:rPr>
          <w:i/>
          <w:iCs/>
        </w:rPr>
        <w:t xml:space="preserve">Water Resources Research</w:t>
      </w:r>
      <w:r>
        <w:t xml:space="preserve"> </w:t>
      </w:r>
      <w:r>
        <w:t xml:space="preserve">54 (10): 7435–58.</w:t>
      </w:r>
      <w:r>
        <w:t xml:space="preserve"> </w:t>
      </w:r>
      <w:hyperlink r:id="rId98">
        <w:r>
          <w:rPr>
            <w:rStyle w:val="Hyperlink"/>
          </w:rPr>
          <w:t xml:space="preserve">https://doi.org/10.1029/2018wr022726</w:t>
        </w:r>
      </w:hyperlink>
      <w:r>
        <w:t xml:space="preserve">.</w:t>
      </w:r>
    </w:p>
    <w:bookmarkEnd w:id="99"/>
    <w:bookmarkStart w:id="101"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
          <w:iCs/>
        </w:rPr>
        <w:t xml:space="preserve">Journal of Hydrology</w:t>
      </w:r>
      <w:r>
        <w:t xml:space="preserve"> </w:t>
      </w:r>
      <w:r>
        <w:t xml:space="preserve">634: 131101.</w:t>
      </w:r>
      <w:r>
        <w:t xml:space="preserve"> </w:t>
      </w:r>
      <w:hyperlink r:id="rId100">
        <w:r>
          <w:rPr>
            <w:rStyle w:val="Hyperlink"/>
          </w:rPr>
          <w:t xml:space="preserve">https://doi.org/10.1016/j.jhydrol.2024.131101</w:t>
        </w:r>
      </w:hyperlink>
      <w:r>
        <w:t xml:space="preserve">.</w:t>
      </w:r>
    </w:p>
    <w:bookmarkEnd w:id="101"/>
    <w:bookmarkStart w:id="103"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
          <w:iCs/>
        </w:rPr>
        <w:t xml:space="preserve">Journal of Hydrology: Regional Studies</w:t>
      </w:r>
      <w:r>
        <w:t xml:space="preserve"> </w:t>
      </w:r>
      <w:r>
        <w:t xml:space="preserve">35: 100811.</w:t>
      </w:r>
      <w:r>
        <w:t xml:space="preserve"> </w:t>
      </w:r>
      <w:hyperlink r:id="rId102">
        <w:r>
          <w:rPr>
            <w:rStyle w:val="Hyperlink"/>
          </w:rPr>
          <w:t xml:space="preserve">https://doi.org/10.1016/j.ejrh.2021.100811</w:t>
        </w:r>
      </w:hyperlink>
      <w:r>
        <w:t xml:space="preserve">.</w:t>
      </w:r>
    </w:p>
    <w:bookmarkEnd w:id="103"/>
    <w:bookmarkStart w:id="105"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
          <w:iCs/>
        </w:rPr>
        <w:t xml:space="preserve">Journal of Hydrologic Engineering</w:t>
      </w:r>
      <w:r>
        <w:t xml:space="preserve"> </w:t>
      </w:r>
      <w:r>
        <w:t xml:space="preserve">28 (7): 05023010.</w:t>
      </w:r>
      <w:r>
        <w:t xml:space="preserve"> </w:t>
      </w:r>
      <w:hyperlink r:id="rId104">
        <w:r>
          <w:rPr>
            <w:rStyle w:val="Hyperlink"/>
          </w:rPr>
          <w:t xml:space="preserve">https://doi.org/10.1061/jhyeff.heeng-5934</w:t>
        </w:r>
      </w:hyperlink>
      <w:r>
        <w:t xml:space="preserve">.</w:t>
      </w:r>
    </w:p>
    <w:bookmarkEnd w:id="105"/>
    <w:bookmarkStart w:id="107"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
          <w:iCs/>
        </w:rPr>
        <w:t xml:space="preserve">Natural Hazards and Earth System Sciences</w:t>
      </w:r>
      <w:r>
        <w:t xml:space="preserve"> </w:t>
      </w:r>
      <w:r>
        <w:t xml:space="preserve">18 (7): 1849–66.</w:t>
      </w:r>
      <w:r>
        <w:t xml:space="preserve"> </w:t>
      </w:r>
      <w:hyperlink r:id="rId106">
        <w:r>
          <w:rPr>
            <w:rStyle w:val="Hyperlink"/>
          </w:rPr>
          <w:t xml:space="preserve">https://doi.org/10.5194/nhess-18-1849-2018</w:t>
        </w:r>
      </w:hyperlink>
      <w:r>
        <w:t xml:space="preserve">.</w:t>
      </w:r>
    </w:p>
    <w:bookmarkEnd w:id="107"/>
    <w:bookmarkStart w:id="109"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
          <w:iCs/>
        </w:rPr>
        <w:t xml:space="preserve">Weather and Climate Extremes</w:t>
      </w:r>
      <w:r>
        <w:t xml:space="preserve"> </w:t>
      </w:r>
      <w:r>
        <w:t xml:space="preserve">13: 44–53.</w:t>
      </w:r>
      <w:r>
        <w:t xml:space="preserve"> </w:t>
      </w:r>
      <w:hyperlink r:id="rId108">
        <w:r>
          <w:rPr>
            <w:rStyle w:val="Hyperlink"/>
          </w:rPr>
          <w:t xml:space="preserve">https://doi.org/10.1016/j.wace.2016.07.002</w:t>
        </w:r>
      </w:hyperlink>
      <w:r>
        <w:t xml:space="preserve">.</w:t>
      </w:r>
    </w:p>
    <w:bookmarkEnd w:id="109"/>
    <w:bookmarkStart w:id="111"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
          <w:iCs/>
        </w:rPr>
        <w:t xml:space="preserve">Journal of Water and Climate Change</w:t>
      </w:r>
      <w:r>
        <w:t xml:space="preserve"> </w:t>
      </w:r>
      <w:r>
        <w:t xml:space="preserve">13 (2): 684–706.</w:t>
      </w:r>
      <w:r>
        <w:t xml:space="preserve"> </w:t>
      </w:r>
      <w:hyperlink r:id="rId110">
        <w:r>
          <w:rPr>
            <w:rStyle w:val="Hyperlink"/>
          </w:rPr>
          <w:t xml:space="preserve">https://doi.org/10.2166/wcc.2021.241</w:t>
        </w:r>
      </w:hyperlink>
      <w:r>
        <w:t xml:space="preserve">.</w:t>
      </w:r>
    </w:p>
    <w:bookmarkEnd w:id="111"/>
    <w:bookmarkStart w:id="113"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
          <w:iCs/>
        </w:rPr>
        <w:t xml:space="preserve">Hydrology and Earth System Sciences</w:t>
      </w:r>
      <w:r>
        <w:t xml:space="preserve"> </w:t>
      </w:r>
      <w:r>
        <w:t xml:space="preserve">28 (2): 391–416.</w:t>
      </w:r>
      <w:r>
        <w:t xml:space="preserve"> </w:t>
      </w:r>
      <w:hyperlink r:id="rId112">
        <w:r>
          <w:rPr>
            <w:rStyle w:val="Hyperlink"/>
          </w:rPr>
          <w:t xml:space="preserve">https://doi.org/10.5194/hess-28-391-2024</w:t>
        </w:r>
      </w:hyperlink>
      <w:r>
        <w:t xml:space="preserve">.</w:t>
      </w:r>
    </w:p>
    <w:bookmarkEnd w:id="113"/>
    <w:bookmarkStart w:id="115"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
          <w:iCs/>
        </w:rPr>
        <w:t xml:space="preserve">Hydrological Processes</w:t>
      </w:r>
      <w:r>
        <w:t xml:space="preserve"> </w:t>
      </w:r>
      <w:r>
        <w:t xml:space="preserve">32 (11): 1635–47.</w:t>
      </w:r>
      <w:r>
        <w:t xml:space="preserve"> </w:t>
      </w:r>
      <w:hyperlink r:id="rId114">
        <w:r>
          <w:rPr>
            <w:rStyle w:val="Hyperlink"/>
          </w:rPr>
          <w:t xml:space="preserve">https://doi.org/10.1002/hyp.11516</w:t>
        </w:r>
      </w:hyperlink>
      <w:r>
        <w:t xml:space="preserve">.</w:t>
      </w:r>
    </w:p>
    <w:bookmarkEnd w:id="115"/>
    <w:bookmarkStart w:id="117"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
          <w:iCs/>
        </w:rPr>
        <w:t xml:space="preserve">International Journal of Climatology</w:t>
      </w:r>
      <w:r>
        <w:t xml:space="preserve"> </w:t>
      </w:r>
      <w:r>
        <w:t xml:space="preserve">44 (1): 286–304.</w:t>
      </w:r>
      <w:r>
        <w:t xml:space="preserve"> </w:t>
      </w:r>
      <w:hyperlink r:id="rId116">
        <w:r>
          <w:rPr>
            <w:rStyle w:val="Hyperlink"/>
          </w:rPr>
          <w:t xml:space="preserve">https://doi.org/10.1002/joc.8330</w:t>
        </w:r>
      </w:hyperlink>
      <w:r>
        <w:t xml:space="preserve">.</w:t>
      </w:r>
    </w:p>
    <w:bookmarkEnd w:id="117"/>
    <w:bookmarkStart w:id="119" w:name="ref-Yeo.2022"/>
    <w:p>
      <w:pPr>
        <w:pStyle w:val="Bibliography"/>
      </w:pPr>
      <w:r>
        <w:t xml:space="preserve">Yeo, Myeong-Ho, Van-Thanh-Van Nguyen, Yong Sang Kim, and Theodore A. Kpodonu. 2022.</w:t>
      </w:r>
      <w:r>
        <w:t xml:space="preserve"> </w:t>
      </w:r>
      <w:r>
        <w:t xml:space="preserve">“</w:t>
      </w:r>
      <w:r>
        <w:t xml:space="preserve">An Integrated Extreme Rainfall Modeling Tool (SDExtreme) for Climate Change Impacts and Adaptation</w:t>
      </w:r>
      <w:r>
        <w:t xml:space="preserve">.”</w:t>
      </w:r>
      <w:r>
        <w:t xml:space="preserve"> </w:t>
      </w:r>
      <w:r>
        <w:rPr>
          <w:i/>
          <w:iCs/>
        </w:rPr>
        <w:t xml:space="preserve">Water Resources Management</w:t>
      </w:r>
      <w:r>
        <w:t xml:space="preserve"> </w:t>
      </w:r>
      <w:r>
        <w:t xml:space="preserve">36 (9): 3153–79.</w:t>
      </w:r>
      <w:r>
        <w:t xml:space="preserve"> </w:t>
      </w:r>
      <w:hyperlink r:id="rId118">
        <w:r>
          <w:rPr>
            <w:rStyle w:val="Hyperlink"/>
          </w:rPr>
          <w:t xml:space="preserve">https://doi.org/10.1007/s11269-022-03194-1</w:t>
        </w:r>
      </w:hyperlink>
      <w:r>
        <w:t xml:space="preserve">.</w:t>
      </w:r>
    </w:p>
    <w:bookmarkEnd w:id="119"/>
    <w:bookmarkStart w:id="121"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
          <w:iCs/>
        </w:rPr>
        <w:t xml:space="preserve">International Journal of Climatology</w:t>
      </w:r>
      <w:r>
        <w:t xml:space="preserve"> </w:t>
      </w:r>
      <w:r>
        <w:t xml:space="preserve">41 (1): 456–68.</w:t>
      </w:r>
      <w:r>
        <w:t xml:space="preserve"> </w:t>
      </w:r>
      <w:hyperlink r:id="rId120">
        <w:r>
          <w:rPr>
            <w:rStyle w:val="Hyperlink"/>
          </w:rPr>
          <w:t xml:space="preserve">https://doi.org/10.1002/joc.6631</w:t>
        </w:r>
      </w:hyperlink>
      <w:r>
        <w:t xml:space="preserve">.</w:t>
      </w:r>
    </w:p>
    <w:bookmarkEnd w:id="121"/>
    <w:bookmarkStart w:id="123" w:name="ref-Yu.2004"/>
    <w:p>
      <w:pPr>
        <w:pStyle w:val="Bibliography"/>
      </w:pPr>
      <w:r>
        <w:t xml:space="preserve">Yu, Pao-Shan, Tao-Chang Yang, and Chin-Sheng Lin. 2004.</w:t>
      </w:r>
      <w:r>
        <w:t xml:space="preserve"> </w:t>
      </w:r>
      <w:r>
        <w:t xml:space="preserve">“</w:t>
      </w:r>
      <w:r>
        <w:t xml:space="preserve">Regional rainfall intensity formulas based on scaling property of rainfall</w:t>
      </w:r>
      <w:r>
        <w:t xml:space="preserve">.”</w:t>
      </w:r>
      <w:r>
        <w:t xml:space="preserve"> </w:t>
      </w:r>
      <w:r>
        <w:rPr>
          <w:i/>
          <w:iCs/>
        </w:rPr>
        <w:t xml:space="preserve">Journal of Hydrology</w:t>
      </w:r>
      <w:r>
        <w:t xml:space="preserve"> </w:t>
      </w:r>
      <w:r>
        <w:t xml:space="preserve">295 (1-4): 108–23.</w:t>
      </w:r>
      <w:r>
        <w:t xml:space="preserve"> </w:t>
      </w:r>
      <w:hyperlink r:id="rId122">
        <w:r>
          <w:rPr>
            <w:rStyle w:val="Hyperlink"/>
          </w:rPr>
          <w:t xml:space="preserve">https://doi.org/10.1016/j.jhydrol.2004.03.003</w:t>
        </w:r>
      </w:hyperlink>
      <w: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6" Target="https://doi.org/10.1002/2017wr022231" TargetMode="External" /><Relationship Type="http://schemas.openxmlformats.org/officeDocument/2006/relationships/hyperlink" Id="rId114" Target="https://doi.org/10.1002/hyp.11516" TargetMode="External" /><Relationship Type="http://schemas.openxmlformats.org/officeDocument/2006/relationships/hyperlink" Id="rId120" Target="https://doi.org/10.1002/joc.6631" TargetMode="External" /><Relationship Type="http://schemas.openxmlformats.org/officeDocument/2006/relationships/hyperlink" Id="rId116" Target="https://doi.org/10.1002/joc.8330" TargetMode="External" /><Relationship Type="http://schemas.openxmlformats.org/officeDocument/2006/relationships/hyperlink" Id="rId33" Target="https://doi.org/10.1007/s00477-023-02546-6" TargetMode="External" /><Relationship Type="http://schemas.openxmlformats.org/officeDocument/2006/relationships/hyperlink" Id="rId44" Target="https://doi.org/10.1007/s11069-004-4550-y" TargetMode="External" /><Relationship Type="http://schemas.openxmlformats.org/officeDocument/2006/relationships/hyperlink" Id="rId42" Target="https://doi.org/10.1007/s11269-020-02667-5" TargetMode="External" /><Relationship Type="http://schemas.openxmlformats.org/officeDocument/2006/relationships/hyperlink" Id="rId118" Target="https://doi.org/10.1007/s11269-022-03194-1" TargetMode="External" /><Relationship Type="http://schemas.openxmlformats.org/officeDocument/2006/relationships/hyperlink" Id="rId50" Target="https://doi.org/10.1007/s13253-010-0023-9" TargetMode="External" /><Relationship Type="http://schemas.openxmlformats.org/officeDocument/2006/relationships/hyperlink" Id="rId62" Target="https://doi.org/10.1016/j.advwatres.2022.104144" TargetMode="External" /><Relationship Type="http://schemas.openxmlformats.org/officeDocument/2006/relationships/hyperlink" Id="rId102" Target="https://doi.org/10.1016/j.ejrh.2021.100811" TargetMode="External" /><Relationship Type="http://schemas.openxmlformats.org/officeDocument/2006/relationships/hyperlink" Id="rId122" Target="https://doi.org/10.1016/j.jhydrol.2004.03.003" TargetMode="External" /><Relationship Type="http://schemas.openxmlformats.org/officeDocument/2006/relationships/hyperlink" Id="rId40" Target="https://doi.org/10.1016/j.jhydrol.2016.06.007" TargetMode="External" /><Relationship Type="http://schemas.openxmlformats.org/officeDocument/2006/relationships/hyperlink" Id="rId58" Target="https://doi.org/10.1016/j.jhydrol.2016.07.002" TargetMode="External" /><Relationship Type="http://schemas.openxmlformats.org/officeDocument/2006/relationships/hyperlink" Id="rId80" Target="https://doi.org/10.1016/j.jhydrol.2018.08.075" TargetMode="External" /><Relationship Type="http://schemas.openxmlformats.org/officeDocument/2006/relationships/hyperlink" Id="rId54" Target="https://doi.org/10.1016/j.jhydrol.2024.130847" TargetMode="External" /><Relationship Type="http://schemas.openxmlformats.org/officeDocument/2006/relationships/hyperlink" Id="rId100" Target="https://doi.org/10.1016/j.jhydrol.2024.131101" TargetMode="External" /><Relationship Type="http://schemas.openxmlformats.org/officeDocument/2006/relationships/hyperlink" Id="rId108" Target="https://doi.org/10.1016/j.wace.2016.07.002" TargetMode="External" /><Relationship Type="http://schemas.openxmlformats.org/officeDocument/2006/relationships/hyperlink" Id="rId64" Target="https://doi.org/10.1016/j.wace.2024.100735" TargetMode="External" /><Relationship Type="http://schemas.openxmlformats.org/officeDocument/2006/relationships/hyperlink" Id="rId46" Target="https://doi.org/10.1016/s0022-1694(96)03086-7" TargetMode="External" /><Relationship Type="http://schemas.openxmlformats.org/officeDocument/2006/relationships/hyperlink" Id="rId92" Target="https://doi.org/10.1029/1998wr900012" TargetMode="External" /><Relationship Type="http://schemas.openxmlformats.org/officeDocument/2006/relationships/hyperlink" Id="rId31" Target="https://doi.org/10.1029/2006wr004911" TargetMode="External" /><Relationship Type="http://schemas.openxmlformats.org/officeDocument/2006/relationships/hyperlink" Id="rId74" Target="https://doi.org/10.1029/2006wr005245" TargetMode="External" /><Relationship Type="http://schemas.openxmlformats.org/officeDocument/2006/relationships/hyperlink" Id="rId98" Target="https://doi.org/10.1029/2018wr022726" TargetMode="External" /><Relationship Type="http://schemas.openxmlformats.org/officeDocument/2006/relationships/hyperlink" Id="rId96" Target="https://doi.org/10.1029/2018wr022732" TargetMode="External" /><Relationship Type="http://schemas.openxmlformats.org/officeDocument/2006/relationships/hyperlink" Id="rId72" Target="https://doi.org/10.1029/93wr00395" TargetMode="External" /><Relationship Type="http://schemas.openxmlformats.org/officeDocument/2006/relationships/hyperlink" Id="rId90" Target="https://doi.org/10.1029/97wr02006" TargetMode="External" /><Relationship Type="http://schemas.openxmlformats.org/officeDocument/2006/relationships/hyperlink" Id="rId68" Target="https://doi.org/10.1029/jd095id03p01999" TargetMode="External" /><Relationship Type="http://schemas.openxmlformats.org/officeDocument/2006/relationships/hyperlink" Id="rId86" Target="https://doi.org/10.1029/wr004i005p00909" TargetMode="External" /><Relationship Type="http://schemas.openxmlformats.org/officeDocument/2006/relationships/hyperlink" Id="rId82" Target="https://doi.org/10.1029/wr021i008p01233" TargetMode="External" /><Relationship Type="http://schemas.openxmlformats.org/officeDocument/2006/relationships/hyperlink" Id="rId104" Target="https://doi.org/10.1061/jhyeff.heeng-5934" TargetMode="External" /><Relationship Type="http://schemas.openxmlformats.org/officeDocument/2006/relationships/hyperlink" Id="rId60" Target="https://doi.org/10.1080/02626667.2023.2224002" TargetMode="External" /><Relationship Type="http://schemas.openxmlformats.org/officeDocument/2006/relationships/hyperlink" Id="rId52" Target="https://doi.org/10.1088/1748-9326/ab370a" TargetMode="External" /><Relationship Type="http://schemas.openxmlformats.org/officeDocument/2006/relationships/hyperlink" Id="rId38" Target="https://doi.org/10.1088/1748-9326/abd4ab" TargetMode="External" /><Relationship Type="http://schemas.openxmlformats.org/officeDocument/2006/relationships/hyperlink" Id="rId84" Target="https://doi.org/10.1175/1520-0477(1986)067&lt;0021:sisfas&gt;2.0.co;2" TargetMode="External" /><Relationship Type="http://schemas.openxmlformats.org/officeDocument/2006/relationships/hyperlink" Id="rId88" Target="https://doi.org/10.1175/jamc-d-20-0094.1" TargetMode="External" /><Relationship Type="http://schemas.openxmlformats.org/officeDocument/2006/relationships/hyperlink" Id="rId27" Target="https://doi.org/10.1590/1678-4324-2022210694" TargetMode="External" /><Relationship Type="http://schemas.openxmlformats.org/officeDocument/2006/relationships/hyperlink" Id="rId29"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66" Target="https://doi.org/10.2139/ssrn.4749709" TargetMode="External" /><Relationship Type="http://schemas.openxmlformats.org/officeDocument/2006/relationships/hyperlink" Id="rId110" Target="https://doi.org/10.2166/wcc.2021.241" TargetMode="External" /><Relationship Type="http://schemas.openxmlformats.org/officeDocument/2006/relationships/hyperlink" Id="rId94" Target="https://doi.org/10.2166/wst.1998.0425" TargetMode="External" /><Relationship Type="http://schemas.openxmlformats.org/officeDocument/2006/relationships/hyperlink" Id="rId56" Target="https://doi.org/10.5194/egusphere-egu24-19552" TargetMode="External" /><Relationship Type="http://schemas.openxmlformats.org/officeDocument/2006/relationships/hyperlink" Id="rId70" Target="https://doi.org/10.5194/hess-21-5823-2017" TargetMode="External" /><Relationship Type="http://schemas.openxmlformats.org/officeDocument/2006/relationships/hyperlink" Id="rId78" Target="https://doi.org/10.5194/hess-23-4851-2019" TargetMode="External" /><Relationship Type="http://schemas.openxmlformats.org/officeDocument/2006/relationships/hyperlink" Id="rId112" Target="https://doi.org/10.5194/hess-28-391-2024" TargetMode="External" /><Relationship Type="http://schemas.openxmlformats.org/officeDocument/2006/relationships/hyperlink" Id="rId106" Target="https://doi.org/10.5194/nhess-18-1849-2018" TargetMode="External" /><Relationship Type="http://schemas.openxmlformats.org/officeDocument/2006/relationships/hyperlink" Id="rId48" Target="https://doi.org/10.5194/nhess-2018-290" TargetMode="Externa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2017wr022231" TargetMode="External" /><Relationship Type="http://schemas.openxmlformats.org/officeDocument/2006/relationships/hyperlink" Id="rId114" Target="https://doi.org/10.1002/hyp.11516" TargetMode="External" /><Relationship Type="http://schemas.openxmlformats.org/officeDocument/2006/relationships/hyperlink" Id="rId120" Target="https://doi.org/10.1002/joc.6631" TargetMode="External" /><Relationship Type="http://schemas.openxmlformats.org/officeDocument/2006/relationships/hyperlink" Id="rId116" Target="https://doi.org/10.1002/joc.8330" TargetMode="External" /><Relationship Type="http://schemas.openxmlformats.org/officeDocument/2006/relationships/hyperlink" Id="rId33" Target="https://doi.org/10.1007/s00477-023-02546-6" TargetMode="External" /><Relationship Type="http://schemas.openxmlformats.org/officeDocument/2006/relationships/hyperlink" Id="rId44" Target="https://doi.org/10.1007/s11069-004-4550-y" TargetMode="External" /><Relationship Type="http://schemas.openxmlformats.org/officeDocument/2006/relationships/hyperlink" Id="rId42" Target="https://doi.org/10.1007/s11269-020-02667-5" TargetMode="External" /><Relationship Type="http://schemas.openxmlformats.org/officeDocument/2006/relationships/hyperlink" Id="rId118" Target="https://doi.org/10.1007/s11269-022-03194-1" TargetMode="External" /><Relationship Type="http://schemas.openxmlformats.org/officeDocument/2006/relationships/hyperlink" Id="rId50" Target="https://doi.org/10.1007/s13253-010-0023-9" TargetMode="External" /><Relationship Type="http://schemas.openxmlformats.org/officeDocument/2006/relationships/hyperlink" Id="rId62" Target="https://doi.org/10.1016/j.advwatres.2022.104144" TargetMode="External" /><Relationship Type="http://schemas.openxmlformats.org/officeDocument/2006/relationships/hyperlink" Id="rId102" Target="https://doi.org/10.1016/j.ejrh.2021.100811" TargetMode="External" /><Relationship Type="http://schemas.openxmlformats.org/officeDocument/2006/relationships/hyperlink" Id="rId122" Target="https://doi.org/10.1016/j.jhydrol.2004.03.003" TargetMode="External" /><Relationship Type="http://schemas.openxmlformats.org/officeDocument/2006/relationships/hyperlink" Id="rId40" Target="https://doi.org/10.1016/j.jhydrol.2016.06.007" TargetMode="External" /><Relationship Type="http://schemas.openxmlformats.org/officeDocument/2006/relationships/hyperlink" Id="rId58" Target="https://doi.org/10.1016/j.jhydrol.2016.07.002" TargetMode="External" /><Relationship Type="http://schemas.openxmlformats.org/officeDocument/2006/relationships/hyperlink" Id="rId80" Target="https://doi.org/10.1016/j.jhydrol.2018.08.075" TargetMode="External" /><Relationship Type="http://schemas.openxmlformats.org/officeDocument/2006/relationships/hyperlink" Id="rId54" Target="https://doi.org/10.1016/j.jhydrol.2024.130847" TargetMode="External" /><Relationship Type="http://schemas.openxmlformats.org/officeDocument/2006/relationships/hyperlink" Id="rId100" Target="https://doi.org/10.1016/j.jhydrol.2024.131101" TargetMode="External" /><Relationship Type="http://schemas.openxmlformats.org/officeDocument/2006/relationships/hyperlink" Id="rId108" Target="https://doi.org/10.1016/j.wace.2016.07.002" TargetMode="External" /><Relationship Type="http://schemas.openxmlformats.org/officeDocument/2006/relationships/hyperlink" Id="rId64" Target="https://doi.org/10.1016/j.wace.2024.100735" TargetMode="External" /><Relationship Type="http://schemas.openxmlformats.org/officeDocument/2006/relationships/hyperlink" Id="rId46" Target="https://doi.org/10.1016/s0022-1694(96)03086-7" TargetMode="External" /><Relationship Type="http://schemas.openxmlformats.org/officeDocument/2006/relationships/hyperlink" Id="rId92" Target="https://doi.org/10.1029/1998wr900012" TargetMode="External" /><Relationship Type="http://schemas.openxmlformats.org/officeDocument/2006/relationships/hyperlink" Id="rId31" Target="https://doi.org/10.1029/2006wr004911" TargetMode="External" /><Relationship Type="http://schemas.openxmlformats.org/officeDocument/2006/relationships/hyperlink" Id="rId74" Target="https://doi.org/10.1029/2006wr005245" TargetMode="External" /><Relationship Type="http://schemas.openxmlformats.org/officeDocument/2006/relationships/hyperlink" Id="rId98" Target="https://doi.org/10.1029/2018wr022726" TargetMode="External" /><Relationship Type="http://schemas.openxmlformats.org/officeDocument/2006/relationships/hyperlink" Id="rId96" Target="https://doi.org/10.1029/2018wr022732" TargetMode="External" /><Relationship Type="http://schemas.openxmlformats.org/officeDocument/2006/relationships/hyperlink" Id="rId72" Target="https://doi.org/10.1029/93wr00395" TargetMode="External" /><Relationship Type="http://schemas.openxmlformats.org/officeDocument/2006/relationships/hyperlink" Id="rId90" Target="https://doi.org/10.1029/97wr02006" TargetMode="External" /><Relationship Type="http://schemas.openxmlformats.org/officeDocument/2006/relationships/hyperlink" Id="rId68" Target="https://doi.org/10.1029/jd095id03p01999" TargetMode="External" /><Relationship Type="http://schemas.openxmlformats.org/officeDocument/2006/relationships/hyperlink" Id="rId86" Target="https://doi.org/10.1029/wr004i005p00909" TargetMode="External" /><Relationship Type="http://schemas.openxmlformats.org/officeDocument/2006/relationships/hyperlink" Id="rId82" Target="https://doi.org/10.1029/wr021i008p01233" TargetMode="External" /><Relationship Type="http://schemas.openxmlformats.org/officeDocument/2006/relationships/hyperlink" Id="rId104" Target="https://doi.org/10.1061/jhyeff.heeng-5934" TargetMode="External" /><Relationship Type="http://schemas.openxmlformats.org/officeDocument/2006/relationships/hyperlink" Id="rId60" Target="https://doi.org/10.1080/02626667.2023.2224002" TargetMode="External" /><Relationship Type="http://schemas.openxmlformats.org/officeDocument/2006/relationships/hyperlink" Id="rId52" Target="https://doi.org/10.1088/1748-9326/ab370a" TargetMode="External" /><Relationship Type="http://schemas.openxmlformats.org/officeDocument/2006/relationships/hyperlink" Id="rId38" Target="https://doi.org/10.1088/1748-9326/abd4ab" TargetMode="External" /><Relationship Type="http://schemas.openxmlformats.org/officeDocument/2006/relationships/hyperlink" Id="rId84" Target="https://doi.org/10.1175/1520-0477(1986)067&lt;0021:sisfas&gt;2.0.co;2" TargetMode="External" /><Relationship Type="http://schemas.openxmlformats.org/officeDocument/2006/relationships/hyperlink" Id="rId88" Target="https://doi.org/10.1175/jamc-d-20-0094.1" TargetMode="External" /><Relationship Type="http://schemas.openxmlformats.org/officeDocument/2006/relationships/hyperlink" Id="rId27" Target="https://doi.org/10.1590/1678-4324-2022210694" TargetMode="External" /><Relationship Type="http://schemas.openxmlformats.org/officeDocument/2006/relationships/hyperlink" Id="rId29"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66" Target="https://doi.org/10.2139/ssrn.4749709" TargetMode="External" /><Relationship Type="http://schemas.openxmlformats.org/officeDocument/2006/relationships/hyperlink" Id="rId110" Target="https://doi.org/10.2166/wcc.2021.241" TargetMode="External" /><Relationship Type="http://schemas.openxmlformats.org/officeDocument/2006/relationships/hyperlink" Id="rId94" Target="https://doi.org/10.2166/wst.1998.0425" TargetMode="External" /><Relationship Type="http://schemas.openxmlformats.org/officeDocument/2006/relationships/hyperlink" Id="rId56" Target="https://doi.org/10.5194/egusphere-egu24-19552" TargetMode="External" /><Relationship Type="http://schemas.openxmlformats.org/officeDocument/2006/relationships/hyperlink" Id="rId70" Target="https://doi.org/10.5194/hess-21-5823-2017" TargetMode="External" /><Relationship Type="http://schemas.openxmlformats.org/officeDocument/2006/relationships/hyperlink" Id="rId78" Target="https://doi.org/10.5194/hess-23-4851-2019" TargetMode="External" /><Relationship Type="http://schemas.openxmlformats.org/officeDocument/2006/relationships/hyperlink" Id="rId112" Target="https://doi.org/10.5194/hess-28-391-2024" TargetMode="External" /><Relationship Type="http://schemas.openxmlformats.org/officeDocument/2006/relationships/hyperlink" Id="rId106" Target="https://doi.org/10.5194/nhess-18-1849-2018" TargetMode="External" /><Relationship Type="http://schemas.openxmlformats.org/officeDocument/2006/relationships/hyperlink" Id="rId48" Target="https://doi.org/10.5194/nhess-2018-290" TargetMode="External" /><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2025-09-24T15:03:50Z</dcterms:created>
  <dcterms:modified xsi:type="dcterms:W3CDTF">2025-09-24T15:03:50Z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ocite">
    <vt:lpwstr>@*</vt:lpwstr>
  </property>
  <property fmtid="{D5CDD505-2E9C-101B-9397-08002B2CF9AE}" pid="12" name="toc-title">
    <vt:lpwstr>Table of contents</vt:lpwstr>
  </property>
</Properties>
</file>