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Desagregação temporal das chuvas intensas</w:t>
      </w:r>
    </w:p>
    <w:p>
      <w:pPr>
        <w:pStyle w:val="Author"/>
      </w:pPr>
      <w:r>
        <w:t xml:space="preserve">Dirceu S. Reis Jr.</w:t>
      </w:r>
    </w:p>
    <w:bookmarkStart w:id="26" w:name="sec.desagregacao"/>
    <w:p>
      <w:pPr>
        <w:pStyle w:val="Heading2"/>
      </w:pPr>
      <w:r>
        <w:t xml:space="preserve">1 Desagregação Temporal</w:t>
      </w:r>
    </w:p>
    <w:p>
      <w:pPr>
        <w:pStyle w:val="FirstParagraph"/>
      </w:pPr>
      <w:r>
        <w:t xml:space="preserve">A desagregação temporal é a principal resposta a essa assimetria. O objetivo não é apenas</w:t>
      </w:r>
      <w:r>
        <w:t xml:space="preserve"> </w:t>
      </w:r>
      <w:r>
        <w:t xml:space="preserve">“quebrar”</w:t>
      </w:r>
      <w:r>
        <w:t xml:space="preserve"> </w:t>
      </w:r>
      <w:r>
        <w:t xml:space="preserve">um total diário em partes, mas reconstruir uma dinâmica subdiária plausível, preservando: (i) a massa diária (quando aplicável), (ii) a intermitência (sequência seco–úmido), (iii) a variabilidade intradiária e (iv) as propriedades de extremos. Em outras palavras, busca-se gerar séries subdiárias estatisticamente consistentes com a observação e adequadas ao uso em modelos hidrológicos.</w:t>
      </w:r>
    </w:p>
    <w:p>
      <w:pPr>
        <w:pStyle w:val="BodyText"/>
      </w:pPr>
      <w:r>
        <w:t xml:space="preserve">Nesta revisão, organizamos as metodologias de desagregação em classes com base em seus princípios e objetivos:</w:t>
      </w:r>
    </w:p>
    <w:p>
      <w:pPr>
        <w:numPr>
          <w:ilvl w:val="0"/>
          <w:numId w:val="1001"/>
        </w:numPr>
      </w:pPr>
      <w:r>
        <w:t xml:space="preserve">Fórmulas/ajustes empíricos e regionais (equações IDF/DDF, isozonas, coeficientes)</w:t>
      </w:r>
    </w:p>
    <w:p>
      <w:pPr>
        <w:numPr>
          <w:ilvl w:val="0"/>
          <w:numId w:val="1001"/>
        </w:numPr>
      </w:pPr>
      <w:r>
        <w:t xml:space="preserve">Modelos de Processos Pontuais / geradores incondicionais (Bartlett–Lewis, Neyman–Scott, LetItRain/Hyetos)</w:t>
      </w:r>
    </w:p>
    <w:p>
      <w:pPr>
        <w:numPr>
          <w:ilvl w:val="0"/>
          <w:numId w:val="1001"/>
        </w:numPr>
      </w:pPr>
      <w:r>
        <w:t xml:space="preserve">Modelos Baseados em Invariância de Escala / Autossemelhança / Fractais.</w:t>
      </w:r>
    </w:p>
    <w:p>
      <w:pPr>
        <w:numPr>
          <w:ilvl w:val="0"/>
          <w:numId w:val="1001"/>
        </w:numPr>
      </w:pPr>
      <w:r>
        <w:t xml:space="preserve">Técnicas Não Paramétricas / Reamostragem</w:t>
      </w:r>
    </w:p>
    <w:p>
      <w:pPr>
        <w:numPr>
          <w:ilvl w:val="0"/>
          <w:numId w:val="1001"/>
        </w:numPr>
      </w:pPr>
      <w:r>
        <w:t xml:space="preserve">Técnicas de Regionalização e Modelagem Espacial de Extremos</w:t>
      </w:r>
    </w:p>
    <w:bookmarkStart w:id="22" w:name="subsec.empirico"/>
    <w:p>
      <w:pPr>
        <w:pStyle w:val="Heading3"/>
      </w:pPr>
      <w:r>
        <w:t xml:space="preserve">1.1 Fórmulas/ajustes empíricos e regionais (equações IDF/DDF, isozonas, coeficientes)</w:t>
      </w:r>
    </w:p>
    <w:bookmarkStart w:id="20" w:name="coeficientes-empíricos"/>
    <w:p>
      <w:pPr>
        <w:pStyle w:val="Heading4"/>
      </w:pPr>
      <w:r>
        <w:t xml:space="preserve">1.1.1 Coeficientes empíricos</w:t>
      </w:r>
    </w:p>
    <w:p>
      <w:pPr>
        <w:pStyle w:val="FirstParagraph"/>
      </w:pPr>
      <w:r>
        <w:t xml:space="preserve">O método de desagregação por coeficientes empíricos permite converter dados de durações maiores (tipicamente diárias) para durações menores (subdiárias). O processo consiste em aplicar um fator de ajuste a um quantil (ou valor de projeto) de uma duração de referência para estimar o valor correspondente em uma duração inferior, mantendo o mesmo período de retorno</w:t>
      </w:r>
      <w:r>
        <w:t xml:space="preserve"> </w:t>
      </w:r>
      <m:oMath>
        <m:r>
          <m:t>T</m:t>
        </m:r>
      </m:oMath>
      <w:r>
        <w:t xml:space="preserve"> </w:t>
      </w:r>
      <w:r>
        <w:t xml:space="preserve">(CETESB, 1979; Abreu et al., 2022).</w:t>
      </w:r>
    </w:p>
    <w:p>
      <w:pPr>
        <w:pStyle w:val="BodyText"/>
      </w:pPr>
      <w:r>
        <w:t xml:space="preserve">No Brasil, o método que relaciona chuvas de diferentes durações (método RRDD) tornou-se uma das principais técnicas de desagregação diária em subdiária. Seu funcionamento baseia-se em coeficientes de desagregação</w:t>
      </w:r>
      <w:r>
        <w:t xml:space="preserve"> </w:t>
      </w:r>
      <m:oMath>
        <m:r>
          <m:t>C</m:t>
        </m:r>
        <m:r>
          <m:t>D</m:t>
        </m:r>
        <m:r>
          <m:t>τ</m:t>
        </m:r>
      </m:oMath>
      <w:r>
        <w:t xml:space="preserve">, definidos por razões entre precipitações máximas em diferentes durações. Dado um valor de projeto diário</w:t>
      </w:r>
      <w:r>
        <w:t xml:space="preserve"> </w:t>
      </w:r>
      <m:oMath>
        <m:r>
          <m:t>P</m:t>
        </m:r>
        <m:r>
          <m:t>24</m:t>
        </m:r>
        <m:r>
          <m:t>h</m:t>
        </m:r>
        <m:d>
          <m:dPr>
            <m:begChr m:val="("/>
            <m:endChr m:val=")"/>
            <m:sepChr m:val=""/>
            <m:grow/>
          </m:dPr>
          <m:e>
            <m:r>
              <m:t>T</m:t>
            </m:r>
          </m:e>
        </m:d>
      </m:oMath>
      <w:r>
        <w:t xml:space="preserve">, obtém-se, por exemplo, o valor para</w:t>
      </w:r>
      <w:r>
        <w:t xml:space="preserve"> </w:t>
      </w:r>
      <m:oMath>
        <m:r>
          <m:t>τ</m:t>
        </m:r>
        <m:r>
          <m:rPr>
            <m:sty m:val="p"/>
          </m:rPr>
          <m:t>=</m:t>
        </m:r>
        <m:r>
          <m:t>1</m:t>
        </m:r>
        <m:r>
          <m:t>h</m:t>
        </m:r>
      </m:oMath>
      <w:r>
        <w:t xml:space="preserve"> </w:t>
      </w:r>
      <w:r>
        <w:t xml:space="preserve">por:</w:t>
      </w:r>
    </w:p>
    <w:p>
      <w:pPr>
        <w:pStyle w:val="BodyText"/>
      </w:pPr>
      <m:oMathPara>
        <m:oMathParaPr>
          <m:jc m:val="center"/>
        </m:oMathParaPr>
        <m:oMath>
          <m:r>
            <m:t>P</m:t>
          </m:r>
          <m:r>
            <m:t>τ</m:t>
          </m:r>
          <m:d>
            <m:dPr>
              <m:begChr m:val="("/>
              <m:endChr m:val=")"/>
              <m:sepChr m:val=""/>
              <m:grow/>
            </m:dPr>
            <m:e>
              <m:r>
                <m:t>T</m:t>
              </m:r>
            </m:e>
          </m:d>
          <m:r>
            <m:rPr>
              <m:sty m:val="p"/>
            </m:rPr>
            <m:t>=</m:t>
          </m:r>
          <m:r>
            <m:t>C</m:t>
          </m:r>
          <m:r>
            <m:t>D</m:t>
          </m:r>
          <m:r>
            <m:t>τ</m:t>
          </m:r>
          <m:r>
            <m:rPr>
              <m:sty m:val="p"/>
            </m:rPr>
            <m:t>×</m:t>
          </m:r>
          <m:r>
            <m:t>P</m:t>
          </m:r>
          <m:r>
            <m:t>24</m:t>
          </m:r>
          <m:r>
            <m:t>h</m:t>
          </m:r>
          <m:d>
            <m:dPr>
              <m:begChr m:val="("/>
              <m:endChr m:val=")"/>
              <m:sepChr m:val=""/>
              <m:grow/>
            </m:dPr>
            <m:e>
              <m:r>
                <m:t>T</m:t>
              </m:r>
            </m:e>
          </m:d>
          <m:r>
            <m:rPr>
              <m:sty m:val="p"/>
            </m:rPr>
            <m:t>,</m:t>
          </m:r>
          <m:r>
            <m:t>τ</m:t>
          </m:r>
          <m:r>
            <m:rPr>
              <m:sty m:val="p"/>
            </m:rPr>
            <m:t>∈</m:t>
          </m:r>
          <m:r>
            <m:t>6</m:t>
          </m:r>
          <m:r>
            <m:t>m</m:t>
          </m:r>
          <m:r>
            <m:t>i</m:t>
          </m:r>
          <m:r>
            <m:t>n</m:t>
          </m:r>
          <m:r>
            <m:rPr>
              <m:sty m:val="p"/>
            </m:rPr>
            <m:t>,</m:t>
          </m:r>
          <m:r>
            <m:t>1</m:t>
          </m:r>
          <m:r>
            <m:t>h</m:t>
          </m:r>
          <m:r>
            <m:rPr>
              <m:sty m:val="p"/>
            </m:rPr>
            <m:t>,</m:t>
          </m:r>
          <m:r>
            <m:t>2</m:t>
          </m:r>
          <m:r>
            <m:t>h</m:t>
          </m:r>
          <m:r>
            <m:rPr>
              <m:sty m:val="p"/>
            </m:rPr>
            <m:t>,</m:t>
          </m:r>
          <m:r>
            <m:rPr>
              <m:sty m:val="p"/>
            </m:rPr>
            <m:t>…</m:t>
          </m:r>
          <m:r>
            <m:rPr>
              <m:sty m:val="p"/>
            </m:rPr>
            <m:t>.</m:t>
          </m:r>
        </m:oMath>
      </m:oMathPara>
    </w:p>
    <w:p>
      <w:pPr>
        <w:pStyle w:val="FirstParagraph"/>
      </w:pPr>
      <w:r>
        <w:t xml:space="preserve">{#eq.coef-rrdd}</w:t>
      </w:r>
    </w:p>
    <w:p>
      <w:pPr>
        <w:pStyle w:val="BodyText"/>
      </w:pPr>
      <w:r>
        <w:t xml:space="preserve">A partir desses pontos, derivam-se curvas IDF/DDF completas usando a base diária (CETESB, 1979; Abreu et al., 2022). No contexto brasileiro, os</w:t>
      </w:r>
      <w:r>
        <w:t xml:space="preserve"> </w:t>
      </w:r>
      <m:oMath>
        <m:r>
          <m:t>C</m:t>
        </m:r>
        <m:r>
          <m:t>D</m:t>
        </m:r>
        <m:r>
          <m:t>τ</m:t>
        </m:r>
      </m:oMath>
      <w:r>
        <w:t xml:space="preserve"> </w:t>
      </w:r>
      <w:r>
        <w:t xml:space="preserve">mais amplamente aplicados foram originalmente estabelecidos pela CETESB (1979). Eles foram obtidos a partir da média de registros subdiários provenientes de pluviógrafos instalados em diversas localidades do país e, por isso, acabaram sendo considerados como coeficientes gerais para todo o território nacional.</w:t>
      </w:r>
    </w:p>
    <w:p>
      <w:pPr>
        <w:pStyle w:val="BodyText"/>
      </w:pPr>
      <w:r>
        <w:t xml:space="preserve">A literatura recente propõe diversas variações e aprimoramentos. Nesse contexto, Abreu et al. (2022) compararam</w:t>
      </w:r>
      <w:r>
        <w:t xml:space="preserve"> </w:t>
      </w:r>
      <m:oMath>
        <m:r>
          <m:t>C</m:t>
        </m:r>
        <m:sSub>
          <m:e>
            <m:r>
              <m:t>D</m:t>
            </m:r>
          </m:e>
          <m:sub>
            <m:r>
              <m:rPr>
                <m:sty m:val="p"/>
              </m:rPr>
              <m:t>s</m:t>
            </m:r>
            <m:r>
              <m:rPr>
                <m:sty m:val="p"/>
              </m:rPr>
              <m:t>t</m:t>
            </m:r>
            <m:r>
              <m:rPr>
                <m:sty m:val="p"/>
              </m:rPr>
              <m:t>a</m:t>
            </m:r>
            <m:r>
              <m:rPr>
                <m:sty m:val="p"/>
              </m:rPr>
              <m:t>n</m:t>
            </m:r>
            <m:r>
              <m:rPr>
                <m:sty m:val="p"/>
              </m:rPr>
              <m:t>d</m:t>
            </m:r>
            <m:r>
              <m:rPr>
                <m:sty m:val="p"/>
              </m:rPr>
              <m:t>a</m:t>
            </m:r>
            <m:r>
              <m:rPr>
                <m:sty m:val="p"/>
              </m:rPr>
              <m:t>r</m:t>
            </m:r>
            <m:r>
              <m:rPr>
                <m:sty m:val="p"/>
              </m:rPr>
              <m:t>d</m:t>
            </m:r>
          </m:sub>
        </m:sSub>
      </m:oMath>
      <w:r>
        <w:t xml:space="preserve"> </w:t>
      </w:r>
      <w:r>
        <w:t xml:space="preserve">(CETESB)</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(estimados posto a posto). A partir deles, construíram as respectivas curvas IDFs, ajustando os parâmetros da equação IDF genérica:</w:t>
      </w:r>
    </w:p>
    <w:p>
      <w:pPr>
        <w:pStyle w:val="BodyText"/>
      </w:pPr>
      <m:oMathPara>
        <m:oMathParaPr>
          <m:jc m:val="center"/>
        </m:oMathParaPr>
        <m:oMath>
          <m:r>
            <m:t>i</m:t>
          </m:r>
          <m:d>
            <m:dPr>
              <m:begChr m:val="("/>
              <m:endChr m:val=")"/>
              <m:sepChr m:val=""/>
              <m:grow/>
            </m:dPr>
            <m:e>
              <m:r>
                <m:t>d</m:t>
              </m:r>
              <m:r>
                <m:rPr>
                  <m:sty m:val="p"/>
                </m:rPr>
                <m:t>,</m:t>
              </m:r>
              <m:r>
                <m:t>T</m:t>
              </m:r>
            </m:e>
          </m:d>
          <m:r>
            <m:t> </m:t>
          </m:r>
          <m:r>
            <m:rPr>
              <m:sty m:val="p"/>
            </m:rPr>
            <m:t>=</m:t>
          </m:r>
          <m:r>
            <m:t> </m:t>
          </m:r>
          <m:f>
            <m:fPr>
              <m:type m:val="bar"/>
            </m:fPr>
            <m:num>
              <m:r>
                <m:t>k</m:t>
              </m:r>
              <m:r>
                <m:t> </m:t>
              </m:r>
              <m:sSup>
                <m:e>
                  <m:r>
                    <m:t>T</m:t>
                  </m:r>
                </m:e>
                <m:sup>
                  <m:r>
                    <m:t>a</m:t>
                  </m:r>
                </m:sup>
              </m:sSup>
            </m:num>
            <m:den>
              <m:sSup>
                <m:e>
                  <m:d>
                    <m:dPr>
                      <m:begChr m:val="("/>
                      <m:endChr m:val=")"/>
                      <m:sepChr m:val=""/>
                      <m:grow/>
                    </m:dPr>
                    <m:e>
                      <m:r>
                        <m:t>d</m:t>
                      </m:r>
                      <m:r>
                        <m:rPr>
                          <m:sty m:val="p"/>
                        </m:rPr>
                        <m:t>+</m:t>
                      </m:r>
                      <m:r>
                        <m:t>b</m:t>
                      </m:r>
                    </m:e>
                  </m:d>
                </m:e>
                <m:sup>
                  <m:r>
                    <m:t>c</m:t>
                  </m:r>
                </m:sup>
              </m:sSup>
            </m:den>
          </m:f>
        </m:oMath>
      </m:oMathPara>
    </w:p>
    <w:p>
      <w:pPr>
        <w:pStyle w:val="FirstParagraph"/>
      </w:pPr>
      <w:r>
        <w:t xml:space="preserve">{#eq.idf-empirica}</w:t>
      </w:r>
    </w:p>
    <w:p>
      <w:pPr>
        <w:pStyle w:val="BodyText"/>
      </w:pPr>
      <w:r>
        <w:t xml:space="preserve">via Gauss–Newton sobre os pontos gerados pelos</w:t>
      </w:r>
      <w:r>
        <w:t xml:space="preserve"> </w:t>
      </w:r>
      <m:oMath>
        <m:r>
          <m:t>C</m:t>
        </m:r>
        <m:r>
          <m:t>D</m:t>
        </m:r>
        <m:r>
          <m:t>s</m:t>
        </m:r>
      </m:oMath>
      <w:r>
        <w:t xml:space="preserve">. Para a espacialização do</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aplicaram a técnica de interpolação por ponderação do inverso da distância (Inverse Distance Weighting – IDW).</w:t>
      </w:r>
    </w:p>
    <w:bookmarkEnd w:id="20"/>
    <w:bookmarkStart w:id="21" w:name="isozonas"/>
    <w:p>
      <w:pPr>
        <w:pStyle w:val="Heading4"/>
      </w:pPr>
      <w:r>
        <w:t xml:space="preserve">1.1.2 Isozonas</w:t>
      </w:r>
    </w:p>
    <w:p>
      <w:pPr>
        <w:pStyle w:val="FirstParagraph"/>
      </w:pPr>
      <w:r>
        <w:t xml:space="preserve">A metodologia de isozonas é uma abordagem de regionalização que se baseia no princípio de que áreas climaticamente semelhantes exibem comportamento homogêneo em relação às chuvas intensas. Proposto por Torrico (1974), o conceito foi aplicado na divisão do Brasil em oito microclimas homogêneos, a partir de dados de 98 postos pluviográficos previamente analisados por Pfafstetter (1956; 1982). O estudo focou nas alturas máximas para 24h e 1h, representadas em papel de probabilidade de Hershfield e Wilson. Observou-se que, ao prolongar as semirretas das curvas de altura versus duração, elas convergiam para um mesmo ponto no eixo das ordenadas em determinadas áreas. Essas relações entre durações passaram, então, a ser utilizadas como coeficientes de desagregação, possibilitando a estimativa de precipitações em locais sem registros pluviográficos.</w:t>
      </w:r>
    </w:p>
    <w:p>
      <w:pPr>
        <w:pStyle w:val="BodyText"/>
      </w:pPr>
      <w:r>
        <w:t xml:space="preserve">Décadas mais tarde, Basso et al. (2016) revisitaram e atualizaram o zoneamento de Torrico com base em cerca de mil equações IDF disponíveis no Brasil. Consideraram-se apenas ajustes provenientes de pluviogramas (descartando relações gerais entre durações) e, havendo múltiplas IDFs por localidade, optou-se pela mais recente. O período de retorno de referência para comparação foi T=10 anos, usual em macrodrenagem urbana. No processo de rezoneamento, as intensidades e as relações entre durações obtidas a partir das IDF atuais foram comparadas às estimadas por Torrico (1974) com ênfase em</w:t>
      </w:r>
      <w:r>
        <w:t xml:space="preserve"> </w:t>
      </w:r>
      <m:oMath>
        <m:r>
          <m:t>r</m:t>
        </m:r>
        <m:r>
          <m:t>1</m:t>
        </m:r>
        <m:r>
          <m:t>h</m:t>
        </m:r>
        <m:r>
          <m:rPr>
            <m:sty m:val="p"/>
          </m:rPr>
          <m:t>,</m:t>
        </m:r>
        <m:r>
          <m:t>24</m:t>
        </m:r>
        <m:r>
          <m:t>h</m:t>
        </m:r>
      </m:oMath>
      <w:r>
        <w:t xml:space="preserve">, apoiando-se em mapas climáticos nacionais para áreas com baixa densidade de dados e verificando a homogeneidade intra-zona por estatísticas descritivas. O resultado foi um conjunto de novas isozonas e coeficientes regionais de desagregação</w:t>
      </w:r>
      <w:r>
        <w:t xml:space="preserve"> </w:t>
      </w:r>
      <m:oMath>
        <m:r>
          <m:t>r</m:t>
        </m:r>
        <m:r>
          <m:t>τ</m:t>
        </m:r>
        <m:r>
          <m:t>h</m:t>
        </m:r>
        <m:r>
          <m:rPr>
            <m:sty m:val="p"/>
          </m:rPr>
          <m:t>,</m:t>
        </m:r>
        <m:r>
          <m:t>24</m:t>
        </m:r>
        <m:r>
          <m:t>h</m:t>
        </m:r>
      </m:oMath>
      <w:r>
        <w:t xml:space="preserve">, para T=10 anos.</w:t>
      </w:r>
    </w:p>
    <w:p>
      <w:pPr>
        <w:pStyle w:val="BodyText"/>
      </w:pPr>
      <w:r>
        <w:t xml:space="preserve">Além de coeficientes e isozonas, há uma vertente importante de equações paramétricas DDF/IDF. Baldassarre et al. (2006) realizaram um estudo para testar a confiabilidade de sete diferentes curvas DDF (quatro com dois parâmetros e três com três parâmetros). Essas curvas foram calibradas utilizando o método dos mínimos quadrados com dados de precipitação observados referentes a durações mais longas (1, 3, 6, 12 e 24 horas). Após a calibração, as curvas DDF foram extrapoladas para estimar as profundidades de precipitação de projeto para durações mais curtas, especificamente 15, 20, 30 e 45 minutos. Para avaliar a precisão dessas estimativas extrapoladas, elas foram comparadas com os quantis de precipitação obtidos pelo ajuste direto da distribuição de Gumbel aos dados observados em cada duração. Embora a distribuição de Gumbel tenha sido considerado um ajuste aceitável para os dados utilizados no estudo e tenha tido sua adequação verificada por testes de L-momentos e Kolmogorov-Smirnov, o artigo menciona que estudos recentes apontaram que a distribuição de Gumbel pode subestimar a profundidade de precipitação de projeto para grandes períodos de retorno. O estudo ilustra a sensibilidade à forma da equação e os riscos de extrapolar para durações curtas fora do intervalo de calibração, motivando o uso de formulações que imponham consistência entre durações quando possível (Baldassarre et al. 2006)</w:t>
      </w:r>
    </w:p>
    <w:bookmarkEnd w:id="21"/>
    <w:bookmarkEnd w:id="22"/>
    <w:bookmarkStart w:id="24" w:name="subsec.processos-pontuais"/>
    <w:p>
      <w:pPr>
        <w:pStyle w:val="Heading3"/>
      </w:pPr>
      <w:r>
        <w:t xml:space="preserve">1.2 Modelos de Processos Pontuais</w:t>
      </w:r>
    </w:p>
    <w:p>
      <w:pPr>
        <w:pStyle w:val="FirstParagraph"/>
      </w:pPr>
      <w:r>
        <w:t xml:space="preserve">A modelagem estocástica da precipitação em alta resolução temporal apoia-se, classicamente, na Teoria do Processo Pontual, que permite representar tanto a ocorrência de eventos quanto suas</w:t>
      </w:r>
      <w:r>
        <w:t xml:space="preserve"> </w:t>
      </w:r>
      <w:r>
        <w:t xml:space="preserve">“posições”</w:t>
      </w:r>
      <w:r>
        <w:t xml:space="preserve"> </w:t>
      </w:r>
      <w:r>
        <w:t xml:space="preserve">no tempo (e no espaço). Em particular, o Processo de Poisson é atrativo porque suas hipóteses de estacionariedade, não-multiplicidade e independência, isto é,</w:t>
      </w:r>
      <w:r>
        <w:t xml:space="preserve"> </w:t>
      </w:r>
      <m:oMath>
        <m:r>
          <m:t>P</m:t>
        </m:r>
        <m:r>
          <m:rPr>
            <m:sty m:val="p"/>
          </m:rPr>
          <m:t>{</m:t>
        </m:r>
        <m:r>
          <m:rPr>
            <m:nor/>
            <m:sty m:val="p"/>
          </m:rPr>
          <m:t>evento em </m:t>
        </m:r>
        <m:d>
          <m:dPr>
            <m:begChr m:val="("/>
            <m:endChr m:val=")"/>
            <m:sepChr m:val=""/>
            <m:grow/>
          </m:dPr>
          <m:e>
            <m:r>
              <m:t>t</m:t>
            </m:r>
            <m:r>
              <m:rPr>
                <m:sty m:val="p"/>
              </m:rPr>
              <m:t>,</m:t>
            </m:r>
            <m:r>
              <m:t>t</m:t>
            </m:r>
            <m:r>
              <m:rPr>
                <m:sty m:val="p"/>
              </m:rPr>
              <m:t>+</m:t>
            </m:r>
            <m:r>
              <m:t>Δ</m:t>
            </m:r>
            <m:r>
              <m:t>t</m:t>
            </m:r>
          </m:e>
        </m:d>
        <m:r>
          <m:rPr>
            <m:sty m:val="p"/>
          </m:rPr>
          <m:t>}</m:t>
        </m:r>
        <m:r>
          <m:rPr>
            <m:sty m:val="p"/>
          </m:rPr>
          <m:t>≈</m:t>
        </m:r>
        <m:r>
          <m:t>λ</m:t>
        </m:r>
        <m:r>
          <m:t> </m:t>
        </m:r>
        <m:r>
          <m:t>Δ</m:t>
        </m:r>
        <m:r>
          <m:t>t</m:t>
        </m:r>
      </m:oMath>
      <w:r>
        <w:t xml:space="preserve">, probabilidade desprezível de múltiplas chegadas em</w:t>
      </w:r>
      <w:r>
        <w:t xml:space="preserve"> </w:t>
      </w:r>
      <m:oMath>
        <m:r>
          <m:t>Δ</m:t>
        </m:r>
        <m:r>
          <m:t>t</m:t>
        </m:r>
      </m:oMath>
      <w:r>
        <w:t xml:space="preserve"> </w:t>
      </w:r>
      <w:r>
        <w:t xml:space="preserve">e independência entre contagens em intervalos disjuntos, são compatíveis com propriedades essenciais da precipitação.</w:t>
      </w:r>
    </w:p>
    <w:p>
      <w:pPr>
        <w:pStyle w:val="BodyText"/>
      </w:pPr>
      <w:r>
        <w:t xml:space="preserve">Dentro desse arcabouço, consolidaram-se duas famílias: (i) modelos simples baseados em Poisson (p.ex., Poisson Ruído Branco e Poisson de Pulsos Retangulares), que representam a chuva como uma sequência de pulsos com alturas e durações aleatórias; e (ii) processos pontuais de agrupamento, notadamente Neyman–Scott e Bartlett–Lewis, capazes de reproduzir estatísticas de primeira e segunda ordem em ampla faixa de agregações (Rodriguez-Iturbe et al., 1987). A distinção estrutural entre os dois últimos é sutil: no Neyman–Scott as células são deslocadas do instante de origem do evento; no Bartlett–Lewis há uma célula no próprio ponto de origem do evento. Em avaliações clássicas (Denver/Boston), ambos reproduzem bem média, variância e autocorrelação, mas tendem a distorcer a proporção de tempos secos se mal calibrados (Rodriguez-Iturbe et al., 1987).</w:t>
      </w:r>
    </w:p>
    <w:p>
      <w:pPr>
        <w:pStyle w:val="BodyText"/>
      </w:pPr>
      <w:r>
        <w:t xml:space="preserve">O modelo de Pulsos Retangulares de Bartlett–Lewis original (Rodriguez-Iturbe et al., 1987) baseia-se nas seguintes hipóteses: (1) as origens dos episódios chuvosos</w:t>
      </w:r>
      <w:r>
        <w:t xml:space="preserve"> </w:t>
      </w:r>
      <m:oMath>
        <m:sSub>
          <m:e>
            <m:r>
              <m:t>t</m:t>
            </m:r>
          </m:e>
          <m:sub>
            <m:r>
              <m:t>i</m:t>
            </m:r>
          </m:sub>
        </m:sSub>
      </m:oMath>
      <w:r>
        <w:t xml:space="preserve"> </w:t>
      </w:r>
      <w:r>
        <w:t xml:space="preserve">seguem um processo de Poisson com taxa</w:t>
      </w:r>
      <w:r>
        <w:t xml:space="preserve"> </w:t>
      </w:r>
      <m:oMath>
        <m:r>
          <m:t>λ</m:t>
        </m:r>
      </m:oMath>
      <w:r>
        <w:t xml:space="preserve">; (2) dentro de cada episódio</w:t>
      </w:r>
      <w:r>
        <w:t xml:space="preserve"> </w:t>
      </w:r>
      <m:oMath>
        <m:r>
          <m:t>i</m:t>
        </m:r>
      </m:oMath>
      <w:r>
        <w:t xml:space="preserve">, as origens das células</w:t>
      </w:r>
      <w:r>
        <w:t xml:space="preserve"> </w:t>
      </w:r>
      <m:oMath>
        <m:sSub>
          <m:e>
            <m:r>
              <m:t>t</m:t>
            </m:r>
          </m:e>
          <m:sub>
            <m:r>
              <m:t>i</m:t>
            </m:r>
            <m:r>
              <m:t>j</m:t>
            </m:r>
          </m:sub>
        </m:sSub>
      </m:oMath>
      <w:r>
        <w:t xml:space="preserve"> </w:t>
      </w:r>
      <w:r>
        <w:t xml:space="preserve">seguem um processo de Poisson com taxa</w:t>
      </w:r>
      <w:r>
        <w:t xml:space="preserve"> </w:t>
      </w:r>
      <m:oMath>
        <m:r>
          <m:t>β</m:t>
        </m:r>
      </m:oMath>
      <w:r>
        <w:t xml:space="preserve">; (3) o nascimento de células no episódio</w:t>
      </w:r>
      <w:r>
        <w:t xml:space="preserve"> </w:t>
      </w:r>
      <m:oMath>
        <m:r>
          <m:t>i</m:t>
        </m:r>
      </m:oMath>
      <w:r>
        <w:t xml:space="preserve"> </w:t>
      </w:r>
      <w:r>
        <w:t xml:space="preserve">cessa após um tempo</w:t>
      </w:r>
      <w:r>
        <w:t xml:space="preserve"> </w:t>
      </w:r>
      <m:oMath>
        <m:sSub>
          <m:e>
            <m:r>
              <m:t>v</m:t>
            </m:r>
          </m:e>
          <m:sub>
            <m:r>
              <m:t>i</m:t>
            </m:r>
          </m:sub>
        </m:sSub>
      </m:oMath>
      <w:r>
        <w:t xml:space="preserve"> </w:t>
      </w:r>
      <w:r>
        <w:t xml:space="preserve">com distribuição exponencial de parâmetro</w:t>
      </w:r>
      <w:r>
        <w:t xml:space="preserve"> </w:t>
      </w:r>
      <m:oMath>
        <m:r>
          <m:t>γ</m:t>
        </m:r>
      </m:oMath>
      <w:r>
        <w:t xml:space="preserve">; (4) cada célula tem duração</w:t>
      </w:r>
      <w:r>
        <w:t xml:space="preserve"> </w:t>
      </w:r>
      <m:oMath>
        <m:sSub>
          <m:e>
            <m:r>
              <m:t>w</m:t>
            </m:r>
          </m:e>
          <m:sub>
            <m:r>
              <m:t>i</m:t>
            </m:r>
            <m:r>
              <m:t>j</m:t>
            </m:r>
          </m:sub>
        </m:sSub>
      </m:oMath>
      <w:r>
        <w:t xml:space="preserve"> </w:t>
      </w:r>
      <w:r>
        <w:t xml:space="preserve">com distribuição exponencial de parâmetro</w:t>
      </w:r>
      <w:r>
        <w:t xml:space="preserve"> </w:t>
      </w:r>
      <m:oMath>
        <m:r>
          <m:t>η</m:t>
        </m:r>
      </m:oMath>
      <w:r>
        <w:t xml:space="preserve">; e (5) cada célula possui intensidade uniforme</w:t>
      </w:r>
      <w:r>
        <w:t xml:space="preserve"> </w:t>
      </w:r>
      <m:oMath>
        <m:sSub>
          <m:e>
            <m:r>
              <m:t>X</m:t>
            </m:r>
          </m:e>
          <m:sub>
            <m:r>
              <m:t>i</m:t>
            </m:r>
            <m:r>
              <m:t>j</m:t>
            </m:r>
          </m:sub>
        </m:sSub>
      </m:oMath>
      <w:r>
        <w:t xml:space="preserve"> </w:t>
      </w:r>
      <w:r>
        <w:t xml:space="preserve">com distribuição especificada. Neste arcabouço, a desagregação temporal é tratada como geração estocástica em passo fino (p.ex., horário ou sub-horário): calibra-se o modelo com estatísticas observadas em escalas mais grossas e simula-se a sequência de pulsos; ao agregar a série simulada, recuperam-se as estatísticas-alvo nas escalas de 1–24 h.</w:t>
      </w:r>
    </w:p>
    <w:p>
      <w:pPr>
        <w:pStyle w:val="BodyText"/>
      </w:pPr>
      <w:r>
        <w:t xml:space="preserve">Para ampliar a flexibilidade multiescala e melhorar a representação dos períodos secos/úmidos, Rodriguez-Iturbe et al. (1988) propuseram o Modified Bartlett–Lewis Rectangular Pulse Model (MBLPRM). Na versão modificada,</w:t>
      </w:r>
      <w:r>
        <w:t xml:space="preserve"> </w:t>
      </w:r>
      <m:oMath>
        <m:r>
          <m:t>η</m:t>
        </m:r>
      </m:oMath>
      <w:r>
        <w:t xml:space="preserve"> </w:t>
      </w:r>
      <w:r>
        <w:t xml:space="preserve">varia aleatoriamente de episódio para episódio segundo uma distribuição Gama com parâmetro de forma</w:t>
      </w:r>
      <w:r>
        <w:t xml:space="preserve"> </w:t>
      </w:r>
      <m:oMath>
        <m:r>
          <m:t>α</m:t>
        </m:r>
      </m:oMath>
      <w:r>
        <w:t xml:space="preserve"> </w:t>
      </w:r>
      <w:r>
        <w:t xml:space="preserve">e escala</w:t>
      </w:r>
      <w:r>
        <w:t xml:space="preserve"> </w:t>
      </w:r>
      <m:oMath>
        <m:r>
          <m:t>ν</m:t>
        </m:r>
      </m:oMath>
      <w:r>
        <w:t xml:space="preserve">. Em seguida,</w:t>
      </w:r>
      <w:r>
        <w:t xml:space="preserve"> </w:t>
      </w:r>
      <m:oMath>
        <m:r>
          <m:t>β</m:t>
        </m:r>
      </m:oMath>
      <w:r>
        <w:t xml:space="preserve"> </w:t>
      </w:r>
      <w:r>
        <w:t xml:space="preserve">e</w:t>
      </w:r>
      <w:r>
        <w:t xml:space="preserve"> </w:t>
      </w:r>
      <m:oMath>
        <m:r>
          <m:t>γ</m:t>
        </m:r>
      </m:oMath>
      <w:r>
        <w:t xml:space="preserve"> </w:t>
      </w:r>
      <w:r>
        <w:t xml:space="preserve">também passam a variar de modo que as razões</w:t>
      </w:r>
      <w:r>
        <w:t xml:space="preserve"> </w:t>
      </w:r>
      <m:oMath>
        <m:r>
          <m:t>κ</m:t>
        </m:r>
        <m:box>
          <m:boxPr>
            <m:opEmu m:val="on"/>
          </m:boxPr>
          <m:e>
            <m:r>
              <m:rPr>
                <m:sty m:val="p"/>
              </m:rPr>
              <m:t>:=</m:t>
            </m:r>
          </m:e>
        </m:box>
        <m:r>
          <m:t>β</m:t>
        </m:r>
        <m:r>
          <m:rPr>
            <m:sty m:val="p"/>
          </m:rPr>
          <m:t>/</m:t>
        </m:r>
        <m:r>
          <m:t>η</m:t>
        </m:r>
      </m:oMath>
      <w:r>
        <w:t xml:space="preserve"> </w:t>
      </w:r>
      <w:r>
        <w:t xml:space="preserve">e</w:t>
      </w:r>
      <w:r>
        <w:t xml:space="preserve"> </w:t>
      </w:r>
      <m:oMath>
        <m:r>
          <m:t>ϕ</m:t>
        </m:r>
        <m:box>
          <m:boxPr>
            <m:opEmu m:val="on"/>
          </m:boxPr>
          <m:e>
            <m:r>
              <m:rPr>
                <m:sty m:val="p"/>
              </m:rPr>
              <m:t>:=</m:t>
            </m:r>
          </m:e>
        </m:box>
        <m:r>
          <m:t>γ</m:t>
        </m:r>
        <m:r>
          <m:rPr>
            <m:sty m:val="p"/>
          </m:rPr>
          <m:t>/</m:t>
        </m:r>
        <m:r>
          <m:t>η</m:t>
        </m:r>
      </m:oMath>
      <w:r>
        <w:t xml:space="preserve"> </w:t>
      </w:r>
      <w:r>
        <w:t xml:space="preserve">permaneçam constantes. A intensidade</w:t>
      </w:r>
      <w:r>
        <w:t xml:space="preserve"> </w:t>
      </w:r>
      <m:oMath>
        <m:sSub>
          <m:e>
            <m:r>
              <m:t>X</m:t>
            </m:r>
          </m:e>
          <m:sub>
            <m:r>
              <m:t>i</m:t>
            </m:r>
            <m:r>
              <m:t>j</m:t>
            </m:r>
          </m:sub>
        </m:sSub>
      </m:oMath>
      <w:r>
        <w:t xml:space="preserve"> </w:t>
      </w:r>
      <w:r>
        <w:t xml:space="preserve">costuma ser modelada como exponencial com parâmetro</w:t>
      </w:r>
      <w:r>
        <w:t xml:space="preserve"> </w:t>
      </w:r>
      <m:oMath>
        <m:r>
          <m:t>1</m:t>
        </m:r>
        <m:r>
          <m:rPr>
            <m:sty m:val="p"/>
          </m:rPr>
          <m:t>/</m:t>
        </m:r>
        <m:sSub>
          <m:e>
            <m:r>
              <m:t>μ</m:t>
            </m:r>
          </m:e>
          <m:sub>
            <m:r>
              <m:t>x</m:t>
            </m:r>
          </m:sub>
        </m:sSub>
      </m:oMath>
      <w:r>
        <w:t xml:space="preserve">; alternativamente, pode-se adotar uma Gama de dois parâmetros com média</w:t>
      </w:r>
      <w:r>
        <w:t xml:space="preserve"> </w:t>
      </w:r>
      <m:oMath>
        <m:sSub>
          <m:e>
            <m:r>
              <m:t>μ</m:t>
            </m:r>
          </m:e>
          <m:sub>
            <m:r>
              <m:t>x</m:t>
            </m:r>
          </m:sub>
        </m:sSub>
      </m:oMath>
      <w:r>
        <w:t xml:space="preserve"> </w:t>
      </w:r>
      <w:r>
        <w:t xml:space="preserve">e desvio-padrão</w:t>
      </w:r>
      <w:r>
        <w:t xml:space="preserve"> </w:t>
      </w:r>
      <m:oMath>
        <m:sSub>
          <m:e>
            <m:r>
              <m:t>σ</m:t>
            </m:r>
          </m:e>
          <m:sub>
            <m:r>
              <m:t>x</m:t>
            </m:r>
          </m:sub>
        </m:sSub>
      </m:oMath>
      <w:r>
        <w:t xml:space="preserve">. Assim, na forma mais simplificada o modelo usa cinco parâmetros</w:t>
      </w:r>
      <w:r>
        <w:t xml:space="preserve"> </w:t>
      </w:r>
      <m:oMath>
        <m:d>
          <m:dPr>
            <m:begChr m:val="("/>
            <m:endChr m:val=")"/>
            <m:sepChr m:val=""/>
            <m:grow/>
          </m:dPr>
          <m:e>
            <m:r>
              <m:t>λ</m:t>
            </m:r>
            <m:r>
              <m:rPr>
                <m:sty m:val="p"/>
              </m:rPr>
              <m:t>,</m:t>
            </m:r>
            <m:r>
              <m:t>β</m:t>
            </m:r>
            <m:r>
              <m:rPr>
                <m:sty m:val="p"/>
              </m:rPr>
              <m:t>,</m:t>
            </m:r>
            <m:r>
              <m:t>γ</m:t>
            </m:r>
            <m:r>
              <m:rPr>
                <m:sty m:val="p"/>
              </m:rPr>
              <m:t>,</m:t>
            </m:r>
            <m:r>
              <m:t>η</m:t>
            </m:r>
            <m:r>
              <m:rPr>
                <m:sty m:val="p"/>
              </m:rPr>
              <m:t>,</m:t>
            </m:r>
            <m:sSub>
              <m:e>
                <m:r>
                  <m:t>μ</m:t>
                </m:r>
              </m:e>
              <m:sub>
                <m:r>
                  <m:t>x</m:t>
                </m:r>
              </m:sub>
            </m:sSub>
          </m:e>
        </m:d>
      </m:oMath>
      <w:r>
        <w:t xml:space="preserve"> </w:t>
      </w:r>
      <w:r>
        <w:t xml:space="preserve">(ou, de forma equivalente,</w:t>
      </w:r>
      <w:r>
        <w:t xml:space="preserve"> </w:t>
      </w:r>
      <m:oMath>
        <m:r>
          <m:t>λ</m:t>
        </m:r>
        <m:r>
          <m:rPr>
            <m:sty m:val="p"/>
          </m:rPr>
          <m:t>,</m:t>
        </m:r>
        <m:r>
          <m:t>κ</m:t>
        </m:r>
        <m:r>
          <m:rPr>
            <m:sty m:val="p"/>
          </m:rPr>
          <m:t>,</m:t>
        </m:r>
        <m:r>
          <m:t>ϕ</m:t>
        </m:r>
        <m:r>
          <m:rPr>
            <m:sty m:val="p"/>
          </m:rPr>
          <m:t>,</m:t>
        </m:r>
        <m:r>
          <m:t>η</m:t>
        </m:r>
        <m:r>
          <m:rPr>
            <m:sty m:val="p"/>
          </m:rPr>
          <m:t>,</m:t>
        </m:r>
        <m:sSub>
          <m:e>
            <m:r>
              <m:t>μ</m:t>
            </m:r>
          </m:e>
          <m:sub>
            <m:r>
              <m:t>x</m:t>
            </m:r>
          </m:sub>
        </m:sSub>
      </m:oMath>
      <w:r>
        <w:t xml:space="preserve">), e, na versão modificada, sete parâmetros:</w:t>
      </w:r>
      <w:r>
        <w:t xml:space="preserve"> </w:t>
      </w:r>
      <m:oMath>
        <m:r>
          <m:t>λ</m:t>
        </m:r>
        <m:r>
          <m:rPr>
            <m:sty m:val="p"/>
          </m:rPr>
          <m:t>,</m:t>
        </m:r>
        <m:r>
          <m:t>κ</m:t>
        </m:r>
        <m:r>
          <m:rPr>
            <m:sty m:val="p"/>
          </m:rPr>
          <m:t>,</m:t>
        </m:r>
        <m:r>
          <m:t>ϕ</m:t>
        </m:r>
        <m:r>
          <m:rPr>
            <m:sty m:val="p"/>
          </m:rPr>
          <m:t>,</m:t>
        </m:r>
        <m:r>
          <m:t>α</m:t>
        </m:r>
        <m:r>
          <m:rPr>
            <m:sty m:val="p"/>
          </m:rPr>
          <m:t>,</m:t>
        </m:r>
        <m:r>
          <m:t>ν</m:t>
        </m:r>
        <m:r>
          <m:rPr>
            <m:sty m:val="p"/>
          </m:rPr>
          <m:t>,</m:t>
        </m:r>
        <m:sSub>
          <m:e>
            <m:r>
              <m:t>μ</m:t>
            </m:r>
          </m:e>
          <m:sub>
            <m:r>
              <m:t>x</m:t>
            </m:r>
          </m:sub>
        </m:sSub>
        <m:r>
          <m:rPr>
            <m:sty m:val="p"/>
          </m:rPr>
          <m:t>,</m:t>
        </m:r>
        <m:sSub>
          <m:e>
            <m:r>
              <m:t>σ</m:t>
            </m:r>
          </m:e>
          <m:sub>
            <m:r>
              <m:t>x</m:t>
            </m:r>
          </m:sub>
        </m:sSub>
      </m:oMath>
      <w:r>
        <w:t xml:space="preserve">.</w:t>
      </w:r>
    </w:p>
    <w:p>
      <w:pPr>
        <w:pStyle w:val="BodyText"/>
      </w:pPr>
      <w:r>
        <w:t xml:space="preserve">Koutsoyiannis &amp; Onof (2001) implementam no</w:t>
      </w:r>
      <w:r>
        <w:t xml:space="preserve"> </w:t>
      </w:r>
      <w:hyperlink r:id="rId23">
        <w:r>
          <w:rPr>
            <w:rStyle w:val="Hyperlink"/>
          </w:rPr>
          <w:t xml:space="preserve">HYETOS</w:t>
        </w:r>
      </w:hyperlink>
      <w:r>
        <w:t xml:space="preserve"> </w:t>
      </w:r>
      <w:r>
        <w:t xml:space="preserve"> </w:t>
      </w:r>
      <w:r>
        <w:t xml:space="preserve">uma desagregação condicionada acoplada ao processo de Bartlett–Lewis. O procedimento inicia gerando, via Bartlett–Lewis, uma sequência longa o suficiente para conter um bloco de</w:t>
      </w:r>
      <w:r>
        <w:t xml:space="preserve"> </w:t>
      </w:r>
      <m:oMath>
        <m:r>
          <m:t>𝐿</m:t>
        </m:r>
      </m:oMath>
      <w:r>
        <w:t xml:space="preserve"> </w:t>
      </w:r>
      <w:r>
        <w:t xml:space="preserve">dias úmidos seguido por um ou mais dias secos; identificada essa sequência, são geradas as intensidades das células e computados os totais diários sintéticos correspondentes. A aceitação do bloco é decidida por uma medida de distância entre os totais diários gerados e os observados; se a distância exceder um limite 𝑑𝑎</w:t>
      </w:r>
      <w:r>
        <w:t xml:space="preserve"> </w:t>
      </w:r>
      <w:r>
        <w:t xml:space="preserve">, o algoritmo repete a amostragem, e, caso atinja limites de repetição, subdivide o bloco em sub-blocos menores que são desagregados independentemente e depois reunidos. Para garantir adição exata entre escalas, o HYETOS aplica um ajuste proporcional aos hietogramas de passo fino: os valores simulados</w:t>
      </w:r>
      <w:r>
        <w:t xml:space="preserve"> </w:t>
      </w:r>
      <m:oMath>
        <m:r>
          <m:t>e</m:t>
        </m:r>
        <m:sSub>
          <m:e>
            <m:r>
              <m:t>X</m:t>
            </m:r>
          </m:e>
          <m:sub>
            <m:r>
              <m:t>s</m:t>
            </m:r>
          </m:sub>
        </m:sSub>
      </m:oMath>
      <w:r>
        <w:t xml:space="preserve"> </w:t>
      </w:r>
      <w:r>
        <w:t xml:space="preserve">são reescalados por</w:t>
      </w:r>
      <w:r>
        <w:t xml:space="preserve"> </w:t>
      </w:r>
      <m:oMath>
        <m:r>
          <m:rPr>
            <m:sty m:val="p"/>
          </m:rPr>
          <m:t>∑</m:t>
        </m:r>
        <m:sSub>
          <m:e>
            <m:r>
              <m:t>Z</m:t>
            </m:r>
          </m:e>
          <m:sub>
            <m:r>
              <m:t>i</m:t>
            </m:r>
          </m:sub>
        </m:sSub>
        <m:r>
          <m:rPr>
            <m:sty m:val="p"/>
          </m:rPr>
          <m:t>/</m:t>
        </m:r>
        <m:r>
          <m:rPr>
            <m:sty m:val="p"/>
          </m:rPr>
          <m:t>∑</m:t>
        </m:r>
        <m:r>
          <m:t>e</m:t>
        </m:r>
        <m:sSub>
          <m:e>
            <m:r>
              <m:t>Z</m:t>
            </m:r>
          </m:e>
          <m:sub>
            <m:r>
              <m:t>i</m:t>
            </m:r>
          </m:sub>
        </m:sSub>
      </m:oMath>
      <w:r>
        <w:t xml:space="preserve"> </w:t>
      </w:r>
      <w:r>
        <w:t xml:space="preserve">de modo que as somas sub-horárias coincidam exatamente com o total diário</w:t>
      </w:r>
      <w:r>
        <w:t xml:space="preserve"> </w:t>
      </w:r>
      <m:oMath>
        <m:sSub>
          <m:e>
            <m:r>
              <m:t>Z</m:t>
            </m:r>
          </m:e>
          <m:sub>
            <m:r>
              <m:t>i</m:t>
            </m:r>
          </m:sub>
        </m:sSub>
      </m:oMath>
      <w:r>
        <w:t xml:space="preserve"> </w:t>
      </w:r>
      <w:r>
        <w:t xml:space="preserve">do bloco. Essa transformação preserva zeros, mantém propriedades de distribuição gama sob hipóteses adequadas e é preferível a ajustes lineares em séries com alta intermitência e assimetria; quando combinada com o esquema de repetições, reduz vieses em estatísticas que não são impostas explicitamente.</w:t>
      </w:r>
    </w:p>
    <w:p>
      <w:pPr>
        <w:pStyle w:val="BodyText"/>
      </w:pPr>
      <w:r>
        <w:t xml:space="preserve">Kossieris et al. (2018) generalizam esse arcabouço no HyetosMinute, estendendo a desagregação para escalas sub-horárias até 1 minuto e incorporando variantes do Bartlett–Lewis que aumentam a variabilidade intradiária, como o modelo com parâmetro de intensidade randomizado e a versão que impõe dependência entre intensidade e duração da célula. A plataforma também integra um algoritmo de estimação EAS2 (</w:t>
      </w:r>
      <w:r>
        <w:rPr>
          <w:i/>
          <w:iCs/>
        </w:rPr>
        <w:t xml:space="preserve">Evolutionary Annealing–Simplex</w:t>
      </w:r>
      <w:r>
        <w:t xml:space="preserve">) para ajuste de parâmetros do Bartlett–Lewis, e opera tanto em modo teste (com séries históricas completas) quanto em modo operacional (apenas diários), mantendo as mesmas etapas de ajuste proporcional e repetição/aceitação. Em estudo de caso, os autores mostram que as séries desagregadas por HyetosMinute reproduzem bem as estatísticas observadas e melhoram assimetria, proporção de períodos secos e dos extremos quando usada a variante com intensidade randomizada/dependente. Em aplicações recentes, Tayşi &amp; Özger (2022) utilizaram o modelo HYETOS para a desagregação de precipitações, destacando sua relevância em contextos práticos. O trabalho projeta curvas IDF sub-horárias a partir de 4 GCMs (RCP4.5/8.5) e desagrega a chuva diária com HYETOS calibrado em dados horários observados, preservando padrões históricos. Em seguida, compara as curvas IDF históricas com as futuras para avaliar mudanças esperadas na intensidade-duração-frequência.</w:t>
      </w:r>
    </w:p>
    <w:p>
      <w:pPr>
        <w:pStyle w:val="BodyText"/>
      </w:pPr>
      <w:r>
        <w:t xml:space="preserve">Mais recentemente, Qin &amp; Dai (2024) propuseram o Modelagem por Processos Pontuais e Desagregação da Precipitação (Point-Process Modelling and Rainfall Disaggregation – PPMRD) que utiliza diversos modelos de processo pontual e procedimentos de ajuste, baseados no trabalho de Kossieris et al. (2018), para gerar e desagregar dados de precipitação. A premissa é que um gerador (processo pontual) bem parametrizado reproduz as estatísticas observadas em um conjunto de escalas</w:t>
      </w:r>
      <w:r>
        <w:t xml:space="preserve"> </w:t>
      </w:r>
      <w:r>
        <w:t xml:space="preserve">“verificadas”</w:t>
      </w:r>
      <w:r>
        <w:t xml:space="preserve">; a desagregação deve, então, operar entre escalas superior e inferior escolhidas dentre essas escalas. Na seleção do gerador, comparam-se seis processos pontuais (BLRP5, BLRP6 com</w:t>
      </w:r>
      <w:r>
        <w:t xml:space="preserve"> </w:t>
      </w:r>
      <m:oMath>
        <m:r>
          <m:t>η</m:t>
        </m:r>
        <m:r>
          <m:rPr>
            <m:sty m:val="p"/>
          </m:rPr>
          <m:t>∼</m:t>
        </m:r>
        <m:r>
          <m:t>G</m:t>
        </m:r>
        <m:r>
          <m:t>a</m:t>
        </m:r>
        <m:r>
          <m:t>m</m:t>
        </m:r>
        <m:r>
          <m:t>a</m:t>
        </m:r>
      </m:oMath>
      <w:r>
        <w:t xml:space="preserve">, BLRP6x com dependência intensidade–duração, BLRP7 com intensidade Gama, NSRP5, NSRP6) ajustados mensalmente por otimização global, minimizando erros relativos entre estatísticas simuladas e observadas em várias escalas (média, variância, probabilidade de seco, assimetria) e avaliando extremos via Gumbel. O gerador é escolhido pelo desempenho agregado nessas métricas. A desagregação no PPMRD generaliza o esquema tipo HYETOS: em vez de</w:t>
      </w:r>
      <w:r>
        <w:t xml:space="preserve"> </w:t>
      </w:r>
      <w:r>
        <w:t xml:space="preserve">“dias úmidos”</w:t>
      </w:r>
      <w:r>
        <w:t xml:space="preserve">, trabalha-se com sequências úmidas com nível superior (p.ex., blocos 3 h, 6 h ou 24 h), separadas por pelo menos um intervalo seco. Para cada sequência úmida, o gerador produz a série em passo fino; essa série é agregada de volta à escala superior e comparada ao registro observado por um critério de erro descrito pela equação:</w:t>
      </w:r>
    </w:p>
    <w:p>
      <w:pPr>
        <w:pStyle w:val="BodyText"/>
      </w:pPr>
      <m:oMathPara>
        <m:oMathParaPr>
          <m:jc m:val="center"/>
        </m:oMathParaPr>
        <m:oMath>
          <m:r>
            <m:t>E</m:t>
          </m:r>
          <m:r>
            <m:rPr>
              <m:sty m:val="p"/>
            </m:rPr>
            <m:t>=</m:t>
          </m:r>
          <m:r>
            <m:rPr>
              <m:sty m:val="p"/>
            </m:rPr>
            <m:t>max</m:t>
          </m:r>
          <m:d>
            <m:dPr>
              <m:begChr m:val="{"/>
              <m:endChr m:val="}"/>
              <m:sepChr m:val=""/>
              <m:grow/>
            </m:dPr>
            <m:e>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s</m:t>
                                      </m:r>
                                    </m:sub>
                                  </m:sSub>
                                  <m:d>
                                    <m:dPr>
                                      <m:begChr m:val="("/>
                                      <m:endChr m:val=")"/>
                                      <m:sepChr m:val=""/>
                                      <m:grow/>
                                    </m:dPr>
                                    <m:e>
                                      <m:r>
                                        <m:t>l</m:t>
                                      </m:r>
                                    </m:e>
                                  </m:d>
                                  <m:r>
                                    <m:rPr>
                                      <m:sty m:val="p"/>
                                    </m:rPr>
                                    <m:t>−</m:t>
                                  </m:r>
                                  <m:sSub>
                                    <m:e>
                                      <m:r>
                                        <m:t>P</m:t>
                                      </m:r>
                                    </m:e>
                                    <m:sub>
                                      <m:r>
                                        <m:t>o</m:t>
                                      </m:r>
                                    </m:sub>
                                  </m:sSub>
                                  <m:d>
                                    <m:dPr>
                                      <m:begChr m:val="("/>
                                      <m:endChr m:val=")"/>
                                      <m:sepChr m:val=""/>
                                      <m:grow/>
                                    </m:dPr>
                                    <m:e>
                                      <m:r>
                                        <m:t>l</m:t>
                                      </m:r>
                                    </m:e>
                                  </m:d>
                                </m:num>
                                <m:den>
                                  <m:sSub>
                                    <m:e>
                                      <m:r>
                                        <m:t>P</m:t>
                                      </m:r>
                                    </m:e>
                                    <m:sub>
                                      <m:r>
                                        <m:t>o</m:t>
                                      </m:r>
                                    </m:sub>
                                  </m:sSub>
                                  <m:d>
                                    <m:dPr>
                                      <m:begChr m:val="("/>
                                      <m:endChr m:val=")"/>
                                      <m:sepChr m:val=""/>
                                      <m:grow/>
                                    </m:dPr>
                                    <m:e>
                                      <m:r>
                                        <m:t>l</m:t>
                                      </m:r>
                                    </m:e>
                                  </m:d>
                                </m:den>
                              </m:f>
                            </m:e>
                          </m:d>
                        </m:e>
                        <m:sup>
                          <m:r>
                            <m:t>2</m:t>
                          </m:r>
                        </m:sup>
                      </m:sSup>
                    </m:e>
                  </m:nary>
                </m:e>
              </m:rad>
              <m:r>
                <m:rPr>
                  <m:sty m:val="p"/>
                </m:rPr>
                <m:t>,</m:t>
              </m:r>
              <m:r>
                <m:t> </m:t>
              </m:r>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o</m:t>
                                      </m:r>
                                    </m:sub>
                                  </m:sSub>
                                  <m:d>
                                    <m:dPr>
                                      <m:begChr m:val="("/>
                                      <m:endChr m:val=")"/>
                                      <m:sepChr m:val=""/>
                                      <m:grow/>
                                    </m:dPr>
                                    <m:e>
                                      <m:r>
                                        <m:t>l</m:t>
                                      </m:r>
                                    </m:e>
                                  </m:d>
                                  <m:r>
                                    <m:rPr>
                                      <m:sty m:val="p"/>
                                    </m:rPr>
                                    <m:t>−</m:t>
                                  </m:r>
                                  <m:sSub>
                                    <m:e>
                                      <m:r>
                                        <m:t>P</m:t>
                                      </m:r>
                                    </m:e>
                                    <m:sub>
                                      <m:r>
                                        <m:t>s</m:t>
                                      </m:r>
                                    </m:sub>
                                  </m:sSub>
                                  <m:d>
                                    <m:dPr>
                                      <m:begChr m:val="("/>
                                      <m:endChr m:val=")"/>
                                      <m:sepChr m:val=""/>
                                      <m:grow/>
                                    </m:dPr>
                                    <m:e>
                                      <m:r>
                                        <m:t>l</m:t>
                                      </m:r>
                                    </m:e>
                                  </m:d>
                                </m:num>
                                <m:den>
                                  <m:sSub>
                                    <m:e>
                                      <m:r>
                                        <m:t>P</m:t>
                                      </m:r>
                                    </m:e>
                                    <m:sub>
                                      <m:r>
                                        <m:t>s</m:t>
                                      </m:r>
                                    </m:sub>
                                  </m:sSub>
                                  <m:d>
                                    <m:dPr>
                                      <m:begChr m:val="("/>
                                      <m:endChr m:val=")"/>
                                      <m:sepChr m:val=""/>
                                      <m:grow/>
                                    </m:dPr>
                                    <m:e>
                                      <m:r>
                                        <m:t>l</m:t>
                                      </m:r>
                                    </m:e>
                                  </m:d>
                                </m:den>
                              </m:f>
                            </m:e>
                          </m:d>
                        </m:e>
                        <m:sup>
                          <m:r>
                            <m:t>2</m:t>
                          </m:r>
                        </m:sup>
                      </m:sSup>
                    </m:e>
                  </m:nary>
                </m:e>
              </m:rad>
            </m:e>
          </m:d>
        </m:oMath>
      </m:oMathPara>
    </w:p>
    <w:p>
      <w:pPr>
        <w:pStyle w:val="FirstParagraph"/>
      </w:pPr>
      <w:r>
        <w:t xml:space="preserve">{#eq.criterio-erro}</w:t>
      </w:r>
    </w:p>
    <w:p>
      <w:pPr>
        <w:pStyle w:val="BodyText"/>
      </w:pPr>
      <w:r>
        <w:t xml:space="preserve">onde</w:t>
      </w:r>
      <w:r>
        <w:t xml:space="preserve"> </w:t>
      </w:r>
      <m:oMath>
        <m:r>
          <m:t>l</m:t>
        </m:r>
      </m:oMath>
      <w:r>
        <w:t xml:space="preserve"> </w:t>
      </w:r>
      <w:r>
        <w:t xml:space="preserve">é o índice da série úmida no nível superior e</w:t>
      </w:r>
      <w:r>
        <w:t xml:space="preserve"> </w:t>
      </w:r>
      <m:oMath>
        <m:r>
          <m:t>L</m:t>
        </m:r>
      </m:oMath>
      <w:r>
        <w:t xml:space="preserve"> </w:t>
      </w:r>
      <w:r>
        <w:t xml:space="preserve">é o comprimento total;</w:t>
      </w:r>
      <w:r>
        <w:t xml:space="preserve"> </w:t>
      </w:r>
      <m:oMath>
        <m:sSub>
          <m:e>
            <m:r>
              <m:t>P</m:t>
            </m:r>
          </m:e>
          <m:sub>
            <m:r>
              <m:t>s</m:t>
            </m:r>
          </m:sub>
        </m:sSub>
      </m:oMath>
      <w:r>
        <w:t xml:space="preserve"> </w:t>
      </w:r>
      <w:r>
        <w:t xml:space="preserve">e</w:t>
      </w:r>
      <w:r>
        <w:t xml:space="preserve"> </w:t>
      </w:r>
      <m:oMath>
        <m:sSub>
          <m:e>
            <m:r>
              <m:t>P</m:t>
            </m:r>
          </m:e>
          <m:sub>
            <m:r>
              <m:t>o</m:t>
            </m:r>
          </m:sub>
        </m:sSub>
      </m:oMath>
      <w:r>
        <w:t xml:space="preserve"> </w:t>
      </w:r>
      <w:r>
        <w:t xml:space="preserve">são, respectivamente, as séries de precipitação no nível superior sintética e observada. Sequências longas são segmentadas de forma controlada: define-se previamente um comprimento máximo</w:t>
      </w:r>
      <w:r>
        <w:t xml:space="preserve"> </w:t>
      </w:r>
      <m:oMath>
        <m:sSub>
          <m:e>
            <m:r>
              <m:t>U</m:t>
            </m:r>
          </m:e>
          <m:sub>
            <m:r>
              <m:rPr>
                <m:sty m:val="p"/>
              </m:rPr>
              <m:t>max</m:t>
            </m:r>
          </m:sub>
        </m:sSub>
      </m:oMath>
      <w:r>
        <w:t xml:space="preserve"> </w:t>
      </w:r>
      <w:r>
        <w:t xml:space="preserve">por mês, a partir de um procedimento que cresce o comprimento</w:t>
      </w:r>
      <w:r>
        <w:t xml:space="preserve"> </w:t>
      </w:r>
      <m:oMath>
        <m:r>
          <m:t>l</m:t>
        </m:r>
      </m:oMath>
      <w:r>
        <w:t xml:space="preserve"> </w:t>
      </w:r>
      <w:r>
        <w:t xml:space="preserve">de uma sequência típica, gera ensembles e observa o percentil</w:t>
      </w:r>
      <w:r>
        <w:t xml:space="preserve"> </w:t>
      </w:r>
      <m:oMath>
        <m:r>
          <m:t>p</m:t>
        </m:r>
      </m:oMath>
      <w:r>
        <w:t xml:space="preserve"> </w:t>
      </w:r>
      <w:r>
        <w:t xml:space="preserve">do erro</w:t>
      </w:r>
      <w:r>
        <w:t xml:space="preserve"> </w:t>
      </w:r>
      <m:oMath>
        <m:sSub>
          <m:e>
            <m:r>
              <m:t>E</m:t>
            </m:r>
          </m:e>
          <m:sub>
            <m:r>
              <m:t>p</m:t>
            </m:r>
          </m:sub>
        </m:sSub>
        <m:d>
          <m:dPr>
            <m:begChr m:val="("/>
            <m:endChr m:val=")"/>
            <m:sepChr m:val=""/>
            <m:grow/>
          </m:dPr>
          <m:e>
            <m:r>
              <m:t>l</m:t>
            </m:r>
          </m:e>
        </m:d>
      </m:oMath>
      <w:r>
        <w:t xml:space="preserve"> </w:t>
      </w:r>
      <w:r>
        <w:t xml:space="preserve">até ultrapassar um limiar</w:t>
      </w:r>
      <w:r>
        <w:t xml:space="preserve"> </w:t>
      </w:r>
      <m:oMath>
        <m:sSub>
          <m:e>
            <m:r>
              <m:t>E</m:t>
            </m:r>
          </m:e>
          <m:sub>
            <m:r>
              <m:t>t</m:t>
            </m:r>
            <m:r>
              <m:t>h</m:t>
            </m:r>
          </m:sub>
        </m:sSub>
      </m:oMath>
      <w:r>
        <w:t xml:space="preserve">; então fixa-se</w:t>
      </w:r>
      <w:r>
        <w:t xml:space="preserve"> </w:t>
      </w:r>
      <m:oMath>
        <m:sSub>
          <m:e>
            <m:r>
              <m:t>U</m:t>
            </m:r>
          </m:e>
          <m:sub>
            <m:r>
              <m:rPr>
                <m:sty m:val="p"/>
              </m:rPr>
              <m:t>max</m:t>
            </m:r>
          </m:sub>
        </m:sSub>
        <m:r>
          <m:rPr>
            <m:sty m:val="p"/>
          </m:rPr>
          <m:t>=</m:t>
        </m:r>
        <m:sSup>
          <m:e>
            <m:r>
              <m:t>l</m:t>
            </m:r>
          </m:e>
          <m:sup>
            <m:r>
              <m:rPr>
                <m:sty m:val="p"/>
              </m:rPr>
              <m:t>*</m:t>
            </m:r>
          </m:sup>
        </m:sSup>
        <m:r>
          <m:rPr>
            <m:sty m:val="p"/>
          </m:rPr>
          <m:t>−</m:t>
        </m:r>
        <m:r>
          <m:t>1</m:t>
        </m:r>
      </m:oMath>
      <w:r>
        <w:t xml:space="preserve">. Caso uma sequência exceda</w:t>
      </w:r>
      <w:r>
        <w:t xml:space="preserve"> </w:t>
      </w:r>
      <m:oMath>
        <m:sSub>
          <m:e>
            <m:r>
              <m:t>U</m:t>
            </m:r>
          </m:e>
          <m:sub>
            <m:r>
              <m:rPr>
                <m:sty m:val="p"/>
              </m:rPr>
              <m:t>max</m:t>
            </m:r>
          </m:sub>
        </m:sSub>
      </m:oMath>
      <w:r>
        <w:t xml:space="preserve">, ela é dividida aleatoriamente em sub-sequências com comprimentos entre 1 e</w:t>
      </w:r>
      <w:r>
        <w:t xml:space="preserve"> </w:t>
      </w:r>
      <m:oMath>
        <m:sSub>
          <m:e>
            <m:r>
              <m:t>U</m:t>
            </m:r>
          </m:e>
          <m:sub>
            <m:r>
              <m:rPr>
                <m:sty m:val="p"/>
              </m:rPr>
              <m:t>max</m:t>
            </m:r>
          </m:sub>
        </m:sSub>
      </m:oMath>
      <w:r>
        <w:t xml:space="preserve">, processadas independentemente e, ao final, reunidas. Por fim, aplica-se o ajuste proporcional clássico para garantir coincidência exata entre o total agregado do sintético e o total observado na escala superior. O uso de ensembles é recomendado para lidar com a incerteza inerente ao caráter estocástico e aos efeitos de fronteira impostos pela série superior.</w:t>
      </w:r>
    </w:p>
    <w:p>
      <w:pPr>
        <w:pStyle w:val="BodyText"/>
      </w:pPr>
      <w:r>
        <w:t xml:space="preserve">Em paralelo, Vorobevskii et al. (2023) compararam um modelo condicional (WayDown, que conserva a soma diária via cadeia de Markov e cópulas) com um gerador incondicional (LetItRain, duplo Poisson). WayDown é um modelo condicional de desagregação de precipitação, disponibilizado como pacote R</w:t>
      </w:r>
      <w:r>
        <w:t xml:space="preserve">. Para cada dia da série de entrada (observado ou projetado), o método seleciona, no conjunto de referência de alta resolução do mesmo mês, eventos com somas diárias semelhantes. A partir desse subconjunto, estima-se uma cadeia de Markov de dois estados (chuva/não-chuva), usada para amostrar a série binária a 5 min (ou outra resolução). Dados os intervalos</w:t>
      </w:r>
      <w:r>
        <w:t xml:space="preserve"> </w:t>
      </w:r>
      <w:r>
        <w:t xml:space="preserve">“úmidos”</w:t>
      </w:r>
      <w:r>
        <w:t xml:space="preserve"> </w:t>
      </w:r>
      <w:r>
        <w:t xml:space="preserve">da série binária, as alturas são amostradas em dois passos: o primeiro valor de cada sub-evento é extraído da amostra observada com pesos empíricos condicionados ao total diário e ao mês; os valores subsequentes são amostrados por uma cópula beta empírica bivariada, impondo dependência de defasagem 1 (lag-1) entre intensidades consecutivas. A soma diária da série desagregada é então comparada ao valor diário alvo; se o erro relativo absoluto ficar abaixo de um limiar (padrão 10%; para totais muito pequenos, p.ex. &lt; 1 mm, admite-se limiar maior para reduzir custo computacional), aplica-se uma correção proporcional (valores maiores recebem ajuste maior) para garantir coincidência exata. Caso contrário, repete-se a amostragem de intensidades para a mesma série binária; após ~30 tentativas sem sucesso, uma nova série binária é amostrada e o processo recomeça. Para consistência entre dias, o último valor do dia anterior é considerado ao amostrar o início do dia corrente (transição evento-a-evento). O método foi testado com resoluções de 1, 5, 10 e 30 min, com bom desempenho computacional.</w:t>
      </w:r>
    </w:p>
    <w:p>
      <w:pPr>
        <w:pStyle w:val="BodyText"/>
      </w:pPr>
      <w:r>
        <w:t xml:space="preserve">O LetItRain</w:t>
      </w:r>
      <w:r>
        <w:t xml:space="preserve"> </w:t>
      </w:r>
      <w:r>
        <w:t xml:space="preserve"> </w:t>
      </w:r>
      <w:r>
        <w:t xml:space="preserve">é um gerador incondicional de séries de precipitação que estende os modelos de clusters de Poisson (Neyman–Scott/Bartlett–Lewis). Assume chegadas de episódios segundo Poisson e distribuições para a duração do episódio e para as propriedades das células (chegada, duração, intensidade). Para superar a tendência clássica de subestimar extremos, incorpora quatro melhorias: (i) calibração visando momentos de 1ª a 3ª ordem das séries observadas; (ii) relação inversa entre duração e intensidade da célula, reforçando picos de curta duração; (iii) intensidade celular com distribuição Gama; (iv) dois algoritmos de embaralhamento (</w:t>
      </w:r>
      <w:r>
        <w:t xml:space="preserve">“shuffling”</w:t>
      </w:r>
      <w:r>
        <w:t xml:space="preserve">) que reproduzem autocorrelação de episódios e eventos persistentes. Para aplicações a cenários futuros, o fluxo é mensal: estatísticas de referência (média, variância, covariância, assimetria e proporção de períodos úmidos) são computadas em múltiplas agregações (10–960 min); regressões entre estatísticas (p.ex., média–variância, média–proporção úmida; e relações entre variâncias/proporções em diferentes agregações) são ajustadas; calcula-se um fator de mudança para a média diária (razão futuro/histórico), usado em conjunto com um gerador climático diário (p.ex., LARS-WG) para ancorar a média de 10 min no futuro; as estatísticas futuras para cada agregação são então derivadas via essas regressões (covariância e assimetria podem ser herdadas do clima atual quando a sensibilidade é fraca e faltam relações estáveis). Com esse conjunto estatístico, o modelo é calibrado e gera séries sub-horárias futuras preservando propriedades observadas e extremos em ampla faixa temporal. Os autores observaram que o WayDown tende a reproduzir melhor a mediana das estatísticas, enquanto o LetItRain fornece maior variabilidade de cenários. Ambos podem superestimar extremos até certo limiar e subestimar acima dele, explicitando o trade-off entre conservação de massa diária e liberdade estatística intradiária.</w:t>
      </w:r>
    </w:p>
    <w:bookmarkEnd w:id="24"/>
    <w:bookmarkStart w:id="25" w:name="subsec.invariancia"/>
    <w:p>
      <w:pPr>
        <w:pStyle w:val="Heading3"/>
      </w:pPr>
      <w:r>
        <w:t xml:space="preserve">1.3 Modelos Baseados em Invariância de Escala / Autossemelhança / Fractais</w:t>
      </w:r>
    </w:p>
    <w:p>
      <w:pPr>
        <w:pStyle w:val="FirstParagraph"/>
      </w:pPr>
      <w:r>
        <w:t xml:space="preserve">A ideia de invariância de escala em séries hidroclimáticas consolidou-se com Mandelbrot &amp; Wallis (1968), ao reinterpretar o efeito de Hurst como auto-semelhança estatística: reescalando o tempo, certas estatísticas preservam a forma por leis de potência. Para agregações de tamanho</w:t>
      </w:r>
      <w:r>
        <w:t xml:space="preserve"> </w:t>
      </w:r>
      <m:oMath>
        <m:r>
          <m:t>s</m:t>
        </m:r>
      </m:oMath>
      <w:r>
        <w:t xml:space="preserve"> </w:t>
      </w:r>
      <w:r>
        <w:t xml:space="preserve">vale</w:t>
      </w:r>
      <w:r>
        <w:t xml:space="preserve"> </w:t>
      </w:r>
      <m:oMath>
        <m:r>
          <m:rPr>
            <m:sty m:val="p"/>
          </m:rPr>
          <m:t>V</m:t>
        </m:r>
        <m:r>
          <m:rPr>
            <m:sty m:val="p"/>
          </m:rPr>
          <m:t>a</m:t>
        </m:r>
        <m:r>
          <m:rPr>
            <m:sty m:val="p"/>
          </m:rPr>
          <m:t>r</m:t>
        </m:r>
        <m:d>
          <m:dPr>
            <m:begChr m:val="["/>
            <m:endChr m:val="]"/>
            <m:sepChr m:val=""/>
            <m:grow/>
          </m:dPr>
          <m:e>
            <m:sSub>
              <m:e>
                <m:r>
                  <m:t>X</m:t>
                </m:r>
              </m:e>
              <m:sub>
                <m:r>
                  <m:t>s</m:t>
                </m:r>
              </m:sub>
            </m:sSub>
          </m:e>
        </m:d>
        <m:r>
          <m:rPr>
            <m:sty m:val="p"/>
          </m:rPr>
          <m:t>∝</m:t>
        </m:r>
        <m:sSup>
          <m:e>
            <m:r>
              <m:t>s</m:t>
            </m:r>
          </m:e>
          <m:sup>
            <m:r>
              <m:t>2</m:t>
            </m:r>
            <m:r>
              <m:t>H</m:t>
            </m:r>
          </m:sup>
        </m:sSup>
      </m:oMath>
      <w:r>
        <w:t xml:space="preserve"> </w:t>
      </w:r>
      <w:r>
        <w:t xml:space="preserve">e o estatístico</w:t>
      </w:r>
      <w:r>
        <w:t xml:space="preserve"> </w:t>
      </w:r>
      <w:r>
        <w:rPr>
          <w:i/>
          <w:iCs/>
        </w:rPr>
        <w:t xml:space="preserve">rescaled-range</w:t>
      </w:r>
      <w:r>
        <w:t xml:space="preserve"> </w:t>
      </w:r>
      <w:r>
        <w:t xml:space="preserve"> </w:t>
      </w:r>
      <w:r>
        <w:t xml:space="preserve">satisfaz</w:t>
      </w:r>
      <w:r>
        <w:t xml:space="preserve"> </w:t>
      </w:r>
      <m:oMath>
        <m:r>
          <m:t>R</m:t>
        </m:r>
        <m:r>
          <m:rPr>
            <m:sty m:val="p"/>
          </m:rPr>
          <m:t>/</m:t>
        </m:r>
        <m:r>
          <m:t>S</m:t>
        </m:r>
        <m:r>
          <m:rPr>
            <m:sty m:val="p"/>
          </m:rPr>
          <m:t>∝</m:t>
        </m:r>
        <m:sSup>
          <m:e>
            <m:r>
              <m:t>s</m:t>
            </m:r>
          </m:e>
          <m:sup>
            <m:r>
              <m:t>H</m:t>
            </m:r>
          </m:sup>
        </m:sSup>
      </m:oMath>
      <w:r>
        <w:t xml:space="preserve">, com</w:t>
      </w:r>
      <w:r>
        <w:t xml:space="preserve"> </w:t>
      </w:r>
      <m:oMath>
        <m:r>
          <m:t>0.5</m:t>
        </m:r>
        <m:r>
          <m:rPr>
            <m:sty m:val="p"/>
          </m:rPr>
          <m:t>&lt;</m:t>
        </m:r>
        <m:r>
          <m:t>H</m:t>
        </m:r>
        <m:r>
          <m:rPr>
            <m:sty m:val="p"/>
          </m:rPr>
          <m:t>&lt;</m:t>
        </m:r>
        <m:r>
          <m:t>1</m:t>
        </m:r>
      </m:oMath>
      <w:r>
        <w:t xml:space="preserve"> </w:t>
      </w:r>
      <w:r>
        <w:t xml:space="preserve">indicando dependência de longa duração. No domínio espectral, a densidade segue aproximadamente</w:t>
      </w:r>
      <w:r>
        <w:t xml:space="preserve"> </w:t>
      </w:r>
      <m:oMath>
        <m:r>
          <m:t>S</m:t>
        </m:r>
        <m:d>
          <m:dPr>
            <m:begChr m:val="("/>
            <m:endChr m:val=")"/>
            <m:sepChr m:val=""/>
            <m:grow/>
          </m:dPr>
          <m:e>
            <m:r>
              <m:t>f</m:t>
            </m:r>
          </m:e>
        </m:d>
        <m:r>
          <m:rPr>
            <m:sty m:val="p"/>
          </m:rPr>
          <m:t>∼</m:t>
        </m:r>
        <m:sSup>
          <m:e>
            <m:r>
              <m:t>f</m:t>
            </m:r>
          </m:e>
          <m:sup>
            <m:r>
              <m:rPr>
                <m:sty m:val="p"/>
              </m:rPr>
              <m:t>−</m:t>
            </m:r>
            <m:r>
              <m:t>β</m:t>
            </m:r>
          </m:sup>
        </m:sSup>
      </m:oMath>
      <w:r>
        <w:t xml:space="preserve"> </w:t>
      </w:r>
      <w:r>
        <w:t xml:space="preserve">com</w:t>
      </w:r>
      <w:r>
        <w:t xml:space="preserve"> </w:t>
      </w:r>
      <m:oMath>
        <m:r>
          <m:t>β</m:t>
        </m:r>
        <m:r>
          <m:rPr>
            <m:sty m:val="p"/>
          </m:rPr>
          <m:t>=</m:t>
        </m:r>
        <m:r>
          <m:t>2</m:t>
        </m:r>
        <m:r>
          <m:t>H</m:t>
        </m:r>
        <m:r>
          <m:rPr>
            <m:sty m:val="p"/>
          </m:rPr>
          <m:t>−</m:t>
        </m:r>
        <m:r>
          <m:t>1</m:t>
        </m:r>
      </m:oMath>
      <w:r>
        <w:t xml:space="preserve">, e no domínio do tempo a autocovariância decai como lei de potência</w:t>
      </w:r>
      <w:r>
        <w:t xml:space="preserve"> </w:t>
      </w:r>
      <m:oMath>
        <m:r>
          <m:t>γ</m:t>
        </m:r>
        <m:d>
          <m:dPr>
            <m:begChr m:val="("/>
            <m:endChr m:val=")"/>
            <m:sepChr m:val=""/>
            <m:grow/>
          </m:dPr>
          <m:e>
            <m:r>
              <m:t>k</m:t>
            </m:r>
          </m:e>
        </m:d>
        <m:r>
          <m:rPr>
            <m:sty m:val="p"/>
          </m:rPr>
          <m:t>∼</m:t>
        </m:r>
        <m:sSup>
          <m:e>
            <m:r>
              <m:t>k</m:t>
            </m:r>
          </m:e>
          <m:sup>
            <m:r>
              <m:t>2</m:t>
            </m:r>
            <m:r>
              <m:t>H</m:t>
            </m:r>
            <m:r>
              <m:rPr>
                <m:sty m:val="p"/>
              </m:rPr>
              <m:t>−</m:t>
            </m:r>
            <m:r>
              <m:t>2</m:t>
            </m:r>
          </m:sup>
        </m:sSup>
      </m:oMath>
      <w:r>
        <w:t xml:space="preserve">. Essa estrutura é compatível com modelos autossemelhantes (p.ex., movimento browniano fracionário/ruído fracionário) e implica variabilidade multiescalar persistente.</w:t>
      </w:r>
    </w:p>
    <w:p>
      <w:pPr>
        <w:pStyle w:val="BodyText"/>
      </w:pPr>
      <w:r>
        <w:t xml:space="preserve">Lovejoy &amp; Schertzer (1985) formulam a invariância de escala generalizada (GSI), na qual as estatísticas atmosféricas em diferentes escalas se relacionam por uma transformação de ampliação anisotrópica com estratificação e rotação, e não por autossemelhança isotrópica simples. Dessa formulação decorre como resultado central a lei espectral de potência</w:t>
      </w:r>
    </w:p>
    <w:p>
      <w:pPr>
        <w:pStyle w:val="BodyText"/>
      </w:pPr>
      <m:oMathPara>
        <m:oMathParaPr>
          <m:jc m:val="center"/>
        </m:oMathParaPr>
        <m:oMath>
          <m:r>
            <m:t>E</m:t>
          </m:r>
          <m:d>
            <m:dPr>
              <m:begChr m:val="("/>
              <m:endChr m:val=")"/>
              <m:sepChr m:val=""/>
              <m:grow/>
            </m:dPr>
            <m:e>
              <m:r>
                <m:t>k</m:t>
              </m:r>
            </m:e>
          </m:d>
          <m:r>
            <m:rPr>
              <m:sty m:val="p"/>
            </m:rPr>
            <m:t>∝</m:t>
          </m:r>
          <m:sSup>
            <m:e>
              <m:r>
                <m:t>k</m:t>
              </m:r>
            </m:e>
            <m:sup>
              <m:r>
                <m:rPr>
                  <m:sty m:val="p"/>
                </m:rPr>
                <m:t>−</m:t>
              </m:r>
              <m:r>
                <m:t>β</m:t>
              </m:r>
            </m:sup>
          </m:sSup>
          <m:r>
            <m:t> </m:t>
          </m:r>
          <m:r>
            <m:rPr>
              <m:nor/>
              <m:sty m:val="p"/>
            </m:rPr>
            <m:t>com</m:t>
          </m:r>
          <m:r>
            <m:t> </m:t>
          </m:r>
          <m:r>
            <m:t>β</m:t>
          </m:r>
          <m:r>
            <m:rPr>
              <m:sty m:val="p"/>
            </m:rPr>
            <m:t>=</m:t>
          </m:r>
          <m:r>
            <m:t>2</m:t>
          </m:r>
          <m:r>
            <m:t>H</m:t>
          </m:r>
          <m:r>
            <m:rPr>
              <m:sty m:val="p"/>
            </m:rPr>
            <m:t>+</m:t>
          </m:r>
          <m:r>
            <m:t>1</m:t>
          </m:r>
          <m:r>
            <m:rPr>
              <m:sty m:val="p"/>
            </m:rPr>
            <m:t>,</m:t>
          </m:r>
        </m:oMath>
      </m:oMathPara>
    </w:p>
    <w:p>
      <w:pPr>
        <w:pStyle w:val="FirstParagraph"/>
      </w:pPr>
      <w:r>
        <w:t xml:space="preserve">{#eq.lei-espectral-potencia}</w:t>
      </w:r>
    </w:p>
    <w:p>
      <w:pPr>
        <w:pStyle w:val="BodyText"/>
      </w:pPr>
      <w:r>
        <w:t xml:space="preserve">a qual vincula diretamente o expoente espectral</w:t>
      </w:r>
      <w:r>
        <w:t xml:space="preserve"> </w:t>
      </w:r>
      <m:oMath>
        <m:r>
          <m:t>β</m:t>
        </m:r>
      </m:oMath>
      <w:r>
        <w:t xml:space="preserve"> </w:t>
      </w:r>
      <w:r>
        <w:t xml:space="preserve">ao expoente de escala</w:t>
      </w:r>
      <w:r>
        <w:t xml:space="preserve"> </w:t>
      </w:r>
      <m:oMath>
        <m:r>
          <m:t>H</m:t>
        </m:r>
      </m:oMath>
      <w:r>
        <w:t xml:space="preserve"> </w:t>
      </w:r>
      <w:r>
        <w:t xml:space="preserve">e organiza a variabilidade multiescala da chuva. Essa anisotropia é formalizada por uma métrica elíptica de dimensão efetiva intermediária, explicando a ocorrência de bandas e aglomerados em múltiplas escalas. Lovejoy e Schertzer (1986) consolidam a GSI ao mostrar que a anisotropia gravitacional persiste em todas as escalas, de modo que as estruturas tornam-se mais</w:t>
      </w:r>
      <w:r>
        <w:t xml:space="preserve"> </w:t>
      </w:r>
      <w:r>
        <w:t xml:space="preserve">“achatadas”</w:t>
      </w:r>
      <w:r>
        <w:t xml:space="preserve"> </w:t>
      </w:r>
      <w:r>
        <w:t xml:space="preserve">com o aumento de escala, mas nunca estritamente bidimensionais.</w:t>
      </w:r>
    </w:p>
    <w:p>
      <w:pPr>
        <w:pStyle w:val="BodyText"/>
      </w:pPr>
      <w:r>
        <w:t xml:space="preserve">Em hidrologia, essa base foi trazida para a prática por Koutsoyiannis &amp; Foufoula-Georgiou (1993), ao proporem um modelo de escala simples para a intensidade intratempestade que, analítica e empiricamente, reproduz de forma consistente hietogramas de diferentes durações/profundidades com poucos parâmetros. O artigo propõe um modelo de escalonamento para hietogramas de episódios chuvosos em que a intensidade instantânea</w:t>
      </w:r>
      <w:r>
        <w:t xml:space="preserve"> </w:t>
      </w:r>
      <m:oMath>
        <m:r>
          <m:t>s</m:t>
        </m:r>
        <m:d>
          <m:dPr>
            <m:begChr m:val="("/>
            <m:endChr m:val=")"/>
            <m:sepChr m:val=""/>
            <m:grow/>
          </m:dPr>
          <m:e>
            <m:r>
              <m:t>t</m:t>
            </m:r>
            <m:r>
              <m:rPr>
                <m:sty m:val="p"/>
              </m:rPr>
              <m:t>,</m:t>
            </m:r>
            <m:r>
              <m:t>D</m:t>
            </m:r>
          </m:e>
        </m:d>
      </m:oMath>
      <w:r>
        <w:t xml:space="preserve"> </w:t>
      </w:r>
      <w:r>
        <w:t xml:space="preserve">dentro de um episódio de duração</w:t>
      </w:r>
      <w:r>
        <w:t xml:space="preserve"> </w:t>
      </w:r>
      <m:oMath>
        <m:r>
          <m:t>D</m:t>
        </m:r>
      </m:oMath>
      <w:r>
        <w:t xml:space="preserve"> </w:t>
      </w:r>
      <w:r>
        <w:t xml:space="preserve">é autossemelhante:</w:t>
      </w:r>
    </w:p>
    <w:p>
      <w:pPr>
        <w:pStyle w:val="BodyText"/>
      </w:pPr>
      <m:oMathPara>
        <m:oMathParaPr>
          <m:jc m:val="center"/>
        </m:oMathParaPr>
        <m:oMath>
          <m:r>
            <m:rPr>
              <m:sty m:val="p"/>
            </m:rPr>
            <m:t>{</m:t>
          </m:r>
          <m:r>
            <m:t>s</m:t>
          </m:r>
          <m:d>
            <m:dPr>
              <m:begChr m:val="("/>
              <m:endChr m:val=")"/>
              <m:sepChr m:val=""/>
              <m:grow/>
            </m:dPr>
            <m:e>
              <m:r>
                <m:t>t</m:t>
              </m:r>
              <m:r>
                <m:rPr>
                  <m:sty m:val="p"/>
                </m:rPr>
                <m:t>,</m:t>
              </m:r>
              <m:r>
                <m:t>D</m:t>
              </m:r>
            </m:e>
          </m:d>
          <m:r>
            <m:rPr>
              <m:sty m:val="p"/>
            </m:rPr>
            <m:t>}</m:t>
          </m:r>
          <m:r>
            <m:t> </m:t>
          </m:r>
          <m:limUpp>
            <m:e>
              <m:r>
                <m:rPr>
                  <m:sty m:val="p"/>
                </m:rPr>
                <m:t>=</m:t>
              </m:r>
            </m:e>
            <m:lim>
              <m:r>
                <m:t>d</m:t>
              </m:r>
            </m:lim>
          </m:limUpp>
          <m:r>
            <m:t> </m:t>
          </m:r>
          <m:sSup>
            <m:e>
              <m:r>
                <m:t>λ</m:t>
              </m:r>
            </m:e>
            <m:sup>
              <m:r>
                <m:rPr>
                  <m:sty m:val="p"/>
                </m:rPr>
                <m:t>−</m:t>
              </m:r>
              <m:r>
                <m:t>η</m:t>
              </m:r>
            </m:sup>
          </m:sSup>
          <m:r>
            <m:t> </m:t>
          </m:r>
          <m:r>
            <m:t>s</m:t>
          </m:r>
          <m:d>
            <m:dPr>
              <m:begChr m:val="("/>
              <m:endChr m:val=")"/>
              <m:sepChr m:val=""/>
              <m:grow/>
            </m:dPr>
            <m:e>
              <m:sSub>
                <m:e>
                  <m:r>
                    <m:t>λ</m:t>
                  </m:r>
                </m:e>
                <m:sub>
                  <m:r>
                    <m:t>t</m:t>
                  </m:r>
                </m:sub>
              </m:sSub>
              <m:r>
                <m:rPr>
                  <m:sty m:val="p"/>
                </m:rPr>
                <m:t>,</m:t>
              </m:r>
              <m:sSub>
                <m:e>
                  <m:r>
                    <m:t>λ</m:t>
                  </m:r>
                </m:e>
                <m:sub>
                  <m:r>
                    <m:t>D</m:t>
                  </m:r>
                </m:sub>
              </m:sSub>
            </m:e>
          </m:d>
        </m:oMath>
      </m:oMathPara>
    </w:p>
    <w:p>
      <w:pPr>
        <w:pStyle w:val="FirstParagraph"/>
      </w:pPr>
      <w:r>
        <w:t xml:space="preserve">{#eq.inv-escala1}</w:t>
      </w:r>
    </w:p>
    <w:p>
      <w:pPr>
        <w:pStyle w:val="BodyText"/>
      </w:pPr>
      <w:r>
        <w:t xml:space="preserve">ou, de forma equivalente,</w:t>
      </w:r>
    </w:p>
    <w:p>
      <w:pPr>
        <w:pStyle w:val="BodyText"/>
      </w:pPr>
      <m:oMathPara>
        <m:oMathParaPr>
          <m:jc m:val="center"/>
        </m:oMathParaPr>
        <m:oMath>
          <m:r>
            <m:rPr>
              <m:sty m:val="p"/>
            </m:rPr>
            <m:t>{</m:t>
          </m:r>
          <m:r>
            <m:t>s</m:t>
          </m:r>
          <m:d>
            <m:dPr>
              <m:begChr m:val="("/>
              <m:endChr m:val=")"/>
              <m:sepChr m:val=""/>
              <m:grow/>
            </m:dPr>
            <m:e>
              <m:r>
                <m:t>t</m:t>
              </m:r>
              <m:r>
                <m:rPr>
                  <m:sty m:val="p"/>
                </m:rPr>
                <m:t>,</m:t>
              </m:r>
              <m:r>
                <m:t>D</m:t>
              </m:r>
            </m:e>
          </m:d>
          <m:r>
            <m:rPr>
              <m:sty m:val="p"/>
            </m:rPr>
            <m:t>}</m:t>
          </m:r>
          <m:r>
            <m:t> </m:t>
          </m:r>
          <m:limUpp>
            <m:e>
              <m:r>
                <m:rPr>
                  <m:sty m:val="p"/>
                </m:rPr>
                <m:t>=</m:t>
              </m:r>
            </m:e>
            <m:lim>
              <m:r>
                <m:t>d</m:t>
              </m:r>
            </m:lim>
          </m:limUpp>
          <m:r>
            <m:t> </m:t>
          </m:r>
          <m:sSup>
            <m:e>
              <m:r>
                <m:t>D</m:t>
              </m:r>
            </m:e>
            <m:sup>
              <m:r>
                <m:t>η</m:t>
              </m:r>
            </m:sup>
          </m:sSup>
          <m:r>
            <m:t> </m:t>
          </m:r>
          <m:r>
            <m:t>s</m:t>
          </m:r>
          <m:r>
            <m:t>​</m:t>
          </m:r>
          <m:d>
            <m:dPr>
              <m:begChr m:val="("/>
              <m:endChr m:val=")"/>
              <m:sepChr m:val=""/>
              <m:grow/>
            </m:dPr>
            <m:e>
              <m:f>
                <m:fPr>
                  <m:type m:val="lin"/>
                </m:fPr>
                <m:num>
                  <m:r>
                    <m:t>t</m:t>
                  </m:r>
                </m:num>
                <m:den>
                  <m:r>
                    <m:t>D</m:t>
                  </m:r>
                </m:den>
              </m:f>
              <m:r>
                <m:rPr>
                  <m:sty m:val="p"/>
                </m:rPr>
                <m:t>,</m:t>
              </m:r>
              <m:r>
                <m:t>1</m:t>
              </m:r>
            </m:e>
          </m:d>
        </m:oMath>
      </m:oMathPara>
    </w:p>
    <w:p>
      <w:pPr>
        <w:pStyle w:val="FirstParagraph"/>
      </w:pPr>
      <w:r>
        <w:t xml:space="preserve">{#eq.inv-escala2}</w:t>
      </w:r>
    </w:p>
    <w:p>
      <w:pPr>
        <w:pStyle w:val="BodyText"/>
      </w:pPr>
      <w:r>
        <w:t xml:space="preserve">onde</w:t>
      </w:r>
      <w:r>
        <w:t xml:space="preserve"> </w:t>
      </w:r>
      <m:oMath>
        <m:r>
          <m:t>η</m:t>
        </m:r>
      </m:oMath>
      <w:r>
        <w:t xml:space="preserve"> </w:t>
      </w:r>
      <w:r>
        <w:t xml:space="preserve">é o expoente intra-evento. Daí seguem leis de potência para os momentos: a média da intensidade escala como</w:t>
      </w:r>
      <w:r>
        <w:t xml:space="preserve"> </w:t>
      </w:r>
      <m:oMath>
        <m:r>
          <m:t>E</m:t>
        </m:r>
        <m:d>
          <m:dPr>
            <m:begChr m:val="["/>
            <m:endChr m:val="]"/>
            <m:sepChr m:val=""/>
            <m:grow/>
          </m:dPr>
          <m:e>
            <m:r>
              <m:t>s</m:t>
            </m:r>
          </m:e>
        </m:d>
        <m:r>
          <m:rPr>
            <m:sty m:val="p"/>
          </m:rPr>
          <m:t>=</m:t>
        </m:r>
        <m:sSub>
          <m:e>
            <m:r>
              <m:t>c</m:t>
            </m:r>
          </m:e>
          <m:sub>
            <m:r>
              <m:t>1</m:t>
            </m:r>
          </m:sub>
        </m:sSub>
        <m:sSup>
          <m:e>
            <m:r>
              <m:t>D</m:t>
            </m:r>
          </m:e>
          <m:sup>
            <m:r>
              <m:t>η</m:t>
            </m:r>
          </m:sup>
        </m:sSup>
      </m:oMath>
      <w:r>
        <w:t xml:space="preserve"> </w:t>
      </w:r>
      <w:r>
        <w:t xml:space="preserve">e a covariância como</w:t>
      </w:r>
      <w:r>
        <w:t xml:space="preserve"> </w:t>
      </w:r>
      <m:oMath>
        <m:sSup>
          <m:e>
            <m:r>
              <m:t>D</m:t>
            </m:r>
          </m:e>
          <m:sup>
            <m:r>
              <m:t>2</m:t>
            </m:r>
            <m:r>
              <m:t>η</m:t>
            </m:r>
          </m:sup>
        </m:sSup>
      </m:oMath>
      <w:r>
        <w:t xml:space="preserve"> </w:t>
      </w:r>
      <w:r>
        <w:t xml:space="preserve">vezes uma função do defasagem normalizada</w:t>
      </w:r>
      <w:r>
        <w:t xml:space="preserve"> </w:t>
      </w:r>
      <m:oMath>
        <m:r>
          <m:t>r</m:t>
        </m:r>
        <m:r>
          <m:rPr>
            <m:sty m:val="p"/>
          </m:rPr>
          <m:t>/</m:t>
        </m:r>
        <m:r>
          <m:t>D</m:t>
        </m:r>
      </m:oMath>
      <w:r>
        <w:t xml:space="preserve">. Para o acumulado</w:t>
      </w:r>
      <w:r>
        <w:t xml:space="preserve"> </w:t>
      </w:r>
      <m:oMath>
        <m:r>
          <m:t>h</m:t>
        </m:r>
        <m:d>
          <m:dPr>
            <m:begChr m:val="("/>
            <m:endChr m:val=")"/>
            <m:sepChr m:val=""/>
            <m:grow/>
          </m:dPr>
          <m:e>
            <m:r>
              <m:t>t</m:t>
            </m:r>
            <m:r>
              <m:rPr>
                <m:sty m:val="p"/>
              </m:rPr>
              <m:t>,</m:t>
            </m:r>
            <m:r>
              <m:t>D</m:t>
            </m:r>
          </m:e>
        </m:d>
        <m:r>
          <m:rPr>
            <m:sty m:val="p"/>
          </m:rPr>
          <m:t>=</m:t>
        </m:r>
        <m:nary>
          <m:naryPr>
            <m:chr m:val="∫"/>
            <m:limLoc m:val="subSup"/>
            <m:subHide m:val="off"/>
            <m:supHide m:val="off"/>
          </m:naryPr>
          <m:sub>
            <m:r>
              <m:t>0</m:t>
            </m:r>
          </m:sub>
          <m:sup>
            <m:r>
              <m:t>t</m:t>
            </m:r>
          </m:sup>
          <m:e>
            <m:r>
              <m:t>s</m:t>
            </m:r>
          </m:e>
        </m:nary>
        <m:r>
          <m:t> </m:t>
        </m:r>
        <m:r>
          <m:rPr>
            <m:sty m:val="p"/>
          </m:rPr>
          <m:t>d</m:t>
        </m:r>
        <m:r>
          <m:t>u</m:t>
        </m:r>
      </m:oMath>
      <w:r>
        <w:t xml:space="preserve">, a auto-semelhança tem expoente</w:t>
      </w:r>
      <w:r>
        <w:t xml:space="preserve"> </w:t>
      </w:r>
      <m:oMath>
        <m:r>
          <m:t>η</m:t>
        </m:r>
        <m:r>
          <m:rPr>
            <m:sty m:val="p"/>
          </m:rPr>
          <m:t>+</m:t>
        </m:r>
        <m:r>
          <m:t>1</m:t>
        </m:r>
      </m:oMath>
      <w:r>
        <w:t xml:space="preserve">, implicando</w:t>
      </w:r>
    </w:p>
    <w:p>
      <w:pPr>
        <w:pStyle w:val="BodyText"/>
      </w:pPr>
      <m:oMathPara>
        <m:oMathParaPr>
          <m:jc m:val="center"/>
        </m:oMathParaPr>
        <m:oMath>
          <m:r>
            <m:t>E</m:t>
          </m:r>
          <m:d>
            <m:dPr>
              <m:begChr m:val="["/>
              <m:endChr m:val="]"/>
              <m:sepChr m:val=""/>
              <m:grow/>
            </m:dPr>
            <m:e>
              <m:r>
                <m:t>h</m:t>
              </m:r>
              <m:d>
                <m:dPr>
                  <m:begChr m:val="("/>
                  <m:endChr m:val=")"/>
                  <m:sepChr m:val=""/>
                  <m:grow/>
                </m:dPr>
                <m:e>
                  <m:r>
                    <m:t>D</m:t>
                  </m:r>
                  <m:r>
                    <m:rPr>
                      <m:sty m:val="p"/>
                    </m:rPr>
                    <m:t>,</m:t>
                  </m:r>
                  <m:r>
                    <m:t>D</m:t>
                  </m:r>
                </m:e>
              </m:d>
            </m:e>
          </m:d>
          <m:r>
            <m:rPr>
              <m:sty m:val="p"/>
            </m:rPr>
            <m:t>=</m:t>
          </m:r>
          <m:sSub>
            <m:e>
              <m:r>
                <m:t>c</m:t>
              </m:r>
            </m:e>
            <m:sub>
              <m:r>
                <m:t>1</m:t>
              </m:r>
            </m:sub>
          </m:sSub>
          <m:sSup>
            <m:e>
              <m:r>
                <m:t>D</m:t>
              </m:r>
            </m:e>
            <m:sup>
              <m:r>
                <m:t>η</m:t>
              </m:r>
              <m:r>
                <m:rPr>
                  <m:sty m:val="p"/>
                </m:rPr>
                <m:t>+</m:t>
              </m:r>
              <m:r>
                <m:t>1</m:t>
              </m:r>
            </m:sup>
          </m:sSup>
          <m:r>
            <m:rPr>
              <m:sty m:val="p"/>
            </m:rPr>
            <m:t>,</m:t>
          </m:r>
          <m:r>
            <m:t>V</m:t>
          </m:r>
          <m:r>
            <m:t>a</m:t>
          </m:r>
          <m:r>
            <m:t>r</m:t>
          </m:r>
          <m:d>
            <m:dPr>
              <m:begChr m:val="["/>
              <m:endChr m:val="]"/>
              <m:sepChr m:val=""/>
              <m:grow/>
            </m:dPr>
            <m:e>
              <m:r>
                <m:t>h</m:t>
              </m:r>
              <m:d>
                <m:dPr>
                  <m:begChr m:val="("/>
                  <m:endChr m:val=")"/>
                  <m:sepChr m:val=""/>
                  <m:grow/>
                </m:dPr>
                <m:e>
                  <m:r>
                    <m:t>D</m:t>
                  </m:r>
                  <m:r>
                    <m:rPr>
                      <m:sty m:val="p"/>
                    </m:rPr>
                    <m:t>,</m:t>
                  </m:r>
                  <m:r>
                    <m:t>D</m:t>
                  </m:r>
                </m:e>
              </m:d>
            </m:e>
          </m:d>
          <m:r>
            <m:rPr>
              <m:sty m:val="p"/>
            </m:rPr>
            <m:t>=</m:t>
          </m:r>
          <m:sSub>
            <m:e>
              <m:r>
                <m:t>c</m:t>
              </m:r>
            </m:e>
            <m:sub>
              <m:r>
                <m:t>2</m:t>
              </m:r>
            </m:sub>
          </m:sSub>
          <m:sSup>
            <m:e>
              <m:r>
                <m:t>D</m:t>
              </m:r>
            </m:e>
            <m:sup>
              <m:r>
                <m:t>2</m:t>
              </m:r>
              <m:d>
                <m:dPr>
                  <m:begChr m:val="("/>
                  <m:endChr m:val=")"/>
                  <m:sepChr m:val=""/>
                  <m:grow/>
                </m:dPr>
                <m:e>
                  <m:r>
                    <m:t>η</m:t>
                  </m:r>
                  <m:r>
                    <m:rPr>
                      <m:sty m:val="p"/>
                    </m:rPr>
                    <m:t>+</m:t>
                  </m:r>
                  <m:r>
                    <m:t>1</m:t>
                  </m:r>
                </m:e>
              </m:d>
            </m:sup>
          </m:sSup>
        </m:oMath>
      </m:oMathPara>
    </w:p>
    <w:p>
      <w:pPr>
        <w:pStyle w:val="FirstParagraph"/>
      </w:pPr>
      <w:r>
        <w:t xml:space="preserve">{#eq.inv-escala-acumulado}</w:t>
      </w:r>
    </w:p>
    <w:p>
      <w:pPr>
        <w:pStyle w:val="BodyText"/>
      </w:pPr>
      <w:r>
        <w:t xml:space="preserve">de modo que o coeficiente de variação do total do episódio é constante com</w:t>
      </w:r>
      <w:r>
        <w:t xml:space="preserve"> </w:t>
      </w:r>
      <m:oMath>
        <m:r>
          <m:t>D</m:t>
        </m:r>
      </m:oMath>
      <w:r>
        <w:t xml:space="preserve">. Para a desagregação em passo fixo</w:t>
      </w:r>
      <w:r>
        <w:t xml:space="preserve"> </w:t>
      </w:r>
      <m:oMath>
        <m:r>
          <m:t>Δ</m:t>
        </m:r>
      </m:oMath>
      <w:r>
        <w:t xml:space="preserve">, os incrementos</w:t>
      </w:r>
      <w:r>
        <w:t xml:space="preserve"> </w:t>
      </w:r>
      <m:oMath>
        <m:r>
          <m:t>Δ</m:t>
        </m:r>
        <m:d>
          <m:dPr>
            <m:begChr m:val="("/>
            <m:endChr m:val=")"/>
            <m:sepChr m:val=""/>
            <m:grow/>
          </m:dPr>
          <m:e>
            <m:r>
              <m:t>i</m:t>
            </m:r>
            <m:r>
              <m:rPr>
                <m:sty m:val="p"/>
              </m:rPr>
              <m:t>,</m:t>
            </m:r>
            <m:r>
              <m:t>D</m:t>
            </m:r>
          </m:e>
        </m:d>
        <m:r>
          <m:rPr>
            <m:sty m:val="p"/>
          </m:rPr>
          <m:t>=</m:t>
        </m:r>
        <m:nary>
          <m:naryPr>
            <m:chr m:val="∫"/>
            <m:limLoc m:val="subSup"/>
            <m:subHide m:val="off"/>
            <m:supHide m:val="off"/>
          </m:naryPr>
          <m:sub>
            <m:d>
              <m:dPr>
                <m:begChr m:val="("/>
                <m:endChr m:val=")"/>
                <m:sepChr m:val=""/>
                <m:grow/>
              </m:dPr>
              <m:e>
                <m:r>
                  <m:t>i</m:t>
                </m:r>
                <m:r>
                  <m:rPr>
                    <m:sty m:val="p"/>
                  </m:rPr>
                  <m:t>−</m:t>
                </m:r>
                <m:r>
                  <m:t>1</m:t>
                </m:r>
              </m:e>
            </m:d>
            <m:r>
              <m:t>Δ</m:t>
            </m:r>
          </m:sub>
          <m:sup>
            <m:r>
              <m:t>i</m:t>
            </m:r>
            <m:r>
              <m:t>Δ</m:t>
            </m:r>
          </m:sup>
          <m:e>
            <m:r>
              <m:t>s</m:t>
            </m:r>
          </m:e>
        </m:nary>
        <m:r>
          <m:t> </m:t>
        </m:r>
        <m:r>
          <m:rPr>
            <m:sty m:val="p"/>
          </m:rPr>
          <m:t>d</m:t>
        </m:r>
        <m:r>
          <m:t>u</m:t>
        </m:r>
      </m:oMath>
      <w:r>
        <w:t xml:space="preserve"> </w:t>
      </w:r>
      <w:r>
        <w:t xml:space="preserve">herdam o escalonamento:</w:t>
      </w:r>
      <w:r>
        <w:t xml:space="preserve"> </w:t>
      </w:r>
      <m:oMath>
        <m:r>
          <m:t>E</m:t>
        </m:r>
        <m:d>
          <m:dPr>
            <m:begChr m:val="["/>
            <m:endChr m:val="]"/>
            <m:sepChr m:val=""/>
            <m:grow/>
          </m:dPr>
          <m:e>
            <m:sSub>
              <m:e>
                <m:r>
                  <m:t>X</m:t>
                </m:r>
              </m:e>
              <m:sub>
                <m:r>
                  <m:t>Δ</m:t>
                </m:r>
              </m:sub>
            </m:sSub>
          </m:e>
        </m:d>
        <m:r>
          <m:rPr>
            <m:sty m:val="p"/>
          </m:rPr>
          <m:t>=</m:t>
        </m:r>
        <m:sSub>
          <m:e>
            <m:r>
              <m:t>c</m:t>
            </m:r>
          </m:e>
          <m:sub>
            <m:r>
              <m:t>1</m:t>
            </m:r>
          </m:sub>
        </m:sSub>
        <m:r>
          <m:t> </m:t>
        </m:r>
        <m:d>
          <m:dPr>
            <m:begChr m:val="("/>
            <m:endChr m:val=")"/>
            <m:sepChr m:val=""/>
            <m:grow/>
          </m:dPr>
          <m:e>
            <m:r>
              <m:t>Δ</m:t>
            </m:r>
            <m:r>
              <m:rPr>
                <m:sty m:val="p"/>
              </m:rPr>
              <m:t>/</m:t>
            </m:r>
            <m:r>
              <m:t>D</m:t>
            </m:r>
          </m:e>
        </m:d>
        <m:r>
          <m:t> </m:t>
        </m:r>
        <m:sSup>
          <m:e>
            <m:r>
              <m:t>D</m:t>
            </m:r>
          </m:e>
          <m:sup>
            <m:r>
              <m:t>η</m:t>
            </m:r>
          </m:sup>
        </m:sSup>
      </m:oMath>
      <w:r>
        <w:t xml:space="preserve"> </w:t>
      </w:r>
      <w:r>
        <w:t xml:space="preserve">e</w:t>
      </w:r>
      <w:r>
        <w:t xml:space="preserve"> </w:t>
      </w:r>
      <m:oMath>
        <m:r>
          <m:rPr>
            <m:sty m:val="p"/>
          </m:rPr>
          <m:t>V</m:t>
        </m:r>
        <m:r>
          <m:rPr>
            <m:sty m:val="p"/>
          </m:rPr>
          <m:t>a</m:t>
        </m:r>
        <m:r>
          <m:rPr>
            <m:sty m:val="p"/>
          </m:rPr>
          <m:t>r</m:t>
        </m:r>
        <m:d>
          <m:dPr>
            <m:begChr m:val="["/>
            <m:endChr m:val="]"/>
            <m:sepChr m:val=""/>
            <m:grow/>
          </m:dPr>
          <m:e>
            <m:sSub>
              <m:e>
                <m:r>
                  <m:t>X</m:t>
                </m:r>
              </m:e>
              <m:sub>
                <m:r>
                  <m:t>Δ</m:t>
                </m:r>
              </m:sub>
            </m:sSub>
          </m:e>
        </m:d>
        <m:r>
          <m:rPr>
            <m:sty m:val="p"/>
          </m:rPr>
          <m:t>∝</m:t>
        </m:r>
        <m:sSup>
          <m:e>
            <m:r>
              <m:t>D</m:t>
            </m:r>
          </m:e>
          <m:sup>
            <m:r>
              <m:t>2</m:t>
            </m:r>
            <m:d>
              <m:dPr>
                <m:begChr m:val="("/>
                <m:endChr m:val=")"/>
                <m:sepChr m:val=""/>
                <m:grow/>
              </m:dPr>
              <m:e>
                <m:r>
                  <m:t>η</m:t>
                </m:r>
                <m:r>
                  <m:rPr>
                    <m:sty m:val="p"/>
                  </m:rPr>
                  <m:t>+</m:t>
                </m:r>
                <m:r>
                  <m:t>1</m:t>
                </m:r>
              </m:e>
            </m:d>
          </m:sup>
        </m:sSup>
      </m:oMath>
      <w:r>
        <w:t xml:space="preserve"> </w:t>
      </w:r>
      <w:r>
        <w:t xml:space="preserve">vezes uma função de</w:t>
      </w:r>
      <w:r>
        <w:t xml:space="preserve"> </w:t>
      </w:r>
      <m:oMath>
        <m:r>
          <m:t>ρ</m:t>
        </m:r>
        <m:r>
          <m:rPr>
            <m:sty m:val="p"/>
          </m:rPr>
          <m:t>=</m:t>
        </m:r>
        <m:r>
          <m:t>Δ</m:t>
        </m:r>
        <m:r>
          <m:rPr>
            <m:sty m:val="p"/>
          </m:rPr>
          <m:t>/</m:t>
        </m:r>
        <m:r>
          <m:t>D</m:t>
        </m:r>
      </m:oMath>
      <w:r>
        <w:t xml:space="preserve"> </w:t>
      </w:r>
      <w:r>
        <w:t xml:space="preserve">. Desta forma, a autocorrelação dos incrementos depende apenas de</w:t>
      </w:r>
      <w:r>
        <w:t xml:space="preserve"> </w:t>
      </w:r>
      <m:oMath>
        <m:r>
          <m:t>ρ</m:t>
        </m:r>
      </m:oMath>
      <w:r>
        <w:t xml:space="preserve"> </w:t>
      </w:r>
      <w:r>
        <w:t xml:space="preserve">(e do lag normalizado), não de</w:t>
      </w:r>
      <w:r>
        <w:t xml:space="preserve"> </w:t>
      </w:r>
      <m:oMath>
        <m:r>
          <m:t>D</m:t>
        </m:r>
      </m:oMath>
      <w:r>
        <w:t xml:space="preserve"> </w:t>
      </w:r>
      <w:r>
        <w:t xml:space="preserve">nem de</w:t>
      </w:r>
      <w:r>
        <w:t xml:space="preserve"> </w:t>
      </w:r>
      <m:oMath>
        <m:r>
          <m:t>η</m:t>
        </m:r>
      </m:oMath>
      <w:r>
        <w:t xml:space="preserve">. Esse modelo é coerente com as curvas de massa usadas em projeto, ao contrário de modelos estacionários de intensidade, que não capturam essa dependência com a duração.</w:t>
      </w:r>
    </w:p>
    <w:p>
      <w:pPr>
        <w:pStyle w:val="BodyText"/>
      </w:pPr>
      <w:r>
        <w:t xml:space="preserve">Burlando &amp; Rosso (1996) constroem um arcabouço para curvas profundidade–duração–frequência (DDF) a partir da hipótese de invariância de escala. A ideia central é estimar conjuntamente (i) o expoente de escala</w:t>
      </w:r>
      <w:r>
        <w:t xml:space="preserve"> </w:t>
      </w:r>
      <m:oMath>
        <m:r>
          <m:t>n</m:t>
        </m:r>
      </m:oMath>
      <w:r>
        <w:t xml:space="preserve"> </w:t>
      </w:r>
      <w:r>
        <w:t xml:space="preserve">que governa a média e (ii) uma função de dissipação</w:t>
      </w:r>
      <w:r>
        <w:t xml:space="preserve"> </w:t>
      </w:r>
      <m:oMath>
        <m:sSub>
          <m:e>
            <m:r>
              <m:t>ψ</m:t>
            </m:r>
          </m:e>
          <m:sub>
            <m:r>
              <m:t>ζ</m:t>
            </m:r>
          </m:sub>
        </m:sSub>
      </m:oMath>
      <w:r>
        <w:t xml:space="preserve"> </w:t>
      </w:r>
      <w:r>
        <w:t xml:space="preserve">que descreve o crescimento dos momentos de ordem</w:t>
      </w:r>
      <w:r>
        <w:t xml:space="preserve"> </w:t>
      </w:r>
      <m:oMath>
        <m:r>
          <m:t>ζ</m:t>
        </m:r>
      </m:oMath>
      <w:r>
        <w:t xml:space="preserve"> </w:t>
      </w:r>
      <w:r>
        <w:t xml:space="preserve">(multiescala), primeiro em um esquema livre de distribuição e, em seguida, com uma modelagem lognormal (LN2) parcimoniosa.</w:t>
      </w:r>
    </w:p>
    <w:p>
      <w:pPr>
        <w:pStyle w:val="BodyText"/>
      </w:pPr>
      <w:r>
        <w:t xml:space="preserve">No caso de escala simples (wide-sense) entre um corte interno</w:t>
      </w:r>
      <w:r>
        <w:t xml:space="preserve"> </w:t>
      </w:r>
      <m:oMath>
        <m:sSub>
          <m:e>
            <m:r>
              <m:t>D</m:t>
            </m:r>
          </m:e>
          <m:sub>
            <m:r>
              <m:t>i</m:t>
            </m:r>
          </m:sub>
        </m:sSub>
      </m:oMath>
      <w:r>
        <w:t xml:space="preserve"> </w:t>
      </w:r>
      <w:r>
        <w:t xml:space="preserve">e as durações</w:t>
      </w:r>
      <w:r>
        <w:t xml:space="preserve"> </w:t>
      </w:r>
      <m:oMath>
        <m:r>
          <m:t>D</m:t>
        </m:r>
      </m:oMath>
      <w:r>
        <w:t xml:space="preserve"> </w:t>
      </w:r>
      <w:r>
        <w:t xml:space="preserve">de interesse, a média e a variância de máximos anuais obedecem leis de potência de</w:t>
      </w:r>
      <w:r>
        <w:t xml:space="preserve"> </w:t>
      </w:r>
      <m:oMath>
        <m:r>
          <m:t>D</m:t>
        </m:r>
      </m:oMath>
      <w:r>
        <w:t xml:space="preserve">; disso decorre que o coeficiente de variação e, mais geralmente, os momentos adimensionais (assimetria e curtose) não dependem de</w:t>
      </w:r>
      <w:r>
        <w:t xml:space="preserve"> </w:t>
      </w:r>
      <m:oMath>
        <m:r>
          <m:t>D</m:t>
        </m:r>
      </m:oMath>
      <w:r>
        <w:t xml:space="preserve">. Esse resultado leva a uma família invariante à escala de DDF:</w:t>
      </w:r>
    </w:p>
    <w:p>
      <w:pPr>
        <w:pStyle w:val="BodyText"/>
      </w:pPr>
      <m:oMathPara>
        <m:oMathParaPr>
          <m:jc m:val="center"/>
        </m:oMathParaPr>
        <m:oMath>
          <m:sSub>
            <m:e>
              <m:r>
                <m:t>h</m:t>
              </m:r>
            </m:e>
            <m:sub>
              <m:r>
                <m:t>q</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r>
                <m:t>V</m:t>
              </m:r>
              <m:sSub>
                <m:e>
                  <m:r>
                    <m:t>K</m:t>
                  </m:r>
                </m:e>
                <m:sub>
                  <m:r>
                    <m:t>q</m:t>
                  </m:r>
                </m:sub>
              </m:sSub>
            </m:e>
          </m:d>
          <m:r>
            <m:t> </m:t>
          </m:r>
          <m:sSup>
            <m:e>
              <m:r>
                <m:t>D</m:t>
              </m:r>
            </m:e>
            <m:sup>
              <m:r>
                <m:t>n</m:t>
              </m:r>
            </m:sup>
          </m:sSup>
          <m:r>
            <m:rPr>
              <m:sty m:val="p"/>
            </m:rPr>
            <m:t>,</m:t>
          </m:r>
        </m:oMath>
      </m:oMathPara>
    </w:p>
    <w:p>
      <w:pPr>
        <w:pStyle w:val="FirstParagraph"/>
      </w:pPr>
      <w:r>
        <w:t xml:space="preserve">{#eq.ddf-invariante}</w:t>
      </w:r>
    </w:p>
    <w:p>
      <w:pPr>
        <w:pStyle w:val="BodyText"/>
      </w:pPr>
      <w:r>
        <w:t xml:space="preserve">em que</w:t>
      </w:r>
      <w:r>
        <w:t xml:space="preserve"> </w:t>
      </w:r>
      <m:oMath>
        <m:sSub>
          <m:e>
            <m:r>
              <m:t>K</m:t>
            </m:r>
          </m:e>
          <m:sub>
            <m:r>
              <m:t>q</m:t>
            </m:r>
          </m:sub>
        </m:sSub>
      </m:oMath>
      <w:r>
        <w:t xml:space="preserve"> </w:t>
      </w:r>
      <w:r>
        <w:t xml:space="preserve">é o fator de crescimento de frequência e</w:t>
      </w:r>
      <w:r>
        <w:t xml:space="preserve"> </w:t>
      </w:r>
      <m:oMath>
        <m:sSub>
          <m:e>
            <m:r>
              <m:t>a</m:t>
            </m:r>
          </m:e>
          <m:sub>
            <m:r>
              <m:t>1</m:t>
            </m:r>
          </m:sub>
        </m:sSub>
        <m:r>
          <m:rPr>
            <m:sty m:val="p"/>
          </m:rPr>
          <m:t>,</m:t>
        </m:r>
        <m:r>
          <m:t>V</m:t>
        </m:r>
        <m:r>
          <m:rPr>
            <m:sty m:val="p"/>
          </m:rPr>
          <m:t>,</m:t>
        </m:r>
        <m:r>
          <m:t>n</m:t>
        </m:r>
      </m:oMath>
      <w:r>
        <w:t xml:space="preserve"> </w:t>
      </w:r>
      <w:r>
        <w:t xml:space="preserve">são parâmetros de escala (com</w:t>
      </w:r>
      <w:r>
        <w:t xml:space="preserve"> </w:t>
      </w:r>
      <m:oMath>
        <m:sSub>
          <m:e>
            <m:r>
              <m:t>a</m:t>
            </m:r>
          </m:e>
          <m:sub>
            <m:r>
              <m:t>1</m:t>
            </m:r>
          </m:sub>
        </m:sSub>
      </m:oMath>
      <w:r>
        <w:t xml:space="preserve"> </w:t>
      </w:r>
      <w:r>
        <w:t xml:space="preserve">relacionado ao nível de referência</w:t>
      </w:r>
      <w:r>
        <w:t xml:space="preserve"> </w:t>
      </w:r>
      <m:oMath>
        <m:sSub>
          <m:e>
            <m:r>
              <m:t>D</m:t>
            </m:r>
          </m:e>
          <m:sub>
            <m:r>
              <m:t>i</m:t>
            </m:r>
          </m:sub>
        </m:sSub>
      </m:oMath>
      <w:r>
        <w:t xml:space="preserve">). Além disso, os autores mostram como a prática comum de ajustar</w:t>
      </w:r>
      <w:r>
        <w:t xml:space="preserve"> </w:t>
      </w:r>
      <m:oMath>
        <m:sSub>
          <m:e>
            <m:r>
              <m:t>h</m:t>
            </m:r>
          </m:e>
          <m:sub>
            <m:r>
              <m:t>q</m:t>
            </m:r>
          </m:sub>
        </m:sSub>
        <m:d>
          <m:dPr>
            <m:begChr m:val="("/>
            <m:endChr m:val=")"/>
            <m:sepChr m:val=""/>
            <m:grow/>
          </m:dPr>
          <m:e>
            <m:r>
              <m:t>D</m:t>
            </m:r>
          </m:e>
        </m:d>
        <m:r>
          <m:rPr>
            <m:sty m:val="p"/>
          </m:rPr>
          <m:t>=</m:t>
        </m:r>
        <m:sSub>
          <m:e>
            <m:r>
              <m:t>A</m:t>
            </m:r>
          </m:e>
          <m:sub>
            <m:r>
              <m:t>q</m:t>
            </m:r>
          </m:sub>
        </m:sSub>
        <m:sSup>
          <m:e>
            <m:r>
              <m:t>D</m:t>
            </m:r>
          </m:e>
          <m:sup>
            <m:sSub>
              <m:e>
                <m:r>
                  <m:t>m</m:t>
                </m:r>
              </m:e>
              <m:sub>
                <m:r>
                  <m:t>q</m:t>
                </m:r>
              </m:sub>
            </m:sSub>
          </m:sup>
        </m:sSup>
      </m:oMath>
      <w:r>
        <w:t xml:space="preserve"> </w:t>
      </w:r>
      <w:r>
        <w:t xml:space="preserve">pode ser fundamentada: sob escala simples estrita, o expoente</w:t>
      </w:r>
      <w:r>
        <w:t xml:space="preserve"> </w:t>
      </w:r>
      <m:oMath>
        <m:sSub>
          <m:e>
            <m:r>
              <m:t>m</m:t>
            </m:r>
          </m:e>
          <m:sub>
            <m:r>
              <m:t>q</m:t>
            </m:r>
          </m:sub>
        </m:sSub>
      </m:oMath>
      <w:r>
        <w:t xml:space="preserve"> </w:t>
      </w:r>
      <w:r>
        <w:t xml:space="preserve">não deve depender de</w:t>
      </w:r>
      <w:r>
        <w:t xml:space="preserve"> </w:t>
      </w:r>
      <m:oMath>
        <m:r>
          <m:t>q</m:t>
        </m:r>
      </m:oMath>
      <w:r>
        <w:t xml:space="preserve">, pois os quantis escalam como os momentos.</w:t>
      </w:r>
    </w:p>
    <w:p>
      <w:pPr>
        <w:pStyle w:val="BodyText"/>
      </w:pPr>
      <w:r>
        <w:t xml:space="preserve">Como os dados reais frequentemente exibem multiescalamento, Burlando &amp; Rosso (1996) introduzem a função de dissipação</w:t>
      </w:r>
      <w:r>
        <w:t xml:space="preserve"> </w:t>
      </w:r>
      <m:oMath>
        <m:sSub>
          <m:e>
            <m:r>
              <m:t>ψ</m:t>
            </m:r>
          </m:e>
          <m:sub>
            <m:r>
              <m:t>ζ</m:t>
            </m:r>
          </m:sub>
        </m:sSub>
      </m:oMath>
      <w:r>
        <w:t xml:space="preserve"> </w:t>
      </w:r>
      <w:r>
        <w:t xml:space="preserve">e especializam o arcabouço com a distribuição lognormal (LN2). Para LN2, os autores demonstram que</w:t>
      </w:r>
      <w:r>
        <w:t xml:space="preserve"> </w:t>
      </w:r>
      <m:oMath>
        <m:sSub>
          <m:e>
            <m:r>
              <m:t>ψ</m:t>
            </m:r>
          </m:e>
          <m:sub>
            <m:r>
              <m:t>ζ</m:t>
            </m:r>
          </m:sub>
        </m:sSub>
      </m:oMath>
      <w:r>
        <w:t xml:space="preserve"> </w:t>
      </w:r>
      <w:r>
        <w:t xml:space="preserve">é convexa (condição necessária à dissipação) e derivam expressões fechadas para</w:t>
      </w:r>
      <w:r>
        <w:t xml:space="preserve"> </w:t>
      </w:r>
      <m:oMath>
        <m:sSub>
          <m:e>
            <m:r>
              <m:t>μ</m:t>
            </m:r>
          </m:e>
          <m:sub>
            <m:r>
              <m:rPr>
                <m:sty m:val="p"/>
              </m:rPr>
              <m:t>ln</m:t>
            </m:r>
            <m:sSub>
              <m:e>
                <m:r>
                  <m:t>h</m:t>
                </m:r>
              </m:e>
              <m:sub>
                <m:r>
                  <m:t>D</m:t>
                </m:r>
              </m:sub>
            </m:sSub>
          </m:sub>
        </m:sSub>
      </m:oMath>
      <w:r>
        <w:t xml:space="preserve"> </w:t>
      </w:r>
      <w:r>
        <w:t xml:space="preserve">e</w:t>
      </w:r>
      <w:r>
        <w:t xml:space="preserve"> </w:t>
      </w:r>
      <m:oMath>
        <m:sSub>
          <m:e>
            <m:r>
              <m:t>σ</m:t>
            </m:r>
          </m:e>
          <m:sub>
            <m:r>
              <m:rPr>
                <m:sty m:val="p"/>
              </m:rPr>
              <m:t>ln</m:t>
            </m:r>
            <m:sSub>
              <m:e>
                <m:r>
                  <m:t>h</m:t>
                </m:r>
              </m:e>
              <m:sub>
                <m:r>
                  <m:t>D</m:t>
                </m:r>
              </m:sub>
            </m:sSub>
          </m:sub>
        </m:sSub>
      </m:oMath>
      <w:r>
        <w:t xml:space="preserve">, que implicam uma forma multiescalar explícita para</w:t>
      </w:r>
      <w:r>
        <w:t xml:space="preserve"> </w:t>
      </w:r>
      <m:oMath>
        <m:sSub>
          <m:e>
            <m:r>
              <m:t>h</m:t>
            </m:r>
          </m:e>
          <m:sub>
            <m:r>
              <m:t>q</m:t>
            </m:r>
          </m:sub>
        </m:sSub>
        <m:d>
          <m:dPr>
            <m:begChr m:val="("/>
            <m:endChr m:val=")"/>
            <m:sepChr m:val=""/>
            <m:grow/>
          </m:dPr>
          <m:e>
            <m:r>
              <m:t>D</m:t>
            </m:r>
          </m:e>
        </m:d>
      </m:oMath>
      <w:r>
        <w:t xml:space="preserve">. No limite</w:t>
      </w:r>
      <w:r>
        <w:t xml:space="preserve"> </w:t>
      </w:r>
      <m:oMath>
        <m:sSub>
          <m:e>
            <m:r>
              <m:t>φ</m:t>
            </m:r>
          </m:e>
          <m:sub>
            <m:r>
              <m:t>2</m:t>
            </m:r>
          </m:sub>
        </m:sSub>
        <m:r>
          <m:t>​</m:t>
        </m:r>
        <m:r>
          <m:rPr>
            <m:sty m:val="p"/>
          </m:rPr>
          <m:t>=</m:t>
        </m:r>
        <m:r>
          <m:t>​</m:t>
        </m:r>
        <m:r>
          <m:t>1</m:t>
        </m:r>
      </m:oMath>
      <w:r>
        <w:t xml:space="preserve">, o modelo multiescalar degenera para a forma de escala simples acima, garantindo consistência. Esses vínculos de escala impõem consistência entre durações, o que é diretamente útil à desagregação temporal.</w:t>
      </w:r>
    </w:p>
    <w:p>
      <w:pPr>
        <w:pStyle w:val="BodyText"/>
      </w:pPr>
      <w:r>
        <w:t xml:space="preserve">Menabde et al. (1997) formalizam a invariância de escala da chuva em termos de leis de potência para segunda ordem e para famílias de momentos. Para um campo unidimensional</w:t>
      </w:r>
      <w:r>
        <w:t xml:space="preserve"> </w:t>
      </w:r>
      <m:oMath>
        <m:r>
          <m:t>R</m:t>
        </m:r>
        <m:d>
          <m:dPr>
            <m:begChr m:val="("/>
            <m:endChr m:val=")"/>
            <m:sepChr m:val=""/>
            <m:grow/>
          </m:dPr>
          <m:e>
            <m:r>
              <m:t>t</m:t>
            </m:r>
          </m:e>
        </m:d>
      </m:oMath>
      <w:r>
        <w:t xml:space="preserve">, assumindo estacionariedade de segunda ordem, adotam-se</w:t>
      </w:r>
      <w:r>
        <w:t xml:space="preserve"> </w:t>
      </w:r>
      <m:oMath>
        <m:r>
          <m:t>C</m:t>
        </m:r>
        <m:d>
          <m:dPr>
            <m:begChr m:val="("/>
            <m:endChr m:val=")"/>
            <m:sepChr m:val=""/>
            <m:grow/>
          </m:dPr>
          <m:e>
            <m:r>
              <m:t>τ</m:t>
            </m:r>
          </m:e>
        </m:d>
        <m:r>
          <m:rPr>
            <m:sty m:val="p"/>
          </m:rPr>
          <m:t>∝</m:t>
        </m:r>
        <m:r>
          <m:t>τ</m:t>
        </m:r>
        <m:r>
          <m:rPr>
            <m:sty m:val="p"/>
          </m:rPr>
          <m:t>−</m:t>
        </m:r>
        <m:r>
          <m:t>μ</m:t>
        </m:r>
      </m:oMath>
      <w:r>
        <w:t xml:space="preserve"> </w:t>
      </w:r>
      <w:r>
        <w:t xml:space="preserve">e</w:t>
      </w:r>
      <w:r>
        <w:t xml:space="preserve"> </w:t>
      </w:r>
      <m:oMath>
        <m:r>
          <m:t>E</m:t>
        </m:r>
        <m:d>
          <m:dPr>
            <m:begChr m:val="("/>
            <m:endChr m:val=")"/>
            <m:sepChr m:val=""/>
            <m:grow/>
          </m:dPr>
          <m:e>
            <m:r>
              <m:t>f</m:t>
            </m:r>
          </m:e>
        </m:d>
        <m:r>
          <m:rPr>
            <m:sty m:val="p"/>
          </m:rPr>
          <m:t>∝</m:t>
        </m:r>
        <m:r>
          <m:rPr>
            <m:sty m:val="p"/>
          </m:rPr>
          <m:t>−</m:t>
        </m:r>
        <m:r>
          <m:t>β</m:t>
        </m:r>
      </m:oMath>
      <w:r>
        <w:t xml:space="preserve">, com</w:t>
      </w:r>
      <w:r>
        <w:t xml:space="preserve"> </w:t>
      </w:r>
      <m:oMath>
        <m:r>
          <m:t>C</m:t>
        </m:r>
      </m:oMath>
      <w:r>
        <w:t xml:space="preserve"> </w:t>
      </w:r>
      <w:r>
        <w:t xml:space="preserve">a autocorrelação e</w:t>
      </w:r>
      <w:r>
        <w:t xml:space="preserve"> </w:t>
      </w:r>
      <m:oMath>
        <m:r>
          <m:t>E</m:t>
        </m:r>
      </m:oMath>
      <w:r>
        <w:t xml:space="preserve"> </w:t>
      </w:r>
      <w:r>
        <w:t xml:space="preserve">o espectro; em séries pluviométricas observadas é frequente</w:t>
      </w:r>
      <w:r>
        <w:t xml:space="preserve"> </w:t>
      </w:r>
      <m:oMath>
        <m:r>
          <m:t>β</m:t>
        </m:r>
        <m:r>
          <m:rPr>
            <m:sty m:val="p"/>
          </m:rPr>
          <m:t>&gt;</m:t>
        </m:r>
        <m:r>
          <m:t>1</m:t>
        </m:r>
      </m:oMath>
      <w:r>
        <w:t xml:space="preserve">, fato que os cascatas multiplicativas não-limitadas (p.ex., o</w:t>
      </w:r>
      <w:r>
        <w:t xml:space="preserve"> </w:t>
      </w:r>
      <m:oMath>
        <m:r>
          <m:t>α</m:t>
        </m:r>
      </m:oMath>
      <w:r>
        <w:t xml:space="preserve">-model canônico) não reproduzem diretamente. Para caracterizar multiescalamento</w:t>
      </w:r>
      <w:r>
        <w:t xml:space="preserve"> </w:t>
      </w:r>
      <w:r>
        <w:t xml:space="preserve">, utilizam-se ainda os expoentes</w:t>
      </w:r>
      <w:r>
        <w:t xml:space="preserve"> </w:t>
      </w:r>
      <m:oMath>
        <m:r>
          <m:t>K</m:t>
        </m:r>
        <m:d>
          <m:dPr>
            <m:begChr m:val="("/>
            <m:endChr m:val=")"/>
            <m:sepChr m:val=""/>
            <m:grow/>
          </m:dPr>
          <m:e>
            <m:r>
              <m:t>q</m:t>
            </m:r>
          </m:e>
        </m:d>
      </m:oMath>
      <w:r>
        <w:t xml:space="preserve"> </w:t>
      </w:r>
      <w:r>
        <w:t xml:space="preserve">e</w:t>
      </w:r>
      <w:r>
        <w:t xml:space="preserve"> </w:t>
      </w:r>
      <m:oMath>
        <m:r>
          <m:t>ζ</m:t>
        </m:r>
        <m:d>
          <m:dPr>
            <m:begChr m:val="("/>
            <m:endChr m:val=")"/>
            <m:sepChr m:val=""/>
            <m:grow/>
          </m:dPr>
          <m:e>
            <m:r>
              <m:t>q</m:t>
            </m:r>
          </m:e>
        </m:d>
      </m:oMath>
      <w:r>
        <w:t xml:space="preserve">:</w:t>
      </w:r>
      <w:r>
        <w:t xml:space="preserve"> </w:t>
      </w:r>
      <m:oMath>
        <m:r>
          <m:rPr>
            <m:sty m:val="p"/>
          </m:rPr>
          <m:t>⟨</m:t>
        </m:r>
        <m:sSub>
          <m:e>
            <m:r>
              <m:t>g</m:t>
            </m:r>
          </m:e>
          <m:sub>
            <m:r>
              <m:t>t</m:t>
            </m:r>
          </m:sub>
        </m:sSub>
        <m:d>
          <m:dPr>
            <m:begChr m:val="("/>
            <m:endChr m:val=")"/>
            <m:sepChr m:val=""/>
            <m:grow/>
          </m:dPr>
          <m:e>
            <m:r>
              <m:t>τ</m:t>
            </m:r>
          </m:e>
        </m:d>
        <m:r>
          <m:t>q</m:t>
        </m:r>
        <m:r>
          <m:rPr>
            <m:sty m:val="p"/>
          </m:rPr>
          <m:t>⟩</m:t>
        </m:r>
        <m:r>
          <m:rPr>
            <m:sty m:val="p"/>
          </m:rPr>
          <m:t>∝</m:t>
        </m:r>
        <m:d>
          <m:dPr>
            <m:begChr m:val="("/>
            <m:endChr m:val=")"/>
            <m:sepChr m:val=""/>
            <m:grow/>
          </m:dPr>
          <m:e>
            <m:r>
              <m:t>t</m:t>
            </m:r>
            <m:r>
              <m:rPr>
                <m:sty m:val="p"/>
              </m:rPr>
              <m:t>/</m:t>
            </m:r>
            <m:r>
              <m:t>T</m:t>
            </m:r>
          </m:e>
        </m:d>
        <m:r>
          <m:rPr>
            <m:sty m:val="p"/>
          </m:rPr>
          <m:t>−</m:t>
        </m:r>
        <m:r>
          <m:t>K</m:t>
        </m:r>
        <m:d>
          <m:dPr>
            <m:begChr m:val="("/>
            <m:endChr m:val=")"/>
            <m:sepChr m:val=""/>
            <m:grow/>
          </m:dPr>
          <m:e>
            <m:r>
              <m:t>q</m:t>
            </m:r>
          </m:e>
        </m:d>
        <m:r>
          <m:rPr>
            <m:sty m:val="p"/>
          </m:rPr>
          <m:t>,</m:t>
        </m:r>
        <m:r>
          <m:t>  </m:t>
        </m:r>
        <m:r>
          <m:rPr>
            <m:sty m:val="p"/>
          </m:rPr>
          <m:t>⟨</m:t>
        </m:r>
        <m:d>
          <m:dPr>
            <m:begChr m:val="|"/>
            <m:endChr m:val="|"/>
            <m:sepChr m:val=""/>
            <m:grow/>
          </m:dPr>
          <m:e>
            <m:r>
              <m:t>R</m:t>
            </m:r>
            <m:d>
              <m:dPr>
                <m:begChr m:val="("/>
                <m:endChr m:val=")"/>
                <m:sepChr m:val=""/>
                <m:grow/>
              </m:dPr>
              <m:e>
                <m:r>
                  <m:t>t</m:t>
                </m:r>
                <m:r>
                  <m:rPr>
                    <m:sty m:val="p"/>
                  </m:rPr>
                  <m:t>+</m:t>
                </m:r>
                <m:r>
                  <m:t>τ</m:t>
                </m:r>
              </m:e>
            </m:d>
            <m:r>
              <m:rPr>
                <m:sty m:val="p"/>
              </m:rPr>
              <m:t>−</m:t>
            </m:r>
            <m:r>
              <m:t>R</m:t>
            </m:r>
            <m:d>
              <m:dPr>
                <m:begChr m:val="("/>
                <m:endChr m:val=")"/>
                <m:sepChr m:val=""/>
                <m:grow/>
              </m:dPr>
              <m:e>
                <m:r>
                  <m:t>t</m:t>
                </m:r>
              </m:e>
            </m:d>
          </m:e>
        </m:d>
        <m:r>
          <m:rPr>
            <m:sty m:val="p"/>
          </m:rPr>
          <m:t>,</m:t>
        </m:r>
        <m:r>
          <m:t>q</m:t>
        </m:r>
        <m:r>
          <m:rPr>
            <m:sty m:val="p"/>
          </m:rPr>
          <m:t>⟩</m:t>
        </m:r>
        <m:r>
          <m:rPr>
            <m:sty m:val="p"/>
          </m:rPr>
          <m:t>∝</m:t>
        </m:r>
        <m:d>
          <m:dPr>
            <m:begChr m:val="("/>
            <m:endChr m:val=")"/>
            <m:sepChr m:val=""/>
            <m:grow/>
          </m:dPr>
          <m:e>
            <m:r>
              <m:t>τ</m:t>
            </m:r>
            <m:r>
              <m:rPr>
                <m:sty m:val="p"/>
              </m:rPr>
              <m:t>/</m:t>
            </m:r>
            <m:r>
              <m:t>T</m:t>
            </m:r>
          </m:e>
        </m:d>
        <m:r>
          <m:rPr>
            <m:sty m:val="p"/>
          </m:rPr>
          <m:t>,</m:t>
        </m:r>
        <m:r>
          <m:t>ζ</m:t>
        </m:r>
        <m:d>
          <m:dPr>
            <m:begChr m:val="("/>
            <m:endChr m:val=")"/>
            <m:sepChr m:val=""/>
            <m:grow/>
          </m:dPr>
          <m:e>
            <m:r>
              <m:t>q</m:t>
            </m:r>
          </m:e>
        </m:d>
      </m:oMath>
      <w:r>
        <w:t xml:space="preserve">, ligados pela relação teórica</w:t>
      </w:r>
      <w:r>
        <w:t xml:space="preserve"> </w:t>
      </w:r>
      <m:oMath>
        <m:r>
          <m:t>K</m:t>
        </m:r>
        <m:d>
          <m:dPr>
            <m:begChr m:val="("/>
            <m:endChr m:val=")"/>
            <m:sepChr m:val=""/>
            <m:grow/>
          </m:dPr>
          <m:e>
            <m:r>
              <m:t>q</m:t>
            </m:r>
          </m:e>
        </m:d>
        <m:r>
          <m:rPr>
            <m:sty m:val="p"/>
          </m:rPr>
          <m:t>+</m:t>
        </m:r>
        <m:r>
          <m:t>ζ</m:t>
        </m:r>
        <m:d>
          <m:dPr>
            <m:begChr m:val="("/>
            <m:endChr m:val=")"/>
            <m:sepChr m:val=""/>
            <m:grow/>
          </m:dPr>
          <m:e>
            <m:r>
              <m:t>q</m:t>
            </m:r>
          </m:e>
        </m:d>
        <m:r>
          <m:rPr>
            <m:sty m:val="p"/>
          </m:rPr>
          <m:t>=</m:t>
        </m:r>
        <m:r>
          <m:t>ζ</m:t>
        </m:r>
        <m:d>
          <m:dPr>
            <m:begChr m:val="("/>
            <m:endChr m:val=")"/>
            <m:sepChr m:val=""/>
            <m:grow/>
          </m:dPr>
          <m:e>
            <m:r>
              <m:t>1</m:t>
            </m:r>
          </m:e>
        </m:d>
      </m:oMath>
      <w:r>
        <w:t xml:space="preserve">. Como</w:t>
      </w:r>
      <w:r>
        <w:t xml:space="preserve"> </w:t>
      </w:r>
      <m:oMath>
        <m:r>
          <m:t>β</m:t>
        </m:r>
        <m:r>
          <m:rPr>
            <m:sty m:val="p"/>
          </m:rPr>
          <m:t>&gt;</m:t>
        </m:r>
        <m:r>
          <m:t>1</m:t>
        </m:r>
      </m:oMath>
      <w:r>
        <w:t xml:space="preserve"> </w:t>
      </w:r>
      <w:r>
        <w:t xml:space="preserve">pode impedir o escalonamento direto dos momentos do campo</w:t>
      </w:r>
      <w:r>
        <w:t xml:space="preserve"> </w:t>
      </w:r>
      <w:r>
        <w:t xml:space="preserve">“bruto”</w:t>
      </w:r>
      <w:r>
        <w:t xml:space="preserve">, recomenda-se estimar</w:t>
      </w:r>
      <w:r>
        <w:t xml:space="preserve"> </w:t>
      </w:r>
      <m:oMath>
        <m:r>
          <m:t>ζ</m:t>
        </m:r>
        <m:d>
          <m:dPr>
            <m:begChr m:val="("/>
            <m:endChr m:val=")"/>
            <m:sepChr m:val=""/>
            <m:grow/>
          </m:dPr>
          <m:e>
            <m:r>
              <m:t>q</m:t>
            </m:r>
          </m:e>
        </m:d>
      </m:oMath>
      <w:r>
        <w:t xml:space="preserve"> </w:t>
      </w:r>
      <w:r>
        <w:t xml:space="preserve">em gradientes absolutos ou aplicar um filtro lei-de-potência antes de</w:t>
      </w:r>
      <w:r>
        <w:t xml:space="preserve"> </w:t>
      </w:r>
      <m:oMath>
        <m:r>
          <m:t>K</m:t>
        </m:r>
        <m:d>
          <m:dPr>
            <m:begChr m:val="("/>
            <m:endChr m:val=")"/>
            <m:sepChr m:val=""/>
            <m:grow/>
          </m:dPr>
          <m:e>
            <m:r>
              <m:t>q</m:t>
            </m:r>
          </m:e>
        </m:d>
      </m:oMath>
      <w:r>
        <w:t xml:space="preserve">. Para contornar a limitação</w:t>
      </w:r>
      <w:r>
        <w:t xml:space="preserve"> </w:t>
      </w:r>
      <m:oMath>
        <m:r>
          <m:t>β</m:t>
        </m:r>
        <m:r>
          <m:rPr>
            <m:sty m:val="p"/>
          </m:rPr>
          <m:t>&lt;</m:t>
        </m:r>
        <m:r>
          <m:t>1</m:t>
        </m:r>
      </m:oMath>
      <w:r>
        <w:t xml:space="preserve"> </w:t>
      </w:r>
      <w:r>
        <w:t xml:space="preserve">dos modelos não-limitados, os autores introduzem uma cascata</w:t>
      </w:r>
      <w:r>
        <w:t xml:space="preserve"> </w:t>
      </w:r>
      <m:oMath>
        <m:r>
          <m:t>α</m:t>
        </m:r>
      </m:oMath>
      <w:r>
        <w:t xml:space="preserve"> </w:t>
      </w:r>
      <w:r>
        <w:t xml:space="preserve">limitada em que os pesos</w:t>
      </w:r>
      <w:r>
        <w:t xml:space="preserve"> </w:t>
      </w:r>
      <m:oMath>
        <m:sSub>
          <m:e>
            <m:r>
              <m:t>W</m:t>
            </m:r>
          </m:e>
          <m:sub>
            <m:r>
              <m:t>k</m:t>
            </m:r>
          </m:sub>
        </m:sSub>
      </m:oMath>
      <w:r>
        <w:t xml:space="preserve"> </w:t>
      </w:r>
      <w:r>
        <w:t xml:space="preserve">dependem do nível</w:t>
      </w:r>
      <w:r>
        <w:t xml:space="preserve"> </w:t>
      </w:r>
      <m:oMath>
        <m:r>
          <m:t>k</m:t>
        </m:r>
      </m:oMath>
      <w:r>
        <w:t xml:space="preserve">, convergem a 1 nas escalas finas e mantêm</w:t>
      </w:r>
      <w:r>
        <w:t xml:space="preserve"> </w:t>
      </w:r>
      <m:oMath>
        <m:r>
          <m:rPr>
            <m:sty m:val="p"/>
            <m:scr m:val="double-struck"/>
          </m:rPr>
          <m:t>E</m:t>
        </m:r>
        <m:d>
          <m:dPr>
            <m:begChr m:val="["/>
            <m:endChr m:val="]"/>
            <m:sepChr m:val=""/>
            <m:grow/>
          </m:dPr>
          <m:e>
            <m:sSub>
              <m:e>
                <m:r>
                  <m:t>W</m:t>
                </m:r>
              </m:e>
              <m:sub>
                <m:r>
                  <m:t>k</m:t>
                </m:r>
              </m:sub>
            </m:sSub>
          </m:e>
        </m:d>
        <m:r>
          <m:rPr>
            <m:sty m:val="p"/>
          </m:rPr>
          <m:t>=</m:t>
        </m:r>
        <m:r>
          <m:t>1</m:t>
        </m:r>
      </m:oMath>
      <w:r>
        <w:t xml:space="preserve">. Essa construção conserva a média e leva assintoticamente a</w:t>
      </w:r>
      <w:r>
        <w:t xml:space="preserve"> </w:t>
      </w:r>
      <m:oMath>
        <m:r>
          <m:t>β</m:t>
        </m:r>
        <m:r>
          <m:rPr>
            <m:sty m:val="p"/>
          </m:rPr>
          <m:t>→</m:t>
        </m:r>
        <m:r>
          <m:t>1</m:t>
        </m:r>
        <m:r>
          <m:rPr>
            <m:sty m:val="p"/>
          </m:rPr>
          <m:t>+</m:t>
        </m:r>
        <m:r>
          <m:t>2</m:t>
        </m:r>
        <m:r>
          <m:t>H</m:t>
        </m:r>
      </m:oMath>
      <w:r>
        <w:t xml:space="preserve">. Os parâmetros são estimados via o cociente de segundos momentos</w:t>
      </w:r>
      <w:r>
        <w:t xml:space="preserve"> </w:t>
      </w:r>
      <m:oMath>
        <m:sSub>
          <m:e>
            <m:r>
              <m:t>F</m:t>
            </m:r>
          </m:e>
          <m:sub>
            <m:r>
              <m:t>n</m:t>
            </m:r>
          </m:sub>
        </m:sSub>
        <m:r>
          <m:rPr>
            <m:sty m:val="p"/>
          </m:rPr>
          <m:t>=</m:t>
        </m:r>
        <m:sSub>
          <m:e>
            <m:r>
              <m:t>M</m:t>
            </m:r>
          </m:e>
          <m:sub>
            <m:r>
              <m:t>n</m:t>
            </m:r>
            <m:r>
              <m:rPr>
                <m:sty m:val="p"/>
              </m:rPr>
              <m:t>+</m:t>
            </m:r>
            <m:r>
              <m:t>1</m:t>
            </m:r>
          </m:sub>
        </m:sSub>
        <m:r>
          <m:rPr>
            <m:sty m:val="p"/>
          </m:rPr>
          <m:t>/</m:t>
        </m:r>
        <m:sSub>
          <m:e>
            <m:r>
              <m:t>M</m:t>
            </m:r>
          </m:e>
          <m:sub>
            <m:r>
              <m:t>n</m:t>
            </m:r>
          </m:sub>
        </m:sSub>
      </m:oMath>
      <w:r>
        <w:t xml:space="preserve">, que obedece</w:t>
      </w:r>
    </w:p>
    <w:p>
      <w:pPr>
        <w:pStyle w:val="BodyText"/>
      </w:pPr>
      <m:oMathPara>
        <m:oMathParaPr>
          <m:jc m:val="center"/>
        </m:oMathParaPr>
        <m:oMath>
          <m:sSub>
            <m:e>
              <m:r>
                <m:rPr>
                  <m:sty m:val="p"/>
                </m:rPr>
                <m:t>log</m:t>
              </m:r>
            </m:e>
            <m:sub>
              <m:r>
                <m:t>2</m:t>
              </m:r>
            </m:sub>
          </m:sSub>
          <m:d>
            <m:dPr>
              <m:begChr m:val="("/>
              <m:endChr m:val=")"/>
              <m:sepChr m:val=""/>
              <m:grow/>
            </m:dPr>
            <m:e>
              <m:sSub>
                <m:e>
                  <m:r>
                    <m:t>F</m:t>
                  </m:r>
                </m:e>
                <m:sub>
                  <m:r>
                    <m:t>n</m:t>
                  </m:r>
                </m:sub>
              </m:sSub>
              <m:r>
                <m:rPr>
                  <m:sty m:val="p"/>
                </m:rPr>
                <m:t>−</m:t>
              </m:r>
              <m:r>
                <m:t>1</m:t>
              </m:r>
            </m:e>
          </m:d>
          <m:r>
            <m:rPr>
              <m:sty m:val="p"/>
            </m:rPr>
            <m:t>=</m:t>
          </m:r>
          <m:r>
            <m:t>c</m:t>
          </m:r>
          <m:r>
            <m:rPr>
              <m:sty m:val="p"/>
            </m:rPr>
            <m:t>−</m:t>
          </m:r>
          <m:r>
            <m:t>2</m:t>
          </m:r>
          <m:r>
            <m:t>n</m:t>
          </m:r>
          <m:r>
            <m:t>H</m:t>
          </m:r>
          <m:r>
            <m:rPr>
              <m:sty m:val="p"/>
            </m:rPr>
            <m:t>,</m:t>
          </m:r>
        </m:oMath>
      </m:oMathPara>
    </w:p>
    <w:p>
      <w:pPr>
        <w:pStyle w:val="FirstParagraph"/>
      </w:pPr>
      <w:r>
        <w:t xml:space="preserve">{#eq.}</w:t>
      </w:r>
    </w:p>
    <w:p>
      <w:pPr>
        <w:pStyle w:val="BodyText"/>
      </w:pPr>
      <w:r>
        <w:t xml:space="preserve">permitindo extrair</w:t>
      </w:r>
      <w:r>
        <w:t xml:space="preserve"> </w:t>
      </w:r>
      <m:oMath>
        <m:r>
          <m:t>H</m:t>
        </m:r>
      </m:oMath>
      <w:r>
        <w:t xml:space="preserve"> </w:t>
      </w:r>
      <w:r>
        <w:t xml:space="preserve">(declive) e</w:t>
      </w:r>
      <w:r>
        <w:t xml:space="preserve"> </w:t>
      </w:r>
      <m:oMath>
        <m:sSub>
          <m:e>
            <m:r>
              <m:t>p</m:t>
            </m:r>
          </m:e>
          <m:sub>
            <m:r>
              <m:t>1</m:t>
            </m:r>
          </m:sub>
        </m:sSub>
      </m:oMath>
      <w:r>
        <w:t xml:space="preserve"> </w:t>
      </w:r>
      <w:r>
        <w:t xml:space="preserve">(intercepto). Ajustada a dados de alta resolução, a cascata reproduz</w:t>
      </w:r>
      <w:r>
        <w:t xml:space="preserve"> </w:t>
      </w:r>
      <m:oMath>
        <m:r>
          <m:t>β</m:t>
        </m:r>
        <m:r>
          <m:rPr>
            <m:sty m:val="p"/>
          </m:rPr>
          <m:t>&gt;</m:t>
        </m:r>
        <m:r>
          <m:t>1</m:t>
        </m:r>
      </m:oMath>
      <w:r>
        <w:t xml:space="preserve">, a curva</w:t>
      </w:r>
      <w:r>
        <w:t xml:space="preserve"> </w:t>
      </w:r>
      <m:oMath>
        <m:r>
          <m:t>K</m:t>
        </m:r>
        <m:d>
          <m:dPr>
            <m:begChr m:val="("/>
            <m:endChr m:val=")"/>
            <m:sepChr m:val=""/>
            <m:grow/>
          </m:dPr>
          <m:e>
            <m:r>
              <m:t>q</m:t>
            </m:r>
          </m:e>
        </m:d>
      </m:oMath>
      <w:r>
        <w:t xml:space="preserve"> </w:t>
      </w:r>
      <w:r>
        <w:t xml:space="preserve">e a intermitência observada, gerando séries sub-horárias realistas. Para desagregação temporal, essa cascata funciona como gerador multiescala que preserva a estrutura de potência entre escalas (</w:t>
      </w:r>
      <m:oMath>
        <m:r>
          <m:t>β</m:t>
        </m:r>
        <m:r>
          <m:rPr>
            <m:sty m:val="p"/>
          </m:rPr>
          <m:t>,</m:t>
        </m:r>
        <m:r>
          <m:t>K</m:t>
        </m:r>
        <m:d>
          <m:dPr>
            <m:begChr m:val="("/>
            <m:endChr m:val=")"/>
            <m:sepChr m:val=""/>
            <m:grow/>
          </m:dPr>
          <m:e>
            <m:r>
              <m:t>q</m:t>
            </m:r>
          </m:e>
        </m:d>
        <m:r>
          <m:rPr>
            <m:sty m:val="p"/>
          </m:rPr>
          <m:t>,</m:t>
        </m:r>
        <m:r>
          <m:t>ζ</m:t>
        </m:r>
        <m:d>
          <m:dPr>
            <m:begChr m:val="("/>
            <m:endChr m:val=")"/>
            <m:sepChr m:val=""/>
            <m:grow/>
          </m:dPr>
          <m:e>
            <m:r>
              <m:t>q</m:t>
            </m:r>
          </m:e>
        </m:d>
      </m:oMath>
      <w:r>
        <w:t xml:space="preserve">) e pode ser condicionada a totais na escala superior por ajuste proporcional; ao contrário das cascatas não-limitadas, dispensa pós-filtragem para corrigir</w:t>
      </w:r>
      <w:r>
        <w:t xml:space="preserve"> </w:t>
      </w:r>
      <m:oMath>
        <m:r>
          <m:t>β</m:t>
        </m:r>
      </m:oMath>
      <w:r>
        <w:t xml:space="preserve">.</w:t>
      </w:r>
    </w:p>
    <w:p>
      <w:pPr>
        <w:pStyle w:val="BodyText"/>
      </w:pPr>
      <w:r>
        <w:t xml:space="preserve">Koutsoyiannis et al. (1998) estabelecem um arcabouço matemático para IDF que separa, de forma teoricamente consistente, a dependência em duração e em frequência. Propõem a relação geral</w:t>
      </w:r>
    </w:p>
    <w:p>
      <w:pPr>
        <w:pStyle w:val="BodyText"/>
      </w:pPr>
      <m:oMathPara>
        <m:oMathParaPr>
          <m:jc m:val="center"/>
        </m:oMathParaPr>
        <m:oMath>
          <m:r>
            <m:t>i</m:t>
          </m:r>
          <m:d>
            <m:dPr>
              <m:begChr m:val="("/>
              <m:endChr m:val=")"/>
              <m:sepChr m:val=""/>
              <m:grow/>
            </m:dPr>
            <m:e>
              <m:r>
                <m:t>T</m:t>
              </m:r>
              <m:r>
                <m:rPr>
                  <m:sty m:val="p"/>
                </m:rPr>
                <m:t>,</m:t>
              </m:r>
              <m:r>
                <m:t>d</m:t>
              </m:r>
            </m:e>
          </m:d>
          <m:r>
            <m:rPr>
              <m:sty m:val="p"/>
            </m:rPr>
            <m:t>=</m:t>
          </m:r>
          <m:f>
            <m:fPr>
              <m:type m:val="bar"/>
            </m:fPr>
            <m:num>
              <m:r>
                <m:t>a</m:t>
              </m:r>
              <m:d>
                <m:dPr>
                  <m:begChr m:val="("/>
                  <m:endChr m:val=")"/>
                  <m:sepChr m:val=""/>
                  <m:grow/>
                </m:dPr>
                <m:e>
                  <m:r>
                    <m:t>T</m:t>
                  </m:r>
                </m:e>
              </m:d>
            </m:num>
            <m:den>
              <m:r>
                <m:t>b</m:t>
              </m:r>
              <m:d>
                <m:dPr>
                  <m:begChr m:val="("/>
                  <m:endChr m:val=")"/>
                  <m:sepChr m:val=""/>
                  <m:grow/>
                </m:dPr>
                <m:e>
                  <m:r>
                    <m:t>d</m:t>
                  </m:r>
                </m:e>
              </m:d>
            </m:den>
          </m:f>
        </m:oMath>
      </m:oMathPara>
    </w:p>
    <w:p>
      <w:pPr>
        <w:pStyle w:val="FirstParagraph"/>
      </w:pPr>
      <w:r>
        <w:t xml:space="preserve">{#eq.idf-koutsoyiannis}</w:t>
      </w:r>
    </w:p>
    <w:p>
      <w:pPr>
        <w:pStyle w:val="BodyText"/>
      </w:pPr>
      <w:r>
        <w:t xml:space="preserve">com uma forma parsimoniosa para a componente de duração</w:t>
      </w:r>
    </w:p>
    <w:p>
      <w:pPr>
        <w:pStyle w:val="BodyText"/>
      </w:pPr>
      <m:oMathPara>
        <m:oMathParaPr>
          <m:jc m:val="center"/>
        </m:oMathParaP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r>
            <m:rPr>
              <m:sty m:val="p"/>
            </m:rPr>
            <m:t>,</m:t>
          </m:r>
          <m:r>
            <m:t>  </m:t>
          </m:r>
          <m:r>
            <m:t>θ</m:t>
          </m:r>
          <m:r>
            <m:rPr>
              <m:sty m:val="p"/>
            </m:rPr>
            <m:t>&gt;</m:t>
          </m:r>
          <m:r>
            <m:t>0</m:t>
          </m:r>
          <m:r>
            <m:rPr>
              <m:sty m:val="p"/>
            </m:rPr>
            <m:t>,</m:t>
          </m:r>
          <m:r>
            <m:t> </m:t>
          </m:r>
          <m:r>
            <m:t>0</m:t>
          </m:r>
          <m:r>
            <m:rPr>
              <m:sty m:val="p"/>
            </m:rPr>
            <m:t>&lt;</m:t>
          </m:r>
          <m:r>
            <m:t>η</m:t>
          </m:r>
          <m:r>
            <m:rPr>
              <m:sty m:val="p"/>
            </m:rPr>
            <m:t>&lt;</m:t>
          </m:r>
          <m:r>
            <m:t>1</m:t>
          </m:r>
        </m:oMath>
      </m:oMathPara>
    </w:p>
    <w:p>
      <w:pPr>
        <w:pStyle w:val="FirstParagraph"/>
      </w:pPr>
      <w:r>
        <w:t xml:space="preserve">{#eq.coef-duracao}</w:t>
      </w:r>
    </w:p>
    <w:p>
      <w:pPr>
        <w:pStyle w:val="BodyText"/>
      </w:pPr>
      <w:r>
        <w:t xml:space="preserve">Mostram ainda que termos adicionais no denominador são desnecessários</w:t>
      </w:r>
      <w:r>
        <w:t xml:space="preserve"> </w:t>
      </w:r>
      <m:oMath>
        <m:d>
          <m:dPr>
            <m:begChr m:val="("/>
            <m:endChr m:val=")"/>
            <m:sepChr m:val=""/>
            <m:grow/>
          </m:dPr>
          <m:e>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e>
        </m:d>
      </m:oMath>
      <w:r>
        <w:t xml:space="preserve"> </w:t>
      </w:r>
      <w:r>
        <w:t xml:space="preserve">com erro de aproximação pequeno), e que</w:t>
      </w:r>
      <w:r>
        <w:t xml:space="preserve"> </w:t>
      </w:r>
      <m:oMath>
        <m:r>
          <m:t>η</m:t>
        </m:r>
      </m:oMath>
      <w:r>
        <w:t xml:space="preserve"> </w:t>
      </w:r>
      <w:r>
        <w:t xml:space="preserve">e</w:t>
      </w:r>
      <w:r>
        <w:t xml:space="preserve"> </w:t>
      </w:r>
      <m:oMath>
        <m:r>
          <m:t>θ</m:t>
        </m:r>
      </m:oMath>
      <w:r>
        <w:t xml:space="preserve"> </w:t>
      </w:r>
      <w:r>
        <w:t xml:space="preserve">podem ser mantidos constantes em</w:t>
      </w:r>
      <w:r>
        <w:t xml:space="preserve"> </w:t>
      </w:r>
      <m:oMath>
        <m:r>
          <m:t>T</m:t>
        </m:r>
      </m:oMath>
      <w:r>
        <w:t xml:space="preserve">, deixando toda a dependência de frequência para</w:t>
      </w:r>
      <w:r>
        <w:t xml:space="preserve"> </w:t>
      </w:r>
      <m:oMath>
        <m:r>
          <m:t>a</m:t>
        </m:r>
        <m:d>
          <m:dPr>
            <m:begChr m:val="("/>
            <m:endChr m:val=")"/>
            <m:sepChr m:val=""/>
            <m:grow/>
          </m:dPr>
          <m:e>
            <m:r>
              <m:t>T</m:t>
            </m:r>
          </m:e>
        </m:d>
      </m:oMath>
      <w:r>
        <w:t xml:space="preserve">.</w:t>
      </w:r>
    </w:p>
    <w:p>
      <w:pPr>
        <w:pStyle w:val="BodyText"/>
      </w:pPr>
      <w:r>
        <w:t xml:space="preserve">A componente de frequência é derivada diretamente da distribuição dos máximos, evitando formas empíricas. Definem</w:t>
      </w:r>
      <w:r>
        <w:t xml:space="preserve"> </w:t>
      </w:r>
      <m:oMath>
        <m:r>
          <m:t>Y</m:t>
        </m:r>
        <m:box>
          <m:boxPr>
            <m:opEmu m:val="on"/>
          </m:boxPr>
          <m:e>
            <m:r>
              <m:rPr>
                <m:sty m:val="p"/>
              </m:rPr>
              <m:t>:=</m:t>
            </m:r>
          </m:e>
        </m:box>
        <m:r>
          <m:t>I</m:t>
        </m:r>
        <m:d>
          <m:dPr>
            <m:begChr m:val="("/>
            <m:endChr m:val=")"/>
            <m:sepChr m:val=""/>
            <m:grow/>
          </m:dPr>
          <m:e>
            <m:r>
              <m:t>d</m:t>
            </m:r>
          </m:e>
        </m:d>
        <m:r>
          <m:t> </m:t>
        </m:r>
        <m:r>
          <m:t>b</m:t>
        </m:r>
        <m:d>
          <m:dPr>
            <m:begChr m:val="("/>
            <m:endChr m:val=")"/>
            <m:sepChr m:val=""/>
            <m:grow/>
          </m:dPr>
          <m:e>
            <m:r>
              <m:t>d</m:t>
            </m:r>
          </m:e>
        </m:d>
      </m:oMath>
      <w:r>
        <w:t xml:space="preserve"> </w:t>
      </w:r>
      <w:r>
        <w:t xml:space="preserve">e obtêm</w:t>
      </w:r>
    </w:p>
    <w:p>
      <w:pPr>
        <w:pStyle w:val="BodyText"/>
      </w:pPr>
      <m:oMathPara>
        <m:oMathParaPr>
          <m:jc m:val="center"/>
        </m:oMathParaPr>
        <m:oMath>
          <m:r>
            <m:t>a</m:t>
          </m:r>
          <m:d>
            <m:dPr>
              <m:begChr m:val="("/>
              <m:endChr m:val=")"/>
              <m:sepChr m:val=""/>
              <m:grow/>
            </m:dPr>
            <m:e>
              <m:r>
                <m:t>T</m:t>
              </m:r>
            </m:e>
          </m:d>
          <m:r>
            <m:rPr>
              <m:sty m:val="p"/>
            </m:rPr>
            <m:t>=</m:t>
          </m:r>
          <m:sSubSup>
            <m:e>
              <m:r>
                <m:t>F</m:t>
              </m:r>
            </m:e>
            <m:sub>
              <m:r>
                <m:t>Y</m:t>
              </m:r>
            </m:sub>
            <m:sup>
              <m:r>
                <m:rPr>
                  <m:sty m:val="p"/>
                </m:rPr>
                <m:t>−</m:t>
              </m:r>
              <m:r>
                <m:t>1</m:t>
              </m:r>
            </m:sup>
          </m:sSubSup>
          <m:d>
            <m:dPr>
              <m:begChr m:val="("/>
              <m:endChr m:val=")"/>
              <m:sepChr m:val=""/>
              <m:grow/>
            </m:dPr>
            <m:e>
              <m:r>
                <m:t>1</m:t>
              </m:r>
              <m:r>
                <m:rPr>
                  <m:sty m:val="p"/>
                </m:rPr>
                <m:t>−</m:t>
              </m:r>
              <m:r>
                <m:t>1</m:t>
              </m:r>
              <m:r>
                <m:rPr>
                  <m:sty m:val="p"/>
                </m:rPr>
                <m:t>/</m:t>
              </m:r>
              <m:r>
                <m:t>T</m:t>
              </m:r>
            </m:e>
          </m:d>
        </m:oMath>
      </m:oMathPara>
    </w:p>
    <w:p>
      <w:pPr>
        <w:pStyle w:val="FirstParagraph"/>
      </w:pPr>
      <w:r>
        <w:t xml:space="preserve">{#eq.comp-freq}</w:t>
      </w:r>
    </w:p>
    <w:p>
      <w:pPr>
        <w:pStyle w:val="BodyText"/>
      </w:pPr>
      <w:r>
        <w:t xml:space="preserve">de modo que</w:t>
      </w:r>
      <w:r>
        <w:t xml:space="preserve"> </w:t>
      </w:r>
      <m:oMath>
        <m:r>
          <m:t>a</m:t>
        </m:r>
        <m:d>
          <m:dPr>
            <m:begChr m:val="("/>
            <m:endChr m:val=")"/>
            <m:sepChr m:val=""/>
            <m:grow/>
          </m:dPr>
          <m:e>
            <m:r>
              <m:t>T</m:t>
            </m:r>
          </m:e>
        </m:d>
      </m:oMath>
      <w:r>
        <w:t xml:space="preserve"> </w:t>
      </w:r>
      <w:r>
        <w:t xml:space="preserve">coincide com o quantil de ordem</w:t>
      </w:r>
      <w:r>
        <w:t xml:space="preserve"> </w:t>
      </w:r>
      <m:oMath>
        <m:r>
          <m:t>1</m:t>
        </m:r>
        <m:r>
          <m:rPr>
            <m:sty m:val="p"/>
          </m:rPr>
          <m:t>−</m:t>
        </m:r>
        <m:r>
          <m:t>1</m:t>
        </m:r>
        <m:r>
          <m:rPr>
            <m:sty m:val="p"/>
          </m:rPr>
          <m:t>/</m:t>
        </m:r>
        <m:r>
          <m:t>T</m:t>
        </m:r>
      </m:oMath>
      <w:r>
        <w:t xml:space="preserve"> </w:t>
      </w:r>
      <w:r>
        <w:t xml:space="preserve">da variável</w:t>
      </w:r>
      <w:r>
        <w:t xml:space="preserve"> </w:t>
      </w:r>
      <m:oMath>
        <m:r>
          <m:t>Y</m:t>
        </m:r>
      </m:oMath>
      <w:r>
        <w:t xml:space="preserve">. Para a Gumbel:</w:t>
      </w:r>
    </w:p>
    <w:p>
      <w:pPr>
        <w:pStyle w:val="BodyText"/>
      </w:pPr>
      <m:oMathPara>
        <m:oMathParaPr>
          <m:jc m:val="center"/>
        </m:oMathParaPr>
        <m:oMath>
          <m:r>
            <m:t>a</m:t>
          </m:r>
          <m:d>
            <m:dPr>
              <m:begChr m:val="("/>
              <m:endChr m:val=")"/>
              <m:sepChr m:val=""/>
              <m:grow/>
            </m:dPr>
            <m:e>
              <m:r>
                <m:t>T</m:t>
              </m:r>
            </m:e>
          </m:d>
          <m:r>
            <m:rPr>
              <m:sty m:val="p"/>
            </m:rPr>
            <m:t>=</m:t>
          </m:r>
          <m:r>
            <m:t>Ξ</m:t>
          </m:r>
          <m:d>
            <m:dPr>
              <m:begChr m:val="{"/>
              <m:endChr m:val="}"/>
              <m:sepChr m:val=""/>
              <m:grow/>
            </m:dPr>
            <m:e>
              <m:r>
                <m:t>ϕ</m:t>
              </m:r>
              <m:r>
                <m:rPr>
                  <m:sty m:val="p"/>
                </m:rPr>
                <m:t>−</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r>
            <m:rPr>
              <m:sty m:val="p"/>
            </m:rPr>
            <m:t>,</m:t>
          </m:r>
        </m:oMath>
      </m:oMathPara>
    </w:p>
    <w:p>
      <w:pPr>
        <w:pStyle w:val="FirstParagraph"/>
      </w:pPr>
      <w:r>
        <w:t xml:space="preserve">{#eq.comp-freq-gumbel}</w:t>
      </w:r>
    </w:p>
    <w:p>
      <w:pPr>
        <w:pStyle w:val="BodyText"/>
      </w:pPr>
      <w:r>
        <w:t xml:space="preserve">enquanto para a GEV obtém-se</w:t>
      </w:r>
    </w:p>
    <w:p>
      <w:pPr>
        <w:pStyle w:val="BodyText"/>
      </w:pPr>
      <m:oMathPara>
        <m:oMathParaPr>
          <m:jc m:val="center"/>
        </m:oMathParaPr>
        <m:oMath>
          <m:r>
            <m:t>a</m:t>
          </m:r>
          <m:d>
            <m:dPr>
              <m:begChr m:val="("/>
              <m:endChr m:val=")"/>
              <m:sepChr m:val=""/>
              <m:grow/>
            </m:dPr>
            <m:e>
              <m:r>
                <m:t>T</m:t>
              </m:r>
            </m:e>
          </m:d>
          <m:r>
            <m:rPr>
              <m:sty m:val="p"/>
            </m:rPr>
            <m:t>=</m:t>
          </m:r>
          <m:r>
            <m:t>μ</m:t>
          </m:r>
          <m:r>
            <m:rPr>
              <m:sty m:val="p"/>
            </m:rPr>
            <m:t>{</m:t>
          </m:r>
          <m:r>
            <m:t>σ</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r>
            <m:rPr>
              <m:sty m:val="p"/>
            </m:rPr>
            <m:t>,</m:t>
          </m:r>
        </m:oMath>
      </m:oMathPara>
    </w:p>
    <w:p>
      <w:pPr>
        <w:pStyle w:val="FirstParagraph"/>
      </w:pPr>
      <w:r>
        <w:t xml:space="preserve">{#eq.comp-freq-gev}</w:t>
      </w:r>
    </w:p>
    <w:p>
      <w:pPr>
        <w:pStyle w:val="BodyText"/>
      </w:pPr>
      <w:r>
        <w:t xml:space="preserve">sendo</w:t>
      </w:r>
      <w:r>
        <w:t xml:space="preserve"> </w:t>
      </w:r>
      <m:oMath>
        <m:d>
          <m:dPr>
            <m:begChr m:val="("/>
            <m:endChr m:val=")"/>
            <m:sepChr m:val=""/>
            <m:grow/>
          </m:dPr>
          <m:e>
            <m:r>
              <m:t>Ξ</m:t>
            </m:r>
            <m:r>
              <m:rPr>
                <m:sty m:val="p"/>
              </m:rPr>
              <m:t>,</m:t>
            </m:r>
            <m:r>
              <m:t>ϕ</m:t>
            </m:r>
          </m:e>
        </m:d>
      </m:oMath>
      <w:r>
        <w:t xml:space="preserve"> </w:t>
      </w:r>
      <w:r>
        <w:t xml:space="preserve">e</w:t>
      </w:r>
      <w:r>
        <w:t xml:space="preserve"> </w:t>
      </w:r>
      <m:oMath>
        <m:d>
          <m:dPr>
            <m:begChr m:val="("/>
            <m:endChr m:val=")"/>
            <m:sepChr m:val=""/>
            <m:grow/>
          </m:dPr>
          <m:e>
            <m:r>
              <m:t>μ</m:t>
            </m:r>
            <m:r>
              <m:rPr>
                <m:sty m:val="p"/>
              </m:rPr>
              <m:t>,</m:t>
            </m:r>
            <m:r>
              <m:t>σ</m:t>
            </m:r>
            <m:r>
              <m:rPr>
                <m:sty m:val="p"/>
              </m:rPr>
              <m:t>,</m:t>
            </m:r>
            <m:r>
              <m:t>ξ</m:t>
            </m:r>
          </m:e>
        </m:d>
      </m:oMath>
      <w:r>
        <w:t xml:space="preserve"> </w:t>
      </w:r>
      <w:r>
        <w:t xml:space="preserve">parâmetros de escala/localização (e forma, na GEV). Quanto à estimação, os autores propõem um procedimento robusto em duas etapas: primeiro, estimam</w:t>
      </w:r>
      <w:r>
        <w:t xml:space="preserve"> </w:t>
      </w:r>
      <m:oMath>
        <m:r>
          <m:t>η</m:t>
        </m:r>
      </m:oMath>
      <w:r>
        <w:t xml:space="preserve"> </w:t>
      </w:r>
      <w:r>
        <w:t xml:space="preserve">e</w:t>
      </w:r>
      <w:r>
        <w:t xml:space="preserve"> </w:t>
      </w:r>
      <m:oMath>
        <m:r>
          <m:t>θ</m:t>
        </m:r>
      </m:oMath>
      <w:r>
        <w:t xml:space="preserve"> </w:t>
      </w:r>
      <w:r>
        <w:t xml:space="preserve">maximizando a identidade de distribuição entre os grupos</w:t>
      </w:r>
      <w:r>
        <w:t xml:space="preserve"> </w:t>
      </w:r>
      <m:oMath>
        <m:sSub>
          <m:e>
            <m:r>
              <m:t>Y</m:t>
            </m:r>
          </m:e>
          <m:sub>
            <m:r>
              <m:t>j</m:t>
            </m:r>
          </m:sub>
        </m:sSub>
        <m:r>
          <m:rPr>
            <m:sty m:val="p"/>
          </m:rPr>
          <m:t>=</m:t>
        </m:r>
        <m:r>
          <m:t>I</m:t>
        </m:r>
        <m:d>
          <m:dPr>
            <m:begChr m:val="("/>
            <m:endChr m:val=")"/>
            <m:sepChr m:val=""/>
            <m:grow/>
          </m:dPr>
          <m:e>
            <m:sSub>
              <m:e>
                <m:r>
                  <m:t>d</m:t>
                </m:r>
              </m:e>
              <m:sub>
                <m:r>
                  <m:t>j</m:t>
                </m:r>
              </m:sub>
            </m:sSub>
          </m:e>
        </m:d>
        <m:r>
          <m:t> </m:t>
        </m:r>
        <m:r>
          <m:t>b</m:t>
        </m:r>
        <m:d>
          <m:dPr>
            <m:begChr m:val="("/>
            <m:endChr m:val=")"/>
            <m:sepChr m:val=""/>
            <m:grow/>
          </m:dPr>
          <m:e>
            <m:sSub>
              <m:e>
                <m:r>
                  <m:t>d</m:t>
                </m:r>
              </m:e>
              <m:sub>
                <m:r>
                  <m:t>j</m:t>
                </m:r>
              </m:sub>
            </m:sSub>
          </m:e>
        </m:d>
      </m:oMath>
      <w:r>
        <w:t xml:space="preserve">; depois, ajustam os parâmetros da distribuição escolhida para</w:t>
      </w:r>
      <w:r>
        <w:t xml:space="preserve"> </w:t>
      </w:r>
      <m:oMath>
        <m:r>
          <m:t>Y</m:t>
        </m:r>
      </m:oMath>
      <w:r>
        <w:t xml:space="preserve"> </w:t>
      </w:r>
      <w:r>
        <w:t xml:space="preserve">e computam</w:t>
      </w:r>
      <w:r>
        <w:t xml:space="preserve"> </w:t>
      </w:r>
      <m:oMath>
        <m:r>
          <m:t>a</m:t>
        </m:r>
        <m:d>
          <m:dPr>
            <m:begChr m:val="("/>
            <m:endChr m:val=")"/>
            <m:sepChr m:val=""/>
            <m:grow/>
          </m:dPr>
          <m:e>
            <m:r>
              <m:t>T</m:t>
            </m:r>
          </m:e>
        </m:d>
      </m:oMath>
      <w:r>
        <w:t xml:space="preserve"> </w:t>
      </w:r>
      <w:r>
        <w:t xml:space="preserve">via o quantil teórico. Esse desenho evita a subjetividade de ajustar</w:t>
      </w:r>
      <w:r>
        <w:t xml:space="preserve"> </w:t>
      </w:r>
      <m:oMath>
        <m:r>
          <m:t>a</m:t>
        </m:r>
        <m:d>
          <m:dPr>
            <m:begChr m:val="("/>
            <m:endChr m:val=")"/>
            <m:sepChr m:val=""/>
            <m:grow/>
          </m:dPr>
          <m:e>
            <m:r>
              <m:t>T</m:t>
            </m:r>
          </m:e>
        </m:d>
      </m:oMath>
      <w:r>
        <w:t xml:space="preserve"> </w:t>
      </w:r>
      <w:r>
        <w:t xml:space="preserve">por formas empíricas e é compatível com a formulação separável acima.</w:t>
      </w:r>
    </w:p>
    <w:p>
      <w:pPr>
        <w:pStyle w:val="BodyText"/>
      </w:pPr>
      <w:r>
        <w:t xml:space="preserve">Em termos de consistência multiescala e desagregação temporal, o formato separável</w:t>
      </w:r>
      <w:r>
        <w:t xml:space="preserve"> </w:t>
      </w:r>
      <m:oMath>
        <m:r>
          <m:t>i</m:t>
        </m:r>
        <m:d>
          <m:dPr>
            <m:begChr m:val="("/>
            <m:endChr m:val=")"/>
            <m:sepChr m:val=""/>
            <m:grow/>
          </m:dPr>
          <m:e>
            <m:r>
              <m:t>T</m:t>
            </m:r>
            <m:r>
              <m:rPr>
                <m:sty m:val="p"/>
              </m:rPr>
              <m:t>,</m:t>
            </m:r>
            <m:r>
              <m:t>d</m:t>
            </m:r>
          </m:e>
        </m:d>
        <m:r>
          <m:rPr>
            <m:sty m:val="p"/>
          </m:rPr>
          <m:t>=</m:t>
        </m:r>
        <m:r>
          <m:t>a</m:t>
        </m:r>
        <m:d>
          <m:dPr>
            <m:begChr m:val="("/>
            <m:endChr m:val=")"/>
            <m:sepChr m:val=""/>
            <m:grow/>
          </m:dPr>
          <m:e>
            <m:r>
              <m:t>T</m:t>
            </m:r>
          </m:e>
        </m:d>
        <m:r>
          <m:rPr>
            <m:sty m:val="p"/>
          </m:rPr>
          <m:t>/</m:t>
        </m:r>
        <m:sSup>
          <m:e>
            <m:d>
              <m:dPr>
                <m:begChr m:val="("/>
                <m:endChr m:val=")"/>
                <m:sepChr m:val=""/>
                <m:grow/>
              </m:dPr>
              <m:e>
                <m:r>
                  <m:t>d</m:t>
                </m:r>
                <m:r>
                  <m:rPr>
                    <m:sty m:val="p"/>
                  </m:rPr>
                  <m:t>+</m:t>
                </m:r>
                <m:r>
                  <m:t>θ</m:t>
                </m:r>
              </m:e>
            </m:d>
          </m:e>
          <m:sup>
            <m:r>
              <m:t>η</m:t>
            </m:r>
          </m:sup>
        </m:sSup>
      </m:oMath>
      <w:r>
        <w:t xml:space="preserve"> </w:t>
      </w:r>
      <w:r>
        <w:t xml:space="preserve">atua como uma lei de escala em duração: preservar</w:t>
      </w:r>
      <w:r>
        <w:t xml:space="preserve"> </w:t>
      </w:r>
      <m:oMath>
        <m:r>
          <m:t>η</m:t>
        </m:r>
      </m:oMath>
      <w:r>
        <w:t xml:space="preserve"> </w:t>
      </w:r>
      <w:r>
        <w:t xml:space="preserve">e</w:t>
      </w:r>
      <w:r>
        <w:t xml:space="preserve"> </w:t>
      </w:r>
      <m:oMath>
        <m:r>
          <m:t>θ</m:t>
        </m:r>
      </m:oMath>
      <w:r>
        <w:t xml:space="preserve"> </w:t>
      </w:r>
      <w:r>
        <w:t xml:space="preserve">ao longo de</w:t>
      </w:r>
      <w:r>
        <w:t xml:space="preserve"> </w:t>
      </w:r>
      <m:oMath>
        <m:r>
          <m:t>T</m:t>
        </m:r>
      </m:oMath>
      <w:r>
        <w:t xml:space="preserve"> </w:t>
      </w:r>
      <w:r>
        <w:t xml:space="preserve">impõe coerência entre durações e fornece uma referência para algoritmos de downscaling condicionados por totais na escala superior (p.ex., ajuste proporcional), pois a mesma função</w:t>
      </w:r>
      <w:r>
        <w:t xml:space="preserve"> </w:t>
      </w:r>
      <m:oMath>
        <m:r>
          <m:t>b</m:t>
        </m:r>
        <m:d>
          <m:dPr>
            <m:begChr m:val="("/>
            <m:endChr m:val=")"/>
            <m:sepChr m:val=""/>
            <m:grow/>
          </m:dPr>
          <m:e>
            <m:r>
              <m:t>d</m:t>
            </m:r>
          </m:e>
        </m:d>
      </m:oMath>
      <w:r>
        <w:t xml:space="preserve"> </w:t>
      </w:r>
      <w:r>
        <w:t xml:space="preserve">controla a transferência dos máximos entre escalas.</w:t>
      </w:r>
    </w:p>
    <w:p>
      <w:pPr>
        <w:pStyle w:val="BodyText"/>
      </w:pPr>
      <w:r>
        <w:t xml:space="preserve">Menabde et al. (1999) aplicam a hipótese de simples escala à descrição IDF dos máximos anuais da intensidade média de chuva em janela de duração</w:t>
      </w:r>
      <w:r>
        <w:t xml:space="preserve"> </w:t>
      </w:r>
      <m:oMath>
        <m:r>
          <m:t>d</m:t>
        </m:r>
      </m:oMath>
      <w:r>
        <w:t xml:space="preserve">. Seja</w:t>
      </w:r>
      <w:r>
        <w:t xml:space="preserve"> </w:t>
      </w:r>
      <m:oMath>
        <m:sSub>
          <m:e>
            <m:r>
              <m:t>I</m:t>
            </m:r>
          </m:e>
          <m:sub>
            <m:r>
              <m:t>d</m:t>
            </m:r>
          </m:sub>
        </m:sSub>
      </m:oMath>
      <w:r>
        <w:t xml:space="preserve"> </w:t>
      </w:r>
      <w:r>
        <w:t xml:space="preserve">o máximo anual da média móvel</w:t>
      </w:r>
      <w:r>
        <w:t xml:space="preserve"> </w:t>
      </w:r>
      <m:oMath>
        <m:sSub>
          <m:e>
            <m:r>
              <m:t>R</m:t>
            </m:r>
          </m:e>
          <m:sub>
            <m:r>
              <m:t>d</m:t>
            </m:r>
          </m:sub>
        </m:sSub>
        <m:d>
          <m:dPr>
            <m:begChr m:val="("/>
            <m:endChr m:val=")"/>
            <m:sepChr m:val=""/>
            <m:grow/>
          </m:dPr>
          <m:e>
            <m:r>
              <m:t>t</m:t>
            </m:r>
          </m:e>
        </m:d>
        <m:r>
          <m:rPr>
            <m:sty m:val="p"/>
          </m:rPr>
          <m:t>=</m:t>
        </m:r>
        <m:f>
          <m:fPr>
            <m:type m:val="bar"/>
          </m:fPr>
          <m:num>
            <m:r>
              <m:t>1</m:t>
            </m:r>
          </m:num>
          <m:den>
            <m:r>
              <m:t>d</m:t>
            </m:r>
          </m:den>
        </m:f>
        <m:nary>
          <m:naryPr>
            <m:chr m:val="∫"/>
            <m:limLoc m:val="subSup"/>
            <m:subHide m:val="off"/>
            <m:supHide m:val="off"/>
          </m:naryPr>
          <m:sub>
            <m:r>
              <m:t>t</m:t>
            </m:r>
            <m:r>
              <m:rPr>
                <m:sty m:val="p"/>
              </m:rPr>
              <m:t>−</m:t>
            </m:r>
            <m:r>
              <m:t>d</m:t>
            </m:r>
            <m:r>
              <m:rPr>
                <m:sty m:val="p"/>
              </m:rPr>
              <m:t>/</m:t>
            </m:r>
            <m:r>
              <m:t>2</m:t>
            </m:r>
          </m:sub>
          <m:sup>
            <m:r>
              <m:t>t</m:t>
            </m:r>
            <m:r>
              <m:rPr>
                <m:sty m:val="p"/>
              </m:rPr>
              <m:t>+</m:t>
            </m:r>
            <m:r>
              <m:t>d</m:t>
            </m:r>
            <m:r>
              <m:rPr>
                <m:sty m:val="p"/>
              </m:rPr>
              <m:t>/</m:t>
            </m:r>
            <m:r>
              <m:t>2</m:t>
            </m:r>
          </m:sup>
          <m:e>
            <m:r>
              <m:t>R</m:t>
            </m:r>
          </m:e>
        </m:nary>
        <m:d>
          <m:dPr>
            <m:begChr m:val="("/>
            <m:endChr m:val=")"/>
            <m:sepChr m:val=""/>
            <m:grow/>
          </m:dPr>
          <m:e>
            <m:r>
              <m:t>u</m:t>
            </m:r>
          </m:e>
        </m:d>
        <m:r>
          <m:t> </m:t>
        </m:r>
        <m:r>
          <m:t>d</m:t>
        </m:r>
        <m:r>
          <m:t>u</m:t>
        </m:r>
      </m:oMath>
      <w:r>
        <w:t xml:space="preserve">. A escala simples em sentido estrito é postulada como</w:t>
      </w:r>
    </w:p>
    <w:p>
      <w:pPr>
        <w:pStyle w:val="BodyText"/>
      </w:pPr>
      <m:oMathPara>
        <m:oMathParaPr>
          <m:jc m:val="center"/>
        </m:oMathParaPr>
        <m:oMath>
          <m:sSub>
            <m:e>
              <m:r>
                <m:t>I</m:t>
              </m:r>
            </m:e>
            <m:sub>
              <m:r>
                <m:t>d</m:t>
              </m:r>
            </m:sub>
          </m:sSub>
          <m:r>
            <m:t> </m:t>
          </m:r>
          <m:limUpp>
            <m:e>
              <m:r>
                <m:rPr>
                  <m:sty m:val="p"/>
                </m:rPr>
                <m:t>=</m:t>
              </m:r>
            </m:e>
            <m:lim>
              <m:r>
                <m:t>d</m:t>
              </m:r>
            </m:lim>
          </m:limUpp>
          <m:r>
            <m:t> </m:t>
          </m:r>
          <m:sSup>
            <m:e>
              <m:d>
                <m:dPr>
                  <m:begChr m:val="("/>
                  <m:endChr m:val=")"/>
                  <m:sepChr m:val=""/>
                  <m:grow/>
                </m:dPr>
                <m:e>
                  <m:f>
                    <m:fPr>
                      <m:type m:val="bar"/>
                    </m:fPr>
                    <m:num>
                      <m:r>
                        <m:t>d</m:t>
                      </m:r>
                    </m:num>
                    <m:den>
                      <m:r>
                        <m:t>D</m:t>
                      </m:r>
                    </m:den>
                  </m:f>
                </m:e>
              </m:d>
            </m:e>
            <m:sup>
              <m:r>
                <m:rPr>
                  <m:sty m:val="p"/>
                </m:rPr>
                <m:t>−</m:t>
              </m:r>
              <m:r>
                <m:t>η</m:t>
              </m:r>
            </m:sup>
          </m:sSup>
          <m:r>
            <m:t> </m:t>
          </m:r>
          <m:sSub>
            <m:e>
              <m:r>
                <m:t>I</m:t>
              </m:r>
            </m:e>
            <m:sub>
              <m:r>
                <m:t>D</m:t>
              </m:r>
            </m:sub>
          </m:sSub>
        </m:oMath>
      </m:oMathPara>
    </w:p>
    <w:p>
      <w:pPr>
        <w:pStyle w:val="FirstParagraph"/>
      </w:pPr>
      <w:r>
        <w:t xml:space="preserve">{#eq.idf-inv-escala}</w:t>
      </w:r>
    </w:p>
    <w:p>
      <w:pPr>
        <w:pStyle w:val="BodyText"/>
      </w:pPr>
      <w:r>
        <w:t xml:space="preserve">o que implica, em termos de distribuição acumulada,</w:t>
      </w:r>
    </w:p>
    <w:p>
      <w:pPr>
        <w:pStyle w:val="BodyText"/>
      </w:pPr>
      <m:oMathPara>
        <m:oMathParaPr>
          <m:jc m:val="center"/>
        </m:oMathParaPr>
        <m:oMath>
          <m:sSub>
            <m:e>
              <m:r>
                <m:t>F</m:t>
              </m:r>
            </m:e>
            <m:sub>
              <m:r>
                <m:t>d</m:t>
              </m:r>
            </m:sub>
          </m:sSub>
          <m:d>
            <m:dPr>
              <m:begChr m:val="("/>
              <m:endChr m:val=")"/>
              <m:sepChr m:val=""/>
              <m:grow/>
            </m:dPr>
            <m:e>
              <m:r>
                <m:t>i</m:t>
              </m:r>
            </m:e>
          </m:d>
          <m:r>
            <m:rPr>
              <m:sty m:val="p"/>
            </m:rPr>
            <m:t>=</m:t>
          </m:r>
          <m:sSub>
            <m:e>
              <m:r>
                <m:t>F</m:t>
              </m:r>
            </m:e>
            <m:sub>
              <m:r>
                <m:t>0</m:t>
              </m:r>
            </m:sub>
          </m:sSub>
          <m:r>
            <m:t>​</m:t>
          </m:r>
          <m:d>
            <m:dPr>
              <m:begChr m:val="("/>
              <m:endChr m:val=")"/>
              <m:sepChr m:val=""/>
              <m:grow/>
            </m:dPr>
            <m:e>
              <m:sSup>
                <m:e>
                  <m:d>
                    <m:dPr>
                      <m:begChr m:val="("/>
                      <m:endChr m:val=")"/>
                      <m:sepChr m:val=""/>
                      <m:grow/>
                    </m:dPr>
                    <m:e>
                      <m:f>
                        <m:fPr>
                          <m:type m:val="bar"/>
                        </m:fPr>
                        <m:num>
                          <m:r>
                            <m:t>d</m:t>
                          </m:r>
                        </m:num>
                        <m:den>
                          <m:r>
                            <m:t>D</m:t>
                          </m:r>
                        </m:den>
                      </m:f>
                    </m:e>
                  </m:d>
                </m:e>
                <m:sup>
                  <m:r>
                    <m:t>η</m:t>
                  </m:r>
                </m:sup>
              </m:sSup>
              <m:r>
                <m:t>i</m:t>
              </m:r>
            </m:e>
          </m:d>
        </m:oMath>
      </m:oMathPara>
    </w:p>
    <w:p>
      <w:pPr>
        <w:pStyle w:val="FirstParagraph"/>
      </w:pPr>
      <w:r>
        <w:t xml:space="preserve">{#eq.cdf-inv-escala}</w:t>
      </w:r>
    </w:p>
    <w:p>
      <w:pPr>
        <w:pStyle w:val="BodyText"/>
      </w:pPr>
      <w:r>
        <w:t xml:space="preserve">e, em sentido amplo, momentos que satisfazem</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t>f</m:t>
          </m:r>
          <m:d>
            <m:dPr>
              <m:begChr m:val="("/>
              <m:endChr m:val=")"/>
              <m:sepChr m:val=""/>
              <m:grow/>
            </m:dPr>
            <m:e>
              <m:r>
                <m:t>q</m:t>
              </m:r>
            </m:e>
          </m:d>
          <m:r>
            <m:t> </m:t>
          </m:r>
          <m:sSup>
            <m:e>
              <m:r>
                <m:t>d</m:t>
              </m:r>
            </m:e>
            <m:sup>
              <m:r>
                <m:rPr>
                  <m:sty m:val="p"/>
                </m:rPr>
                <m:t>−</m:t>
              </m:r>
              <m:r>
                <m:t>η</m:t>
              </m:r>
              <m:r>
                <m:t>q</m:t>
              </m:r>
            </m:sup>
          </m:sSup>
        </m:oMath>
      </m:oMathPara>
    </w:p>
    <w:p>
      <w:pPr>
        <w:pStyle w:val="FirstParagraph"/>
      </w:pPr>
      <w:r>
        <w:t xml:space="preserve">{#eq.momentos-inv-escala}</w:t>
      </w:r>
    </w:p>
    <w:p>
      <w:pPr>
        <w:pStyle w:val="BodyText"/>
      </w:pPr>
      <w:r>
        <w:t xml:space="preserve">Nessa estrutura, ao assumir que a CDF dos extremos tem forma padronizada</w:t>
      </w:r>
      <w:r>
        <w:t xml:space="preserve"> </w:t>
      </w:r>
      <m:oMath>
        <m:r>
          <m:t>F</m:t>
        </m:r>
        <m:r>
          <m:t>​</m:t>
        </m:r>
        <m:d>
          <m:dPr>
            <m:begChr m:val="("/>
            <m:endChr m:val=")"/>
            <m:sepChr m:val=""/>
            <m:grow/>
          </m:dPr>
          <m:e>
            <m:f>
              <m:fPr>
                <m:type m:val="bar"/>
              </m:fPr>
              <m:num>
                <m:r>
                  <m:t>i</m:t>
                </m:r>
                <m:r>
                  <m:rPr>
                    <m:sty m:val="p"/>
                  </m:rPr>
                  <m:t>−</m:t>
                </m:r>
                <m:sSub>
                  <m:e>
                    <m:r>
                      <m:t>μ</m:t>
                    </m:r>
                  </m:e>
                  <m:sub>
                    <m:r>
                      <m:t>d</m:t>
                    </m:r>
                  </m:sub>
                </m:sSub>
              </m:num>
              <m:den>
                <m:sSub>
                  <m:e>
                    <m:r>
                      <m:t>σ</m:t>
                    </m:r>
                  </m:e>
                  <m:sub>
                    <m:r>
                      <m:t>d</m:t>
                    </m:r>
                  </m:sub>
                </m:sSub>
              </m:den>
            </m:f>
          </m:e>
        </m:d>
      </m:oMath>
      <w:r>
        <w:t xml:space="preserve"> </w:t>
      </w:r>
      <w:r>
        <w:t xml:space="preserve">(p.ex., EV1/Gumbel), os parâmetros localização e escala obedecem leis de potência em</w:t>
      </w:r>
      <w:r>
        <w:t xml:space="preserve"> </w:t>
      </w:r>
      <m:oMath>
        <m:r>
          <m:t>d</m:t>
        </m:r>
      </m:oMath>
      <w:r>
        <w:t xml:space="preserve">,</w:t>
      </w:r>
      <w:r>
        <w:t xml:space="preserve"> </w:t>
      </w:r>
      <m:oMath>
        <m:sSub>
          <m:e>
            <m:r>
              <m:t>μ</m:t>
            </m:r>
          </m:e>
          <m:sub>
            <m:r>
              <m:t>d</m:t>
            </m:r>
          </m:sub>
        </m:sSub>
        <m:r>
          <m:rPr>
            <m:sty m:val="p"/>
          </m:rPr>
          <m:t>∝</m:t>
        </m:r>
        <m:sSup>
          <m:e>
            <m:r>
              <m:t>d</m:t>
            </m:r>
          </m:e>
          <m:sup>
            <m:r>
              <m:rPr>
                <m:sty m:val="p"/>
              </m:rPr>
              <m:t>−</m:t>
            </m:r>
            <m:r>
              <m:t>η</m:t>
            </m:r>
          </m:sup>
        </m:sSup>
      </m:oMath>
      <w:r>
        <w:t xml:space="preserve"> </w:t>
      </w:r>
      <w:r>
        <w:t xml:space="preserve">e</w:t>
      </w:r>
      <w:r>
        <w:t xml:space="preserve"> </w:t>
      </w:r>
      <m:oMath>
        <m:sSub>
          <m:e>
            <m:r>
              <m:t>σ</m:t>
            </m:r>
          </m:e>
          <m:sub>
            <m:r>
              <m:t>d</m:t>
            </m:r>
          </m:sub>
        </m:sSub>
        <m:r>
          <m:rPr>
            <m:sty m:val="p"/>
          </m:rPr>
          <m:t>∝</m:t>
        </m:r>
        <m:sSup>
          <m:e>
            <m:r>
              <m:t>d</m:t>
            </m:r>
          </m:e>
          <m:sup>
            <m:r>
              <m:rPr>
                <m:sty m:val="p"/>
              </m:rPr>
              <m:t>−</m:t>
            </m:r>
            <m:r>
              <m:t>η</m:t>
            </m:r>
          </m:sup>
        </m:sSup>
      </m:oMath>
      <w:r>
        <w:t xml:space="preserve">, e a relação IDF resultante é</w:t>
      </w:r>
    </w:p>
    <w:p>
      <w:pPr>
        <w:pStyle w:val="BodyText"/>
      </w:pPr>
      <m:oMathPara>
        <m:oMathParaPr>
          <m:jc m:val="center"/>
        </m:oMathParaPr>
        <m:oMath>
          <m:r>
            <m:t>i</m:t>
          </m:r>
          <m:d>
            <m:dPr>
              <m:begChr m:val="("/>
              <m:endChr m:val=")"/>
              <m:sepChr m:val=""/>
              <m:grow/>
            </m:dPr>
            <m:e>
              <m:r>
                <m:t>d</m:t>
              </m:r>
              <m:r>
                <m:rPr>
                  <m:sty m:val="p"/>
                </m:rPr>
                <m:t>,</m:t>
              </m:r>
              <m:r>
                <m:t>T</m:t>
              </m:r>
            </m:e>
          </m:d>
          <m:r>
            <m:rPr>
              <m:sty m:val="p"/>
            </m:rPr>
            <m:t>=</m:t>
          </m:r>
          <m:f>
            <m:fPr>
              <m:type m:val="bar"/>
            </m:fPr>
            <m:num>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0</m:t>
                  </m:r>
                </m:sup>
              </m:sSup>
            </m:den>
          </m:f>
          <m:r>
            <m:t> </m:t>
          </m:r>
          <m:r>
            <m:rPr>
              <m:sty m:val="p"/>
            </m:rPr>
            <m:t>=</m:t>
          </m:r>
          <m:r>
            <m:t> </m:t>
          </m:r>
          <m:f>
            <m:fPr>
              <m:type m:val="bar"/>
            </m:fPr>
            <m:num>
              <m:r>
                <m:t>μ</m:t>
              </m:r>
              <m:r>
                <m:rPr>
                  <m:sty m:val="p"/>
                </m:rPr>
                <m:t>−</m:t>
              </m:r>
              <m:r>
                <m:t>σ</m:t>
              </m:r>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η</m:t>
                  </m:r>
                </m:sup>
              </m:sSup>
            </m:den>
          </m:f>
        </m:oMath>
      </m:oMathPara>
    </w:p>
    <w:p>
      <w:pPr>
        <w:pStyle w:val="FirstParagraph"/>
      </w:pPr>
      <w:r>
        <w:t xml:space="preserve">{#eq.idf-gumbel-inv-escala}</w:t>
      </w:r>
    </w:p>
    <w:p>
      <w:pPr>
        <w:pStyle w:val="BodyText"/>
      </w:pPr>
      <w:r>
        <w:t xml:space="preserve">válida, empiricamente, de 30 min a 24 h (e, em alguns casos, até 48 h). Além disso, para fixo</w:t>
      </w:r>
      <w:r>
        <w:t xml:space="preserve"> </w:t>
      </w:r>
      <m:oMath>
        <m:r>
          <m:t>T</m:t>
        </m:r>
      </m:oMath>
      <w:r>
        <w:t xml:space="preserve">, os quantis escalam entre durações por</w:t>
      </w:r>
    </w:p>
    <w:p>
      <w:pPr>
        <w:pStyle w:val="BodyText"/>
      </w:pPr>
      <m:oMathPara>
        <m:oMathParaPr>
          <m:jc m:val="center"/>
        </m:oMathParaPr>
        <m:oMath>
          <m:sSub>
            <m:e>
              <m:r>
                <m:t>i</m:t>
              </m:r>
            </m:e>
            <m:sub>
              <m:r>
                <m:t>d</m:t>
              </m:r>
            </m:sub>
          </m:sSub>
          <m:d>
            <m:dPr>
              <m:begChr m:val="("/>
              <m:endChr m:val=")"/>
              <m:sepChr m:val=""/>
              <m:grow/>
            </m:dPr>
            <m:e>
              <m:r>
                <m:t>T</m:t>
              </m:r>
            </m:e>
          </m:d>
          <m:r>
            <m:rPr>
              <m:sty m:val="p"/>
            </m:rPr>
            <m:t>=</m:t>
          </m:r>
          <m:sSup>
            <m:e>
              <m:d>
                <m:dPr>
                  <m:begChr m:val="("/>
                  <m:endChr m:val=")"/>
                  <m:sepChr m:val=""/>
                  <m:grow/>
                </m:dPr>
                <m:e>
                  <m:f>
                    <m:fPr>
                      <m:type m:val="bar"/>
                    </m:fPr>
                    <m:num>
                      <m:r>
                        <m:t>d</m:t>
                      </m:r>
                    </m:num>
                    <m:den>
                      <m:r>
                        <m:t>D</m:t>
                      </m:r>
                    </m:den>
                  </m:f>
                </m:e>
              </m:d>
            </m:e>
            <m:sup>
              <m:r>
                <m:rPr>
                  <m:sty m:val="p"/>
                </m:rPr>
                <m:t>−</m:t>
              </m:r>
              <m:r>
                <m:t>η</m:t>
              </m:r>
            </m:sup>
          </m:sSup>
          <m:sSub>
            <m:e>
              <m:r>
                <m:t>i</m:t>
              </m:r>
            </m:e>
            <m:sub>
              <m:r>
                <m:t>D</m:t>
              </m:r>
            </m:sub>
          </m:sSub>
          <m:d>
            <m:dPr>
              <m:begChr m:val="("/>
              <m:endChr m:val=")"/>
              <m:sepChr m:val=""/>
              <m:grow/>
            </m:dPr>
            <m:e>
              <m:r>
                <m:t>T</m:t>
              </m:r>
            </m:e>
          </m:d>
        </m:oMath>
      </m:oMathPara>
    </w:p>
    <w:p>
      <w:pPr>
        <w:pStyle w:val="FirstParagraph"/>
      </w:pPr>
      <w:r>
        <w:t xml:space="preserve">As verificações com as séries mostram linearidade log–log dos momentos e dos parâmetros</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com declives consistentes</w:t>
      </w:r>
      <w:r>
        <w:t xml:space="preserve"> </w:t>
      </w:r>
      <m:oMath>
        <m:d>
          <m:dPr>
            <m:begChr m:val="("/>
            <m:endChr m:val=")"/>
            <m:sepChr m:val=""/>
            <m:grow/>
          </m:dPr>
          <m:e>
            <m:r>
              <m:t>η</m:t>
            </m:r>
            <m:r>
              <m:rPr>
                <m:sty m:val="p"/>
              </m:rPr>
              <m:t>≈</m:t>
            </m:r>
            <m:r>
              <m:t>0</m:t>
            </m:r>
            <m:r>
              <m:rPr>
                <m:sty m:val="p"/>
              </m:rPr>
              <m:t>,</m:t>
            </m:r>
            <m:r>
              <m:t>65</m:t>
            </m:r>
            <m:r>
              <m:rPr>
                <m:sty m:val="p"/>
              </m:rPr>
              <m:t>–</m:t>
            </m:r>
            <m:r>
              <m:t>0</m:t>
            </m:r>
            <m:r>
              <m:rPr>
                <m:sty m:val="p"/>
              </m:rPr>
              <m:t>,</m:t>
            </m:r>
            <m:r>
              <m:t>780</m:t>
            </m:r>
          </m:e>
        </m:d>
      </m:oMath>
      <w:r>
        <w:t xml:space="preserve">; a Gumbel ajusta bem as CDFs dos máximos ao longo das durações na faixa de escala observada. Como</w:t>
      </w:r>
      <w:r>
        <w:t xml:space="preserve"> </w:t>
      </w:r>
      <m:oMath>
        <m:sSub>
          <m:e>
            <m:r>
              <m:t>i</m:t>
            </m:r>
          </m:e>
          <m:sub>
            <m:r>
              <m:t>d</m:t>
            </m:r>
          </m:sub>
        </m:sSub>
        <m:d>
          <m:dPr>
            <m:begChr m:val="("/>
            <m:endChr m:val=")"/>
            <m:sepChr m:val=""/>
            <m:grow/>
          </m:dPr>
          <m:e>
            <m:r>
              <m:t>T</m:t>
            </m:r>
          </m:e>
        </m:d>
      </m:oMath>
      <w:r>
        <w:t xml:space="preserve"> </w:t>
      </w:r>
      <w:r>
        <w:t xml:space="preserve">e</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obedecem leis de potência em</w:t>
      </w:r>
      <w:r>
        <w:t xml:space="preserve"> </w:t>
      </w:r>
      <m:oMath>
        <m:r>
          <m:t>d</m:t>
        </m:r>
      </m:oMath>
      <w:r>
        <w:t xml:space="preserve">, pode-se transferir quantis entre durações sem recorrer a geradores complexos: estima-se</w:t>
      </w:r>
      <w:r>
        <w:t xml:space="preserve"> </w:t>
      </w:r>
      <m:oMath>
        <m:d>
          <m:dPr>
            <m:begChr m:val="("/>
            <m:endChr m:val=")"/>
            <m:sepChr m:val=""/>
            <m:grow/>
          </m:dPr>
          <m:e>
            <m:r>
              <m:t>μ</m:t>
            </m:r>
            <m:r>
              <m:rPr>
                <m:sty m:val="p"/>
              </m:rPr>
              <m:t>,</m:t>
            </m:r>
            <m:r>
              <m:t>σ</m:t>
            </m:r>
          </m:e>
        </m:d>
      </m:oMath>
      <w:r>
        <w:t xml:space="preserve"> </w:t>
      </w:r>
      <w:r>
        <w:t xml:space="preserve">em 24 h a partir de séries diárias longas, estima-se</w:t>
      </w:r>
      <w:r>
        <w:t xml:space="preserve"> </w:t>
      </w:r>
      <m:oMath>
        <m:r>
          <m:t>η</m:t>
        </m:r>
      </m:oMath>
      <w:r>
        <w:t xml:space="preserve"> </w:t>
      </w:r>
      <w:r>
        <w:t xml:space="preserve">com uma curta série subdiária local/regional, e então obtêm-se quantis para</w:t>
      </w:r>
      <w:r>
        <w:t xml:space="preserve"> </w:t>
      </w:r>
      <m:oMath>
        <m:r>
          <m:t>d</m:t>
        </m:r>
        <m:r>
          <m:rPr>
            <m:sty m:val="p"/>
          </m:rPr>
          <m:t>&lt;</m:t>
        </m:r>
        <m:r>
          <m:t>24</m:t>
        </m:r>
      </m:oMath>
      <w:r>
        <w:t xml:space="preserve"> </w:t>
      </w:r>
      <w:r>
        <w:t xml:space="preserve">via</w:t>
      </w:r>
      <w:r>
        <w:t xml:space="preserve"> </w:t>
      </w:r>
      <m:oMath>
        <m:sSub>
          <m:e>
            <m:r>
              <m:t>i</m:t>
            </m:r>
          </m:e>
          <m:sub>
            <m:r>
              <m:t>d</m:t>
            </m:r>
          </m:sub>
        </m:sSub>
        <m:d>
          <m:dPr>
            <m:begChr m:val="("/>
            <m:endChr m:val=")"/>
            <m:sepChr m:val=""/>
            <m:grow/>
          </m:dPr>
          <m:e>
            <m:r>
              <m:t>T</m:t>
            </m:r>
          </m:e>
        </m:d>
        <m:r>
          <m:rPr>
            <m:sty m:val="p"/>
          </m:rPr>
          <m:t>=</m:t>
        </m:r>
        <m:sSup>
          <m:e>
            <m:d>
              <m:dPr>
                <m:begChr m:val="("/>
                <m:endChr m:val=")"/>
                <m:sepChr m:val=""/>
                <m:grow/>
              </m:dPr>
              <m:e>
                <m:r>
                  <m:t>d</m:t>
                </m:r>
                <m:r>
                  <m:rPr>
                    <m:sty m:val="p"/>
                  </m:rPr>
                  <m:t>/</m:t>
                </m:r>
                <m:r>
                  <m:t>24</m:t>
                </m:r>
                <m:r>
                  <m:rPr>
                    <m:sty m:val="p"/>
                  </m:rPr>
                  <m:t>h</m:t>
                </m:r>
              </m:e>
            </m:d>
          </m:e>
          <m:sup>
            <m:r>
              <m:rPr>
                <m:sty m:val="p"/>
              </m:rPr>
              <m:t>−</m:t>
            </m:r>
            <m:r>
              <m:t>η</m:t>
            </m:r>
          </m:sup>
        </m:sSup>
        <m:r>
          <m:rPr>
            <m:sty m:val="p"/>
          </m:rPr>
          <m:t>⋅</m:t>
        </m:r>
        <m:sSub>
          <m:e>
            <m:r>
              <m:t>i</m:t>
            </m:r>
          </m:e>
          <m:sub>
            <m:r>
              <m:t>24</m:t>
            </m:r>
            <m:r>
              <m:rPr>
                <m:sty m:val="p"/>
              </m:rPr>
              <m:t>h</m:t>
            </m:r>
          </m:sub>
        </m:sSub>
        <m:d>
          <m:dPr>
            <m:begChr m:val="("/>
            <m:endChr m:val=")"/>
            <m:sepChr m:val=""/>
            <m:grow/>
          </m:dPr>
          <m:e>
            <m:r>
              <m:t>T</m:t>
            </m:r>
          </m:e>
        </m:d>
      </m:oMath>
      <w:r>
        <w:t xml:space="preserve"> </w:t>
      </w:r>
      <w:r>
        <w:t xml:space="preserve">ou diretamente pela fórmula IDF acima. Essa coerência multiescala fornece um mapeamento determinístico útil para downscaling de extremos de durações subdiárias a partir de informação diária, mantendo a consistência entre durações exigida por DDF/IDF baseadas em invariância de escala.</w:t>
      </w:r>
    </w:p>
    <w:p>
      <w:pPr>
        <w:pStyle w:val="BodyText"/>
      </w:pPr>
      <w:r>
        <w:t xml:space="preserve">Consolidando esse avanço, Gupta &amp; Waymire (1999) estabeleceram a base teórica do multiescalonamento (</w:t>
      </w:r>
      <w:r>
        <w:rPr>
          <w:i/>
          <w:iCs/>
        </w:rPr>
        <w:t xml:space="preserve">multiscaling</w:t>
      </w:r>
      <w:r>
        <w:t xml:space="preserve">) em hidrologia ao demonstrar que (i) momentos de precipitação e vazões exibem linearidade em gráficos log–log com a escala</w:t>
      </w:r>
      <w:r>
        <w:t xml:space="preserve"> </w:t>
      </w:r>
      <m:oMath>
        <m:r>
          <m:t>λ</m:t>
        </m:r>
      </m:oMath>
      <w:r>
        <w:t xml:space="preserve"> </w:t>
      </w:r>
      <w:r>
        <w:t xml:space="preserve">e que (ii) a inclinação desses gráficos varia de forma côncava com a ordem do momento (</w:t>
      </w:r>
      <m:oMath>
        <m:r>
          <m:t>h</m:t>
        </m:r>
      </m:oMath>
      <w:r>
        <w:t xml:space="preserve">). Em escala simples (wide sense), os momentos condicionados seguem</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sSub>
            <m:e>
              <m:r>
                <m:t>a</m:t>
              </m:r>
            </m:e>
            <m:sub>
              <m:r>
                <m:t>h</m:t>
              </m:r>
            </m:sub>
          </m:sSub>
          <m:r>
            <m:rPr>
              <m:sty m:val="p"/>
            </m:rPr>
            <m:t>+</m:t>
          </m:r>
          <m:r>
            <m:t> </m:t>
          </m:r>
          <m:sSub>
            <m:e>
              <m:r>
                <m:t>θ</m:t>
              </m:r>
            </m:e>
            <m:sub>
              <m:r>
                <m:t>h</m:t>
              </m:r>
            </m:sub>
          </m:sSub>
          <m:r>
            <m:t> </m:t>
          </m:r>
          <m:r>
            <m:rPr>
              <m:sty m:val="p"/>
            </m:rPr>
            <m:t>log</m:t>
          </m:r>
          <m:r>
            <m:t>λ</m:t>
          </m:r>
        </m:oMath>
      </m:oMathPara>
    </w:p>
    <w:p>
      <w:pPr>
        <w:pStyle w:val="FirstParagraph"/>
      </w:pPr>
      <w:r>
        <w:t xml:space="preserve">onde</w:t>
      </w:r>
      <w:r>
        <w:t xml:space="preserve"> </w:t>
      </w:r>
      <m:oMath>
        <m:sSub>
          <m:e>
            <m:r>
              <m:t>m</m:t>
            </m:r>
          </m:e>
          <m:sub>
            <m:r>
              <m:t>h</m:t>
            </m:r>
          </m:sub>
        </m:sSub>
        <m:d>
          <m:dPr>
            <m:begChr m:val="("/>
            <m:endChr m:val=")"/>
            <m:sepChr m:val=""/>
            <m:grow/>
          </m:dPr>
          <m:e>
            <m:r>
              <m:t>λ</m:t>
            </m:r>
          </m:e>
        </m:d>
      </m:oMath>
      <w:r>
        <w:t xml:space="preserve"> </w:t>
      </w:r>
      <w:r>
        <w:t xml:space="preserve">é o momento de ordem</w:t>
      </w:r>
      <w:r>
        <w:t xml:space="preserve"> </w:t>
      </w:r>
      <m:oMath>
        <m:r>
          <m:t>h</m:t>
        </m:r>
      </m:oMath>
      <w:r>
        <w:t xml:space="preserve"> </w:t>
      </w:r>
      <w:r>
        <w:t xml:space="preserve">da precipitação acumulada,</w:t>
      </w:r>
      <w:r>
        <w:t xml:space="preserve"> </w:t>
      </w:r>
      <m:oMath>
        <m:sSub>
          <m:e>
            <m:r>
              <m:t>a</m:t>
            </m:r>
          </m:e>
          <m:sub>
            <m:r>
              <m:t>h</m:t>
            </m:r>
          </m:sub>
        </m:sSub>
      </m:oMath>
      <w:r>
        <w:t xml:space="preserve"> </w:t>
      </w:r>
      <w:r>
        <w:t xml:space="preserve">é intercepto logarítmico na lei de escala simples e</w:t>
      </w:r>
      <w:r>
        <w:t xml:space="preserve"> </w:t>
      </w:r>
      <m:oMath>
        <m:sSub>
          <m:e>
            <m:r>
              <m:t>θ</m:t>
            </m:r>
          </m:e>
          <m:sub>
            <m:r>
              <m:t>h</m:t>
            </m:r>
          </m:sub>
        </m:sSub>
      </m:oMath>
      <w:r>
        <w:t xml:space="preserve"> </w:t>
      </w:r>
      <w:r>
        <w:t xml:space="preserve">é o expoente de escala. No multiescalamento (wide sense) a relação geral é</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r>
            <m:t>s</m:t>
          </m:r>
          <m:d>
            <m:dPr>
              <m:begChr m:val="("/>
              <m:endChr m:val=")"/>
              <m:sepChr m:val=""/>
              <m:grow/>
            </m:dPr>
            <m:e>
              <m:r>
                <m:t>h</m:t>
              </m:r>
            </m:e>
          </m:d>
          <m:r>
            <m:t> </m:t>
          </m:r>
          <m:r>
            <m:rPr>
              <m:sty m:val="p"/>
            </m:rPr>
            <m:t>log</m:t>
          </m:r>
          <m:r>
            <m:t>λ</m:t>
          </m:r>
          <m:r>
            <m:rPr>
              <m:sty m:val="p"/>
            </m:rPr>
            <m:t>+</m:t>
          </m:r>
          <m:r>
            <m:rPr>
              <m:sty m:val="p"/>
            </m:rPr>
            <m:t>log</m:t>
          </m:r>
          <m:sSub>
            <m:e>
              <m:r>
                <m:t>m</m:t>
              </m:r>
            </m:e>
            <m:sub>
              <m:r>
                <m:t>h</m:t>
              </m:r>
            </m:sub>
          </m:sSub>
          <m:d>
            <m:dPr>
              <m:begChr m:val="("/>
              <m:endChr m:val=")"/>
              <m:sepChr m:val=""/>
              <m:grow/>
            </m:dPr>
            <m:e>
              <m:r>
                <m:t>1</m:t>
              </m:r>
            </m:e>
          </m:d>
        </m:oMath>
      </m:oMathPara>
    </w:p>
    <w:p>
      <w:pPr>
        <w:pStyle w:val="FirstParagraph"/>
      </w:pPr>
      <w:r>
        <w:t xml:space="preserve">com</w:t>
      </w:r>
      <w:r>
        <w:t xml:space="preserve"> </w:t>
      </w:r>
      <m:oMath>
        <m:r>
          <m:t>s</m:t>
        </m:r>
        <m:d>
          <m:dPr>
            <m:begChr m:val="("/>
            <m:endChr m:val=")"/>
            <m:sepChr m:val=""/>
            <m:grow/>
          </m:dPr>
          <m:e>
            <m:r>
              <m:t>h</m:t>
            </m:r>
          </m:e>
        </m:d>
      </m:oMath>
      <w:r>
        <w:t xml:space="preserve"> </w:t>
      </w:r>
      <w:r>
        <w:t xml:space="preserve">não linear e côncava, capturando a intensificação de variabilidade ao ir para escalas menores e implicando irreversibilidade de escala (a lei vale para</w:t>
      </w:r>
      <w:r>
        <w:t xml:space="preserve"> </w:t>
      </w:r>
      <m:oMath>
        <m:r>
          <m:t>λ</m:t>
        </m:r>
        <m:r>
          <m:rPr>
            <m:sty m:val="p"/>
          </m:rPr>
          <m:t>&lt;</m:t>
        </m:r>
        <m:r>
          <m:t>1</m:t>
        </m:r>
      </m:oMath>
      <w:r>
        <w:t xml:space="preserve">, mas não simultaneamente para</w:t>
      </w:r>
      <w:r>
        <w:t xml:space="preserve"> </w:t>
      </w:r>
      <m:oMath>
        <m:r>
          <m:t>λ</m:t>
        </m:r>
        <m:r>
          <m:rPr>
            <m:sty m:val="p"/>
          </m:rPr>
          <m:t>&gt;</m:t>
        </m:r>
        <m:r>
          <m:t>1</m:t>
        </m:r>
      </m:oMath>
      <w:r>
        <w:t xml:space="preserve">). Esse arcabouço fornece o fundamento matemático de modelos multifractais/cascatas aplicados posteriormente à chuva e à vazão e sustenta, de modo formal, extensões além da escala simples.</w:t>
      </w:r>
    </w:p>
    <w:p>
      <w:pPr>
        <w:pStyle w:val="BodyText"/>
      </w:pPr>
      <w:r>
        <w:t xml:space="preserve">A fusão do princípio de escala com a Teoria dos Valores Extremos (EVT) produz os modelos GEV-scaling (ou GUM/GEV com scaling). Nguyen et al. (1998) introduzem uma metodologia para estimar extremos de curta duração (p.ex., 1 h) em locais com dados apenas de duração mais longa (p.ex., diário), ancorada em invariância de escala e na distribuição GEV dos máximos. A noção de escala simples é formulada pela relação de escalonamento</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 </m:t>
          </m:r>
          <m:r>
            <m:t>f</m:t>
          </m:r>
          <m:d>
            <m:dPr>
              <m:begChr m:val="("/>
              <m:endChr m:val=")"/>
              <m:sepChr m:val=""/>
              <m:grow/>
            </m:dPr>
            <m:e>
              <m:r>
                <m:t>λ</m:t>
              </m:r>
              <m:r>
                <m:t>x</m:t>
              </m:r>
            </m:e>
          </m:d>
          <m:r>
            <m:t> </m:t>
          </m:r>
          <m:r>
            <m:t> </m:t>
          </m:r>
          <m:r>
            <m:rPr>
              <m:sty m:val="p"/>
            </m:rPr>
            <m:t>⇒</m:t>
          </m:r>
          <m:r>
            <m:t> </m:t>
          </m:r>
          <m:r>
            <m:t> </m:t>
          </m:r>
          <m:r>
            <m:t>f</m:t>
          </m:r>
          <m:d>
            <m:dPr>
              <m:begChr m:val="("/>
              <m:endChr m:val=")"/>
              <m:sepChr m:val=""/>
              <m:grow/>
            </m:dPr>
            <m:e>
              <m:r>
                <m:t>x</m:t>
              </m:r>
            </m:e>
          </m:d>
          <m:r>
            <m:rPr>
              <m:sty m:val="p"/>
            </m:rPr>
            <m:t>=</m:t>
          </m:r>
          <m:sSup>
            <m:e>
              <m:r>
                <m:t>x</m:t>
              </m:r>
            </m:e>
            <m:sup>
              <m:r>
                <m:t>η</m:t>
              </m:r>
              <m:d>
                <m:dPr>
                  <m:begChr m:val="("/>
                  <m:endChr m:val=")"/>
                  <m:sepChr m:val=""/>
                  <m:grow/>
                </m:dPr>
                <m:e>
                  <m:r>
                    <m:t>k</m:t>
                  </m:r>
                </m:e>
              </m:d>
            </m:sup>
          </m:sSup>
          <m:r>
            <m:t>f</m:t>
          </m:r>
          <m:d>
            <m:dPr>
              <m:begChr m:val="("/>
              <m:endChr m:val=")"/>
              <m:sepChr m:val=""/>
              <m:grow/>
            </m:dPr>
            <m:e>
              <m:r>
                <m:t>1</m:t>
              </m:r>
            </m:e>
          </m:d>
        </m:oMath>
      </m:oMathPara>
    </w:p>
    <w:p>
      <w:pPr>
        <w:pStyle w:val="FirstParagraph"/>
      </w:pPr>
      <w:r>
        <w:t xml:space="preserve">{#eq.inv-escala-nguyen}</w:t>
      </w:r>
    </w:p>
    <w:p>
      <w:pPr>
        <w:pStyle w:val="BodyText"/>
      </w:pPr>
      <w:r>
        <w:t xml:space="preserve">Observe que, se o expoente</w:t>
      </w:r>
      <w:r>
        <w:t xml:space="preserve"> </w:t>
      </w:r>
      <m:oMath>
        <m:r>
          <m:t>η</m:t>
        </m:r>
        <m:d>
          <m:dPr>
            <m:begChr m:val="("/>
            <m:endChr m:val=")"/>
            <m:sepChr m:val=""/>
            <m:grow/>
          </m:dPr>
          <m:e>
            <m:r>
              <m:t>k</m:t>
            </m:r>
          </m:e>
        </m:d>
      </m:oMath>
      <w:r>
        <w:t xml:space="preserve"> </w:t>
      </w:r>
      <w:r>
        <w:t xml:space="preserve">não for uma função linear de</w:t>
      </w:r>
      <w:r>
        <w:t xml:space="preserve"> </w:t>
      </w:r>
      <m:oMath>
        <m:r>
          <m:t>k</m:t>
        </m:r>
      </m:oMath>
      <w:r>
        <w:t xml:space="preserve">, nesses casos diz-se que o processo apresenta multiescalamento (</w:t>
      </w:r>
      <w:r>
        <w:t xml:space="preserve">“multiscaling”</w:t>
      </w:r>
      <w:r>
        <w:t xml:space="preserve">). Na prática, trabalha-se com séries de máximos anuais em várias durações e verifica-se regressão linear log–log dos momentos vs. duração para identificar o(s) regime(s) de escala.</w:t>
      </w:r>
    </w:p>
    <w:p>
      <w:pPr>
        <w:pStyle w:val="BodyText"/>
      </w:pPr>
      <w:r>
        <w:t xml:space="preserve">A GEV é adotada para modelar a distribuição dos máximos com parâmetros de localização</w:t>
      </w:r>
      <w:r>
        <w:t xml:space="preserve"> </w:t>
      </w:r>
      <m:oMath>
        <m:r>
          <m:t>μ</m:t>
        </m:r>
      </m:oMath>
      <w:r>
        <w:t xml:space="preserve">, escala</w:t>
      </w:r>
      <w:r>
        <w:t xml:space="preserve"> </w:t>
      </w:r>
      <m:oMath>
        <m:r>
          <m:t>σ</m:t>
        </m:r>
      </m:oMath>
      <w:r>
        <w:t xml:space="preserve"> </w:t>
      </w:r>
      <w:r>
        <w:t xml:space="preserve">e forma</w:t>
      </w:r>
      <w:r>
        <w:t xml:space="preserve"> </w:t>
      </w:r>
      <m:oMath>
        <m:r>
          <m:t>ξ</m:t>
        </m:r>
      </m:oMath>
      <w:r>
        <w:t xml:space="preserve">:</w:t>
      </w:r>
    </w:p>
    <w:p>
      <w:pPr>
        <w:pStyle w:val="BodyText"/>
      </w:pPr>
      <m:oMathPara>
        <m:oMathParaPr>
          <m:jc m:val="center"/>
        </m:oMathParaPr>
        <m:oMath>
          <m:r>
            <m:t>G</m:t>
          </m:r>
          <m:d>
            <m:dPr>
              <m:begChr m:val="("/>
              <m:endChr m:val=")"/>
              <m:sepChr m:val=""/>
              <m:grow/>
            </m:dPr>
            <m:e>
              <m:r>
                <m:t>z</m:t>
              </m:r>
              <m:r>
                <m:rPr>
                  <m:sty m:val="p"/>
                </m:rPr>
                <m:t>;</m:t>
              </m:r>
              <m:r>
                <m:t>μ</m:t>
              </m:r>
              <m:r>
                <m:rPr>
                  <m:sty m:val="p"/>
                </m:rPr>
                <m:t>,</m:t>
              </m:r>
              <m:r>
                <m:t>σ</m:t>
              </m:r>
              <m:r>
                <m:rPr>
                  <m:sty m:val="p"/>
                </m:rPr>
                <m:t>,</m:t>
              </m:r>
              <m:r>
                <m:t>ξ</m:t>
              </m:r>
            </m:e>
          </m:d>
          <m:r>
            <m:rPr>
              <m:sty m:val="p"/>
            </m:rPr>
            <m:t>=</m:t>
          </m:r>
          <m:r>
            <m:rPr>
              <m:sty m:val="p"/>
            </m:rPr>
            <m:t>exp</m:t>
          </m:r>
          <m:d>
            <m:dPr>
              <m:begChr m:val="("/>
              <m:endChr m:val=")"/>
              <m:sepChr m:val=""/>
              <m:grow/>
            </m:dPr>
            <m:e>
              <m:r>
                <m:rPr>
                  <m:sty m:val="p"/>
                </m:rPr>
                <m:t>−</m:t>
              </m:r>
              <m:sSup>
                <m:e>
                  <m:d>
                    <m:dPr>
                      <m:begChr m:val="["/>
                      <m:endChr m:val="]"/>
                      <m:sepChr m:val=""/>
                      <m:grow/>
                    </m:dPr>
                    <m:e>
                      <m:r>
                        <m:t>1</m:t>
                      </m:r>
                      <m:r>
                        <m:rPr>
                          <m:sty m:val="p"/>
                        </m:rPr>
                        <m:t>+</m:t>
                      </m:r>
                      <m:r>
                        <m:t>ξ</m:t>
                      </m:r>
                      <m:r>
                        <m:t> </m:t>
                      </m:r>
                      <m:f>
                        <m:fPr>
                          <m:type m:val="bar"/>
                        </m:fPr>
                        <m:num>
                          <m:r>
                            <m:t>z</m:t>
                          </m:r>
                          <m:r>
                            <m:rPr>
                              <m:sty m:val="p"/>
                            </m:rPr>
                            <m:t>−</m:t>
                          </m:r>
                          <m:r>
                            <m:t>μ</m:t>
                          </m:r>
                        </m:num>
                        <m:den>
                          <m:r>
                            <m:t>σ</m:t>
                          </m:r>
                        </m:den>
                      </m:f>
                    </m:e>
                  </m:d>
                </m:e>
                <m:sup>
                  <m:r>
                    <m:rPr>
                      <m:sty m:val="p"/>
                    </m:rPr>
                    <m:t>−</m:t>
                  </m:r>
                  <m:r>
                    <m:t>1</m:t>
                  </m:r>
                  <m:r>
                    <m:rPr>
                      <m:sty m:val="p"/>
                    </m:rPr>
                    <m:t>/</m:t>
                  </m:r>
                  <m:r>
                    <m:t>ξ</m:t>
                  </m:r>
                </m:sup>
              </m:sSup>
            </m:e>
          </m:d>
          <m:r>
            <m:rPr>
              <m:sty m:val="p"/>
            </m:rPr>
            <m:t>,</m:t>
          </m:r>
          <m:r>
            <m:t>  </m:t>
          </m:r>
          <m:r>
            <m:t>1</m:t>
          </m:r>
          <m:r>
            <m:rPr>
              <m:sty m:val="p"/>
            </m:rPr>
            <m:t>+</m:t>
          </m:r>
          <m:r>
            <m:t>ξ</m:t>
          </m:r>
          <m:r>
            <m:rPr>
              <m:sty m:val="p"/>
            </m:rPr>
            <m:t>,</m:t>
          </m:r>
          <m:f>
            <m:fPr>
              <m:type m:val="bar"/>
            </m:fPr>
            <m:num>
              <m:r>
                <m:t>z</m:t>
              </m:r>
              <m:r>
                <m:rPr>
                  <m:sty m:val="p"/>
                </m:rPr>
                <m:t>−</m:t>
              </m:r>
              <m:r>
                <m:t>μ</m:t>
              </m:r>
            </m:num>
            <m:den>
              <m:r>
                <m:t>σ</m:t>
              </m:r>
            </m:den>
          </m:f>
          <m:r>
            <m:rPr>
              <m:sty m:val="p"/>
            </m:rPr>
            <m:t>&gt;</m:t>
          </m:r>
          <m:r>
            <m:t>0</m:t>
          </m:r>
          <m:r>
            <m:rPr>
              <m:sty m:val="p"/>
            </m:rPr>
            <m:t>,</m:t>
          </m:r>
          <m:r>
            <m:t>σ</m:t>
          </m:r>
          <m:r>
            <m:rPr>
              <m:sty m:val="p"/>
            </m:rPr>
            <m:t>&gt;</m:t>
          </m:r>
          <m:r>
            <m:t>0</m:t>
          </m:r>
          <m:r>
            <m:rPr>
              <m:sty m:val="p"/>
            </m:rPr>
            <m:t>.</m:t>
          </m:r>
        </m:oMath>
      </m:oMathPara>
    </w:p>
    <w:p>
      <w:pPr>
        <w:pStyle w:val="FirstParagraph"/>
      </w:pPr>
      <w:r>
        <w:t xml:space="preserve">{#eq.cdf-gev}</w:t>
      </w:r>
    </w:p>
    <w:p>
      <w:pPr>
        <w:pStyle w:val="BodyText"/>
      </w:pPr>
      <w:r>
        <w:t xml:space="preserve">A distribuição de valores extremos generalizada (GEV) tem se mostrado capaz de modelar bem os máximos anuais de precipitação. Estudos como o de Nguyen et al. (1998) combinaram GEV e a invariância para estimar para estimar a distribuição de precipitações extremas de curta duração (por exemplo, 1 hora) em locais onde não existem dados para o intervalo de tempo de interesse, mas onde há disponibilidade de dados de precipitação de maior duração (por exemplo, 1 dia), caracterizando os chamados locais parcialmente monitorados.</w:t>
      </w:r>
    </w:p>
    <w:p>
      <w:pPr>
        <w:pStyle w:val="BodyText"/>
      </w:pPr>
      <w:r>
        <w:t xml:space="preserve">Em Yu et al (2004), a desagregação estatística de extremos é estruturada sobre o princípio de invariância de escala simples (Menabde et al., 1999), já estabelecido na literatura de escalonamento de máximos: se</w:t>
      </w:r>
      <w:r>
        <w:t xml:space="preserve"> </w:t>
      </w:r>
      <m:oMath>
        <m:sSub>
          <m:e>
            <m:r>
              <m:t>I</m:t>
            </m:r>
          </m:e>
          <m:sub>
            <m:r>
              <m:t>d</m:t>
            </m:r>
          </m:sub>
        </m:sSub>
      </m:oMath>
      <w:r>
        <w:t xml:space="preserve"> </w:t>
      </w:r>
      <w:r>
        <w:t xml:space="preserve">é o máximo anual de intensidade na duração</w:t>
      </w:r>
      <w:r>
        <w:t xml:space="preserve"> </w:t>
      </w:r>
      <m:oMath>
        <m:r>
          <m:t>d</m:t>
        </m:r>
      </m:oMath>
      <w:r>
        <w:t xml:space="preserve">, então</w:t>
      </w:r>
      <w:r>
        <w:t xml:space="preserve"> </w:t>
      </w:r>
      <m:oMath>
        <m:sSub>
          <m:e>
            <m:r>
              <m:t>I</m:t>
            </m:r>
          </m:e>
          <m:sub>
            <m:r>
              <m:t>λ</m:t>
            </m:r>
            <m:r>
              <m:t>d</m:t>
            </m:r>
          </m:sub>
        </m:sSub>
        <m:limUpp>
          <m:e>
            <m:r>
              <m:rPr>
                <m:sty m:val="p"/>
              </m:rPr>
              <m:t>=</m:t>
            </m:r>
          </m:e>
          <m:lim>
            <m:r>
              <m:t>d</m:t>
            </m:r>
          </m:lim>
        </m:limUpp>
        <m:sSup>
          <m:e>
            <m:r>
              <m:t>λ</m:t>
            </m:r>
          </m:e>
          <m:sup>
            <m:r>
              <m:t> </m:t>
            </m:r>
            <m:r>
              <m:t>η</m:t>
            </m:r>
          </m:sup>
        </m:sSup>
        <m:sSub>
          <m:e>
            <m:r>
              <m:t>I</m:t>
            </m:r>
          </m:e>
          <m:sub>
            <m:r>
              <m:t>d</m:t>
            </m:r>
          </m:sub>
        </m:sSub>
      </m:oMath>
      <w:r>
        <w:t xml:space="preserve">, com</w:t>
      </w:r>
      <w:r>
        <w:t xml:space="preserve"> </w:t>
      </w:r>
      <m:oMath>
        <m:r>
          <m:t>η</m:t>
        </m:r>
      </m:oMath>
      <w:r>
        <w:t xml:space="preserve"> </w:t>
      </w:r>
      <w:r>
        <w:t xml:space="preserve">o expoente de escala (tipicamente negativo). Com base nessa formulação, os autores ajustam EV1/Gumbel pelo método dos momentos ponderados por probabilidade (PMW) na duração de referência (24 h ou 1 dia), estimando os parâmetros de localização e escala</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e transportando-os entre durações pela mesma lei de potência,</w:t>
      </w:r>
      <w:r>
        <w:t xml:space="preserve"> </w:t>
      </w:r>
      <m:oMath>
        <m:sSub>
          <m:e>
            <m:r>
              <m:t>μ</m:t>
            </m:r>
          </m:e>
          <m:sub>
            <m:r>
              <m:t>λ</m:t>
            </m:r>
            <m:r>
              <m:t>d</m:t>
            </m:r>
          </m:sub>
        </m:sSub>
        <m:r>
          <m:rPr>
            <m:sty m:val="p"/>
          </m:rPr>
          <m:t>=</m:t>
        </m:r>
        <m:sSup>
          <m:e>
            <m:r>
              <m:t>λ</m:t>
            </m:r>
          </m:e>
          <m:sup>
            <m:r>
              <m:t> </m:t>
            </m:r>
            <m:r>
              <m:t>η</m:t>
            </m:r>
          </m:sup>
        </m:sSup>
        <m:sSub>
          <m:e>
            <m:r>
              <m:t>μ</m:t>
            </m:r>
          </m:e>
          <m:sub>
            <m:r>
              <m:t>d</m:t>
            </m:r>
          </m:sub>
        </m:sSub>
      </m:oMath>
      <w:r>
        <w:t xml:space="preserve"> </w:t>
      </w:r>
      <w:r>
        <w:t xml:space="preserve">e</w:t>
      </w:r>
      <w:r>
        <w:t xml:space="preserve"> </w:t>
      </w:r>
      <m:oMath>
        <m:sSub>
          <m:e>
            <m:r>
              <m:t>σ</m:t>
            </m:r>
          </m:e>
          <m:sub>
            <m:r>
              <m:t>λ</m:t>
            </m:r>
            <m:r>
              <m:t>d</m:t>
            </m:r>
          </m:sub>
        </m:sSub>
        <m:r>
          <m:rPr>
            <m:sty m:val="p"/>
          </m:rPr>
          <m:t>=</m:t>
        </m:r>
        <m:sSup>
          <m:e>
            <m:r>
              <m:t>λ</m:t>
            </m:r>
          </m:e>
          <m:sup>
            <m:r>
              <m:t> </m:t>
            </m:r>
            <m:r>
              <m:t>η</m:t>
            </m:r>
          </m:sup>
        </m:sSup>
        <m:sSub>
          <m:e>
            <m:r>
              <m:t>σ</m:t>
            </m:r>
          </m:e>
          <m:sub>
            <m:r>
              <m:t>d</m:t>
            </m:r>
          </m:sub>
        </m:sSub>
      </m:oMath>
      <w:r>
        <w:t xml:space="preserve">; como consequência, os quantis por período de retorno também escalam, permitindo estimar extremos subdiários mesmo quando só há dados diários longos na base. Os autores quantificam a diferença sistemática entre máximos de 24 h e de 1 dia de calendário e introduzem um fator de correção único</w:t>
      </w:r>
      <w:r>
        <w:t xml:space="preserve"> </w:t>
      </w:r>
      <m:oMath>
        <m:sSub>
          <m:e>
            <m:r>
              <m:t>d</m:t>
            </m:r>
          </m:e>
          <m:sub>
            <m:r>
              <m:t>c</m:t>
            </m:r>
          </m:sub>
        </m:sSub>
        <m:r>
          <m:rPr>
            <m:sty m:val="p"/>
          </m:rPr>
          <m:t>≈</m:t>
        </m:r>
        <m:r>
          <m:t>1</m:t>
        </m:r>
        <m:r>
          <m:rPr>
            <m:sty m:val="p"/>
          </m:rPr>
          <m:t>,</m:t>
        </m:r>
        <m:r>
          <m:t>112</m:t>
        </m:r>
      </m:oMath>
      <w:r>
        <w:t xml:space="preserve"> </w:t>
      </w:r>
      <w:r>
        <w:t xml:space="preserve">para transportar</w:t>
      </w:r>
      <w:r>
        <w:t xml:space="preserve"> </w:t>
      </w:r>
      <m:oMath>
        <m:d>
          <m:dPr>
            <m:begChr m:val="("/>
            <m:endChr m:val=")"/>
            <m:sepChr m:val=""/>
            <m:grow/>
          </m:dPr>
          <m:e>
            <m:r>
              <m:t>μ</m:t>
            </m:r>
            <m:r>
              <m:rPr>
                <m:sty m:val="p"/>
              </m:rPr>
              <m:t>,</m:t>
            </m:r>
            <m:r>
              <m:t>σ</m:t>
            </m:r>
          </m:e>
        </m:d>
      </m:oMath>
      <w:r>
        <w:t xml:space="preserve"> </w:t>
      </w:r>
      <w:r>
        <w:t xml:space="preserve">e quantis entre essas duas bases, viabilizando o uso direto de séries diárias. Em seguida, mostram que o escalonamento é por trechos e incorporam pontos de ruptura (4 h ou 8 h), com continuidade garantida pela transformação dos parâmetros de 24 h para 4 h ou 8 h antes de prosseguir o reescalonamento.</w:t>
      </w:r>
      <w:r>
        <w:t xml:space="preserve"> </w:t>
      </w:r>
    </w:p>
    <w:p>
      <w:pPr>
        <w:pStyle w:val="BodyText"/>
      </w:pPr>
      <w:r>
        <w:t xml:space="preserve">Borga et al. (2005) aplicam a invariância de escala a séries de máximos anuais de profundidade de chuva em múltiplas durações para derivar uma DDF simples em rede densa nos Alpes italianos. Partem da relação de escala simples em sentido estrito para o máximo anual de duração</w:t>
      </w:r>
      <w:r>
        <w:t xml:space="preserve"> </w:t>
      </w:r>
      <m:oMath>
        <m:r>
          <m:t>D</m:t>
        </m:r>
      </m:oMath>
      <w:r>
        <w:t xml:space="preserve">,</w:t>
      </w:r>
      <w:r>
        <w:t xml:space="preserve"> </w:t>
      </w:r>
      <m:oMath>
        <m:r>
          <m:t>h</m:t>
        </m:r>
        <m:d>
          <m:dPr>
            <m:begChr m:val="("/>
            <m:endChr m:val=")"/>
            <m:sepChr m:val=""/>
            <m:grow/>
          </m:dPr>
          <m:e>
            <m:r>
              <m:t>D</m:t>
            </m:r>
          </m:e>
        </m:d>
      </m:oMath>
      <w:r>
        <w:t xml:space="preserve">:</w:t>
      </w:r>
    </w:p>
    <w:p>
      <w:pPr>
        <w:pStyle w:val="BodyText"/>
      </w:pPr>
      <m:oMathPara>
        <m:oMathParaPr>
          <m:jc m:val="center"/>
        </m:oMathParaPr>
        <m:oMath>
          <m:r>
            <m:t>h</m:t>
          </m:r>
          <m:d>
            <m:dPr>
              <m:begChr m:val="("/>
              <m:endChr m:val=")"/>
              <m:sepChr m:val=""/>
              <m:grow/>
            </m:dPr>
            <m:e>
              <m:r>
                <m:t>k</m:t>
              </m:r>
              <m:r>
                <m:t>D</m:t>
              </m:r>
            </m:e>
          </m:d>
          <m:r>
            <m:t> </m:t>
          </m:r>
          <m:limUpp>
            <m:e>
              <m:r>
                <m:rPr>
                  <m:sty m:val="p"/>
                </m:rPr>
                <m:t>=</m:t>
              </m:r>
            </m:e>
            <m:lim>
              <m:r>
                <m:t>d</m:t>
              </m:r>
            </m:lim>
          </m:limUpp>
          <m:r>
            <m:t> </m:t>
          </m:r>
          <m:sSup>
            <m:e>
              <m:r>
                <m:t>k</m:t>
              </m:r>
            </m:e>
            <m:sup>
              <m:r>
                <m:t> </m:t>
              </m:r>
              <m:r>
                <m:t>η</m:t>
              </m:r>
            </m:sup>
          </m:sSup>
          <m:r>
            <m:t> </m:t>
          </m:r>
          <m:r>
            <m:t>H</m:t>
          </m:r>
          <m:d>
            <m:dPr>
              <m:begChr m:val="("/>
              <m:endChr m:val=")"/>
              <m:sepChr m:val=""/>
              <m:grow/>
            </m:dPr>
            <m:e>
              <m:r>
                <m:t>D</m:t>
              </m:r>
            </m:e>
          </m:d>
        </m:oMath>
      </m:oMathPara>
    </w:p>
    <w:p>
      <w:pPr>
        <w:pStyle w:val="FirstParagraph"/>
      </w:pPr>
      <w:r>
        <w:t xml:space="preserve">{#eq.ddf-inv-escala}</w:t>
      </w:r>
    </w:p>
    <w:p>
      <w:pPr>
        <w:pStyle w:val="BodyText"/>
      </w:pPr>
      <w:r>
        <w:t xml:space="preserve">onde</w:t>
      </w:r>
      <w:r>
        <w:t xml:space="preserve"> </w:t>
      </w:r>
      <m:oMath>
        <m:r>
          <m:t>k</m:t>
        </m:r>
        <m:r>
          <m:rPr>
            <m:sty m:val="p"/>
          </m:rPr>
          <m:t>&gt;</m:t>
        </m:r>
        <m:r>
          <m:t>0</m:t>
        </m:r>
      </m:oMath>
      <w:r>
        <w:t xml:space="preserve"> </w:t>
      </w:r>
      <w:r>
        <w:t xml:space="preserve">é o fator de reescala temporal,</w:t>
      </w:r>
      <w:r>
        <w:t xml:space="preserve"> </w:t>
      </w:r>
      <m:oMath>
        <m:r>
          <m:t>η</m:t>
        </m:r>
      </m:oMath>
      <w:r>
        <w:t xml:space="preserve"> </w:t>
      </w:r>
      <w:r>
        <w:t xml:space="preserve">o expoente de escala. Sobre essa base, os autores formulam uma DDF Gumbel escalável. Para Gumbel (EV1), o quantil de período de retorno</w:t>
      </w:r>
      <w:r>
        <w:t xml:space="preserve"> </w:t>
      </w:r>
      <m:oMath>
        <m:r>
          <m:t>T</m:t>
        </m:r>
      </m:oMath>
      <w:r>
        <w:t xml:space="preserve"> </w:t>
      </w:r>
      <w:r>
        <w:t xml:space="preserve">na duração</w:t>
      </w:r>
      <w:r>
        <w:t xml:space="preserve"> </w:t>
      </w:r>
      <m:oMath>
        <m:r>
          <m:t>d</m:t>
        </m:r>
      </m:oMath>
      <w:r>
        <w:t xml:space="preserve"> </w:t>
      </w:r>
      <w:r>
        <w:t xml:space="preserve">é</w:t>
      </w:r>
    </w:p>
    <w:p>
      <w:pPr>
        <w:pStyle w:val="BodyText"/>
      </w:pPr>
      <m:oMathPara>
        <m:oMathParaPr>
          <m:jc m:val="center"/>
        </m:oMathParaPr>
        <m:oMath>
          <m:sSub>
            <m:e>
              <m:r>
                <m:t>h</m:t>
              </m:r>
            </m:e>
            <m:sub>
              <m:r>
                <m:t>T</m:t>
              </m:r>
            </m:sub>
          </m:sSub>
          <m:d>
            <m:dPr>
              <m:begChr m:val="("/>
              <m:endChr m:val=")"/>
              <m:sepChr m:val=""/>
              <m:grow/>
            </m:dPr>
            <m:e>
              <m:r>
                <m:t>d</m:t>
              </m:r>
            </m:e>
          </m:d>
          <m:r>
            <m:rPr>
              <m:sty m:val="p"/>
            </m:rPr>
            <m:t>=</m:t>
          </m:r>
          <m:r>
            <m:t>λ</m:t>
          </m:r>
          <m:d>
            <m:dPr>
              <m:begChr m:val="("/>
              <m:endChr m:val=")"/>
              <m:sepChr m:val=""/>
              <m:grow/>
            </m:dPr>
            <m:e>
              <m:r>
                <m:t>d</m:t>
              </m:r>
            </m:e>
          </m:d>
          <m:d>
            <m:dPr>
              <m:begChr m:val="["/>
              <m:endChr m:val="]"/>
              <m:sepChr m:val=""/>
              <m:grow/>
            </m:dPr>
            <m:e>
              <m:r>
                <m:t>1</m:t>
              </m:r>
              <m:r>
                <m:rPr>
                  <m:sty m:val="p"/>
                </m:rPr>
                <m:t>−</m:t>
              </m:r>
              <m:f>
                <m:fPr>
                  <m:type m:val="lin"/>
                </m:fPr>
                <m:num>
                  <m:r>
                    <m:t>C</m:t>
                  </m:r>
                  <m:r>
                    <m:t>V</m:t>
                  </m:r>
                  <m:d>
                    <m:dPr>
                      <m:begChr m:val="("/>
                      <m:endChr m:val=")"/>
                      <m:sepChr m:val=""/>
                      <m:grow/>
                    </m:dPr>
                    <m:e>
                      <m:r>
                        <m:t>d</m:t>
                      </m:r>
                    </m:e>
                  </m:d>
                </m:num>
                <m:den>
                  <m:rad>
                    <m:radPr>
                      <m:degHide m:val="on"/>
                    </m:radPr>
                    <m:deg/>
                    <m:e>
                      <m:r>
                        <m:t>6</m:t>
                      </m:r>
                    </m:e>
                  </m:rad>
                </m:den>
              </m:f>
              <m:d>
                <m:dPr>
                  <m:begChr m:val="("/>
                  <m:endChr m:val=")"/>
                  <m:sepChr m:val=""/>
                  <m:grow/>
                </m:dPr>
                <m:e>
                  <m:r>
                    <m:t>γ</m:t>
                  </m:r>
                  <m:r>
                    <m:rPr>
                      <m:sty m:val="p"/>
                    </m:rPr>
                    <m:t>+</m:t>
                  </m:r>
                  <m:sSub>
                    <m:e>
                      <m:r>
                        <m:t>y</m:t>
                      </m:r>
                    </m:e>
                    <m:sub>
                      <m:r>
                        <m:t>T</m:t>
                      </m:r>
                    </m:sub>
                  </m:sSub>
                </m:e>
              </m:d>
            </m:e>
          </m:d>
          <m:r>
            <m:rPr>
              <m:sty m:val="p"/>
            </m:rPr>
            <m:t>,</m:t>
          </m:r>
          <m:r>
            <m:t> </m:t>
          </m:r>
          <m:sSub>
            <m:e>
              <m:r>
                <m:t>y</m:t>
              </m:r>
            </m:e>
            <m:sub>
              <m:r>
                <m:t>T</m:t>
              </m:r>
            </m:sub>
          </m:sSub>
          <m:r>
            <m:rPr>
              <m:sty m:val="p"/>
            </m:rPr>
            <m:t>=</m:t>
          </m:r>
          <m:r>
            <m:rPr>
              <m:sty m:val="p"/>
            </m:rPr>
            <m:t>ln</m:t>
          </m:r>
          <m:r>
            <m:t>​</m:t>
          </m:r>
          <m:r>
            <m:rPr>
              <m:sty m:val="p"/>
            </m:rPr>
            <m:t>ln</m:t>
          </m:r>
          <m:r>
            <m:t>​</m:t>
          </m:r>
          <m:f>
            <m:fPr>
              <m:type m:val="bar"/>
            </m:fPr>
            <m:num>
              <m:r>
                <m:t>T</m:t>
              </m:r>
            </m:num>
            <m:den>
              <m:r>
                <m:t>T</m:t>
              </m:r>
              <m:r>
                <m:rPr>
                  <m:sty m:val="p"/>
                </m:rPr>
                <m:t>−</m:t>
              </m:r>
              <m:r>
                <m:t>1</m:t>
              </m:r>
            </m:den>
          </m:f>
        </m:oMath>
      </m:oMathPara>
    </w:p>
    <w:p>
      <w:pPr>
        <w:pStyle w:val="FirstParagraph"/>
      </w:pPr>
      <w:r>
        <w:t xml:space="preserve">{#ddf-inv-escala-gumbel}</w:t>
      </w:r>
    </w:p>
    <w:p>
      <w:pPr>
        <w:pStyle w:val="BodyText"/>
      </w:pPr>
      <w:r>
        <w:t xml:space="preserve">onde</w:t>
      </w:r>
      <w:r>
        <w:t xml:space="preserve"> </w:t>
      </w:r>
      <m:oMath>
        <m:r>
          <m:t>λ</m:t>
        </m:r>
        <m:d>
          <m:dPr>
            <m:begChr m:val="("/>
            <m:endChr m:val=")"/>
            <m:sepChr m:val=""/>
            <m:grow/>
          </m:dPr>
          <m:e>
            <m:r>
              <m:t>d</m:t>
            </m:r>
          </m:e>
        </m:d>
        <m:r>
          <m:rPr>
            <m:sty m:val="p"/>
          </m:rPr>
          <m:t>=</m:t>
        </m:r>
        <m:r>
          <m:rPr>
            <m:sty m:val="p"/>
            <m:scr m:val="double-struck"/>
          </m:rPr>
          <m:t>E</m:t>
        </m:r>
        <m:d>
          <m:dPr>
            <m:begChr m:val="["/>
            <m:endChr m:val="]"/>
            <m:sepChr m:val=""/>
            <m:grow/>
          </m:dPr>
          <m:e>
            <m:r>
              <m:t>H</m:t>
            </m:r>
            <m:d>
              <m:dPr>
                <m:begChr m:val="("/>
                <m:endChr m:val=")"/>
                <m:sepChr m:val=""/>
                <m:grow/>
              </m:dPr>
              <m:e>
                <m:r>
                  <m:t>d</m:t>
                </m:r>
              </m:e>
            </m:d>
          </m:e>
        </m:d>
      </m:oMath>
      <w:r>
        <w:t xml:space="preserve"> </w:t>
      </w:r>
      <w:r>
        <w:t xml:space="preserve">é a média na duração</w:t>
      </w:r>
      <w:r>
        <w:t xml:space="preserve"> </w:t>
      </w:r>
      <m:oMath>
        <m:r>
          <m:t>d</m:t>
        </m:r>
      </m:oMath>
      <w:r>
        <w:t xml:space="preserve">,</w:t>
      </w:r>
      <w:r>
        <w:t xml:space="preserve"> </w:t>
      </w:r>
      <m:oMath>
        <m:r>
          <m:t>C</m:t>
        </m:r>
        <m:r>
          <m:t>V</m:t>
        </m:r>
        <m:d>
          <m:dPr>
            <m:begChr m:val="("/>
            <m:endChr m:val=")"/>
            <m:sepChr m:val=""/>
            <m:grow/>
          </m:dPr>
          <m:e>
            <m:r>
              <m:t>d</m:t>
            </m:r>
          </m:e>
        </m:d>
      </m:oMath>
      <w:r>
        <w:t xml:space="preserve"> </w:t>
      </w:r>
      <w:r>
        <w:t xml:space="preserve">é o coeficiente de variação,</w:t>
      </w:r>
      <w:r>
        <w:t xml:space="preserve"> </w:t>
      </w:r>
      <m:oMath>
        <m:r>
          <m:t>γ</m:t>
        </m:r>
        <m:r>
          <m:rPr>
            <m:sty m:val="p"/>
          </m:rPr>
          <m:t>≃</m:t>
        </m:r>
        <m:r>
          <m:t>0</m:t>
        </m:r>
        <m:r>
          <m:rPr>
            <m:sty m:val="p"/>
          </m:rPr>
          <m:t>,</m:t>
        </m:r>
        <m:r>
          <m:t>5772</m:t>
        </m:r>
      </m:oMath>
      <w:r>
        <w:t xml:space="preserve"> </w:t>
      </w:r>
      <w:r>
        <w:t xml:space="preserve">é a constante de Euler e</w:t>
      </w:r>
      <w:r>
        <w:t xml:space="preserve"> </w:t>
      </w:r>
      <m:oMath>
        <m:sSub>
          <m:e>
            <m:r>
              <m:t>y</m:t>
            </m:r>
          </m:e>
          <m:sub>
            <m:r>
              <m:t>T</m:t>
            </m:r>
          </m:sub>
        </m:sSub>
      </m:oMath>
      <w:r>
        <w:t xml:space="preserve"> </w:t>
      </w:r>
      <w:r>
        <w:t xml:space="preserve">é a variável reduzida de Gumbel. Substituindo as leis de escala</w:t>
      </w:r>
      <w:r>
        <w:t xml:space="preserve"> </w:t>
      </w:r>
      <m:oMath>
        <m:r>
          <m:t>λ</m:t>
        </m:r>
        <m:d>
          <m:dPr>
            <m:begChr m:val="("/>
            <m:endChr m:val=")"/>
            <m:sepChr m:val=""/>
            <m:grow/>
          </m:dPr>
          <m:e>
            <m:r>
              <m:t>d</m:t>
            </m:r>
          </m:e>
        </m:d>
        <m:r>
          <m:rPr>
            <m:sty m:val="p"/>
          </m:rPr>
          <m:t>=</m:t>
        </m:r>
        <m:sSub>
          <m:e>
            <m:r>
              <m:t>a</m:t>
            </m:r>
          </m:e>
          <m:sub>
            <m:r>
              <m:t>1</m:t>
            </m:r>
          </m:sub>
        </m:sSub>
        <m:r>
          <m:rPr>
            <m:sty m:val="p"/>
          </m:rPr>
          <m:t>,</m:t>
        </m:r>
        <m:sSup>
          <m:e>
            <m:r>
              <m:t>d</m:t>
            </m:r>
          </m:e>
          <m:sup>
            <m:r>
              <m:rPr>
                <m:sty m:val="p"/>
              </m:rPr>
              <m:t>,</m:t>
            </m:r>
            <m:r>
              <m:t>η</m:t>
            </m:r>
          </m:sup>
        </m:sSup>
      </m:oMath>
      <w:r>
        <w:t xml:space="preserve"> </w:t>
      </w:r>
      <w:r>
        <w:t xml:space="preserve">e</w:t>
      </w:r>
      <w:r>
        <w:t xml:space="preserve"> </w:t>
      </w:r>
      <m:oMath>
        <m:r>
          <m:t>C</m:t>
        </m:r>
        <m:r>
          <m:t>V</m:t>
        </m:r>
        <m:d>
          <m:dPr>
            <m:begChr m:val="("/>
            <m:endChr m:val=")"/>
            <m:sepChr m:val=""/>
            <m:grow/>
          </m:dPr>
          <m:e>
            <m:r>
              <m:t>d</m:t>
            </m:r>
          </m:e>
        </m:d>
        <m:r>
          <m:rPr>
            <m:sty m:val="p"/>
          </m:rPr>
          <m:t>=</m:t>
        </m:r>
        <m:r>
          <m:t>C</m:t>
        </m:r>
        <m:r>
          <m:t>V</m:t>
        </m:r>
      </m:oMath>
      <w:r>
        <w:t xml:space="preserve"> </w:t>
      </w:r>
      <w:r>
        <w:t xml:space="preserve">obtém-se a DDF de simple scaling</w:t>
      </w:r>
    </w:p>
    <w:p>
      <w:pPr>
        <w:pStyle w:val="BodyText"/>
      </w:pPr>
      <m:oMathPara>
        <m:oMathParaPr>
          <m:jc m:val="center"/>
        </m:oMathParaPr>
        <m:oMath>
          <m:sSub>
            <m:e>
              <m:r>
                <m:t>h</m:t>
              </m:r>
            </m:e>
            <m:sub>
              <m:r>
                <m:t>T</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f>
                <m:fPr>
                  <m:type m:val="lin"/>
                </m:fPr>
                <m:num>
                  <m:r>
                    <m:t>C</m:t>
                  </m:r>
                  <m:r>
                    <m:t>V</m:t>
                  </m:r>
                </m:num>
                <m:den>
                  <m:rad>
                    <m:radPr>
                      <m:degHide m:val="on"/>
                    </m:radPr>
                    <m:deg/>
                    <m:e>
                      <m:r>
                        <m:t>6</m:t>
                      </m:r>
                    </m:e>
                  </m:rad>
                </m:den>
              </m:f>
              <m:d>
                <m:dPr>
                  <m:begChr m:val="("/>
                  <m:endChr m:val=")"/>
                  <m:sepChr m:val=""/>
                  <m:grow/>
                </m:dPr>
                <m:e>
                  <m:r>
                    <m:t>γ</m:t>
                  </m:r>
                  <m:r>
                    <m:rPr>
                      <m:sty m:val="p"/>
                    </m:rPr>
                    <m:t>+</m:t>
                  </m:r>
                  <m:sSub>
                    <m:e>
                      <m:r>
                        <m:t>y</m:t>
                      </m:r>
                    </m:e>
                    <m:sub>
                      <m:r>
                        <m:t>T</m:t>
                      </m:r>
                    </m:sub>
                  </m:sSub>
                </m:e>
              </m:d>
            </m:e>
          </m:d>
          <m:r>
            <m:t> </m:t>
          </m:r>
          <m:sSup>
            <m:e>
              <m:r>
                <m:t>d</m:t>
              </m:r>
            </m:e>
            <m:sup>
              <m:r>
                <m:t> </m:t>
              </m:r>
              <m:r>
                <m:t>η</m:t>
              </m:r>
            </m:sup>
          </m:sSup>
        </m:oMath>
      </m:oMathPara>
    </w:p>
    <w:p>
      <w:pPr>
        <w:pStyle w:val="FirstParagraph"/>
      </w:pPr>
      <w:r>
        <w:t xml:space="preserve">{#eq.ddf-inv-escala-gumbel2}</w:t>
      </w:r>
    </w:p>
    <w:p>
      <w:pPr>
        <w:pStyle w:val="BodyText"/>
      </w:pPr>
      <w:r>
        <w:t xml:space="preserve">Os autores mostram que, para durações &lt; 60 min, as razões profundidade–duração (t vs. 60 min) são praticamente independentes do período de retorno e da localização, facilitando transferência entre durações e regionalização.</w:t>
      </w:r>
      <w:r>
        <w:t xml:space="preserve"> </w:t>
      </w:r>
    </w:p>
    <w:p>
      <w:pPr>
        <w:pStyle w:val="BodyText"/>
      </w:pPr>
      <w:r>
        <w:t xml:space="preserve">Em contraste com as formulações paramétricas clássicas de IDF e com usos diretos de Gumbel/GEV, Langousis &amp; Veneziano (2007) constroem as curvas IDF a partir de modelos de chuva localmente multifractais, nos quais a dependência em duração e em frequência emerge do próprio gerador estocástico e não é imposta por uma forma IDF pré-definida. A inovação central é a decomposição em processo exterior (escala de</w:t>
      </w:r>
      <w:r>
        <w:t xml:space="preserve"> </w:t>
      </w:r>
      <w:r>
        <w:t xml:space="preserve">“episódio”</w:t>
      </w:r>
      <w:r>
        <w:t xml:space="preserve"> </w:t>
      </w:r>
      <m:oMath>
        <m:r>
          <m:t>D</m:t>
        </m:r>
      </m:oMath>
      <w:r>
        <w:t xml:space="preserve">) e processo interior multifractal beta-lognormal, com função de momentos</w:t>
      </w:r>
      <w:r>
        <w:t xml:space="preserve"> </w:t>
      </w:r>
      <m:oMath>
        <m:r>
          <m:t>K</m:t>
        </m:r>
        <m:d>
          <m:dPr>
            <m:begChr m:val="("/>
            <m:endChr m:val=")"/>
            <m:sepChr m:val=""/>
            <m:grow/>
          </m:dPr>
          <m:e>
            <m:r>
              <m:t>q</m:t>
            </m:r>
          </m:e>
        </m:d>
        <m:r>
          <m:rPr>
            <m:sty m:val="p"/>
          </m:rPr>
          <m:t>=</m:t>
        </m:r>
        <m:sSub>
          <m:e>
            <m:r>
              <m:t>C</m:t>
            </m:r>
          </m:e>
          <m:sub>
            <m:r>
              <m:t>b</m:t>
            </m:r>
          </m:sub>
        </m:sSub>
        <m:r>
          <m:t> </m:t>
        </m:r>
        <m:d>
          <m:dPr>
            <m:begChr m:val="("/>
            <m:endChr m:val=")"/>
            <m:sepChr m:val=""/>
            <m:grow/>
          </m:dPr>
          <m:e>
            <m:r>
              <m:t>q</m:t>
            </m:r>
            <m:r>
              <m:rPr>
                <m:sty m:val="p"/>
              </m:rPr>
              <m:t>−</m:t>
            </m:r>
            <m:r>
              <m:t>1</m:t>
            </m:r>
          </m:e>
        </m:d>
        <m:r>
          <m:rPr>
            <m:sty m:val="p"/>
          </m:rPr>
          <m:t>+</m:t>
        </m:r>
        <m:sSub>
          <m:e>
            <m:r>
              <m:t>C</m:t>
            </m:r>
          </m:e>
          <m:sub>
            <m:r>
              <m:rPr>
                <m:sty m:val="p"/>
              </m:rPr>
              <m:t>ln</m:t>
            </m:r>
          </m:sub>
        </m:sSub>
        <m:r>
          <m:t> </m:t>
        </m:r>
        <m:d>
          <m:dPr>
            <m:begChr m:val="("/>
            <m:endChr m:val=")"/>
            <m:sepChr m:val=""/>
            <m:grow/>
          </m:dPr>
          <m:e>
            <m:sSup>
              <m:e>
                <m:r>
                  <m:t>q</m:t>
                </m:r>
              </m:e>
              <m:sup>
                <m:r>
                  <m:t>2</m:t>
                </m:r>
              </m:sup>
            </m:sSup>
            <m:r>
              <m:rPr>
                <m:sty m:val="p"/>
              </m:rPr>
              <m:t>−</m:t>
            </m:r>
            <m:r>
              <m:t>q</m:t>
            </m:r>
          </m:e>
        </m:d>
      </m:oMath>
      <w:r>
        <w:t xml:space="preserve">. Em vez de ajustar extremos anuais por uma distribuição de valores extremos e depois</w:t>
      </w:r>
      <w:r>
        <w:t xml:space="preserve"> </w:t>
      </w:r>
      <w:r>
        <w:t xml:space="preserve">“dar forma”</w:t>
      </w:r>
      <w:r>
        <w:t xml:space="preserve"> </w:t>
      </w:r>
      <w:r>
        <w:t xml:space="preserve">à IDF, os autores estimam os parâmetros</w:t>
      </w:r>
      <w:r>
        <w:t xml:space="preserve"> </w:t>
      </w:r>
      <m:oMath>
        <m:d>
          <m:dPr>
            <m:begChr m:val="("/>
            <m:endChr m:val=")"/>
            <m:sepChr m:val=""/>
            <m:grow/>
          </m:dPr>
          <m:e>
            <m:sSub>
              <m:e>
                <m:r>
                  <m:t>C</m:t>
                </m:r>
              </m:e>
              <m:sub>
                <m:r>
                  <m:t>b</m:t>
                </m:r>
              </m:sub>
            </m:sSub>
            <m:r>
              <m:rPr>
                <m:sty m:val="p"/>
              </m:rPr>
              <m:t>,</m:t>
            </m:r>
            <m:sSub>
              <m:e>
                <m:r>
                  <m:t>C</m:t>
                </m:r>
              </m:e>
              <m:sub>
                <m:r>
                  <m:rPr>
                    <m:sty m:val="p"/>
                  </m:rPr>
                  <m:t>ln</m:t>
                </m:r>
              </m:sub>
            </m:sSub>
          </m:e>
        </m:d>
      </m:oMath>
      <w:r>
        <w:t xml:space="preserve"> </w:t>
      </w:r>
      <w:r>
        <w:t xml:space="preserve">e do exterior</w:t>
      </w:r>
      <w:r>
        <w:t xml:space="preserve"> </w:t>
      </w:r>
      <m:oMath>
        <m:d>
          <m:dPr>
            <m:begChr m:val="("/>
            <m:endChr m:val=")"/>
            <m:sepChr m:val=""/>
            <m:grow/>
          </m:dPr>
          <m:e>
            <m:r>
              <m:t>D</m:t>
            </m:r>
            <m:r>
              <m:rPr>
                <m:sty m:val="p"/>
              </m:rPr>
              <m:t>,</m:t>
            </m:r>
            <m:sSub>
              <m:e>
                <m:r>
                  <m:t>I</m:t>
                </m:r>
              </m:e>
              <m:sub>
                <m:r>
                  <m:t>D</m:t>
                </m:r>
              </m:sub>
            </m:sSub>
          </m:e>
        </m:d>
      </m:oMath>
      <w:r>
        <w:t xml:space="preserve">, e derivam os quantis</w:t>
      </w:r>
      <w:r>
        <w:t xml:space="preserve"> </w:t>
      </w:r>
      <m:oMath>
        <m:sSub>
          <m:e>
            <m:r>
              <m:t>i</m:t>
            </m:r>
          </m:e>
          <m:sub>
            <m:r>
              <m:t>d</m:t>
            </m:r>
            <m:r>
              <m:rPr>
                <m:sty m:val="p"/>
              </m:rPr>
              <m:t>,</m:t>
            </m:r>
            <m:r>
              <m:t>T</m:t>
            </m:r>
          </m:sub>
        </m:sSub>
      </m:oMath>
      <w:r>
        <w:t xml:space="preserve"> </w:t>
      </w:r>
      <w:r>
        <w:t xml:space="preserve">via a distribuição do máximo</w:t>
      </w:r>
      <w:r>
        <w:t xml:space="preserve"> </w:t>
      </w:r>
      <m:oMath>
        <m:sSub>
          <m:e>
            <m:r>
              <m:t>M</m:t>
            </m:r>
          </m:e>
          <m:sub>
            <m:r>
              <m:t>d</m:t>
            </m:r>
          </m:sub>
        </m:sSub>
      </m:oMath>
      <w:r>
        <w:t xml:space="preserve"> </w:t>
      </w:r>
      <w:r>
        <w:t xml:space="preserve">no interior de</w:t>
      </w:r>
      <w:r>
        <w:t xml:space="preserve"> </w:t>
      </w:r>
      <m:oMath>
        <m:r>
          <m:t>D</m:t>
        </m:r>
      </m:oMath>
      <w:r>
        <w:t xml:space="preserve">, usando a fatoração de</w:t>
      </w:r>
      <w:r>
        <w:t xml:space="preserve"> </w:t>
      </w:r>
      <w:r>
        <w:t xml:space="preserve">“dressing”</w:t>
      </w:r>
      <w:r>
        <w:t xml:space="preserve"> </w:t>
      </w:r>
      <m:oMath>
        <m:sSub>
          <m:e>
            <m:r>
              <m:t>I</m:t>
            </m:r>
          </m:e>
          <m:sub>
            <m:r>
              <m:t>d</m:t>
            </m:r>
          </m:sub>
        </m:sSub>
        <m:limUpp>
          <m:e>
            <m:r>
              <m:rPr>
                <m:sty m:val="p"/>
              </m:rPr>
              <m:t>=</m:t>
            </m:r>
          </m:e>
          <m:lim>
            <m:r>
              <m:t>d</m:t>
            </m:r>
          </m:lim>
        </m:limUpp>
        <m:sSubSup>
          <m:e>
            <m:r>
              <m:t>I</m:t>
            </m:r>
          </m:e>
          <m:sub>
            <m:r>
              <m:t>D</m:t>
            </m:r>
          </m:sub>
          <m:sup>
            <m:r>
              <m:t>0</m:t>
            </m:r>
          </m:sup>
        </m:sSubSup>
        <m:r>
          <m:t> </m:t>
        </m:r>
        <m:sSub>
          <m:e>
            <m:r>
              <m:t>A</m:t>
            </m:r>
          </m:e>
          <m:sub>
            <m:sSub>
              <m:e>
                <m:r>
                  <m:t>r</m:t>
                </m:r>
              </m:e>
              <m:sub>
                <m:r>
                  <m:t>Z</m:t>
                </m:r>
              </m:sub>
            </m:sSub>
          </m:sub>
        </m:sSub>
      </m:oMath>
      <w:r>
        <w:t xml:space="preserve"> </w:t>
      </w:r>
      <w:r>
        <w:t xml:space="preserve">e aproximações analíticas para o fator</w:t>
      </w:r>
      <w:r>
        <w:t xml:space="preserve"> </w:t>
      </w:r>
      <m:oMath>
        <m:r>
          <m:t>Z</m:t>
        </m:r>
      </m:oMath>
      <w:r>
        <w:t xml:space="preserve">, o que permite calcular</w:t>
      </w:r>
      <w:r>
        <w:t xml:space="preserve"> </w:t>
      </w:r>
      <m:oMath>
        <m:sSub>
          <m:e>
            <m:r>
              <m:t>i</m:t>
            </m:r>
          </m:e>
          <m:sub>
            <m:r>
              <m:t>d</m:t>
            </m:r>
            <m:r>
              <m:rPr>
                <m:sty m:val="p"/>
              </m:rPr>
              <m:t>,</m:t>
            </m:r>
            <m:r>
              <m:t>T</m:t>
            </m:r>
          </m:sub>
        </m:sSub>
      </m:oMath>
      <w:r>
        <w:t xml:space="preserve"> </w:t>
      </w:r>
      <w:r>
        <w:t xml:space="preserve">sem Monte Carlo pesado e sem supor separabilidade estrita em</w:t>
      </w:r>
      <w:r>
        <w:t xml:space="preserve"> </w:t>
      </w:r>
      <m:oMath>
        <m:r>
          <m:t>d</m:t>
        </m:r>
      </m:oMath>
      <w:r>
        <w:t xml:space="preserve"> </w:t>
      </w:r>
      <w:r>
        <w:t xml:space="preserve">e</w:t>
      </w:r>
      <w:r>
        <w:t xml:space="preserve"> </w:t>
      </w:r>
      <m:oMath>
        <m:r>
          <m:t>T</m:t>
        </m:r>
      </m:oMath>
      <w:r>
        <w:t xml:space="preserve">. Diferentemente de abordagens que regionalizam quantis ou ajustam formas IDF por potência, o trabalho apresenta três variantes com crescente parcimônia para o processo exterior: (i)</w:t>
      </w:r>
      <w:r>
        <w:t xml:space="preserve"> </w:t>
      </w:r>
      <w:r>
        <w:t xml:space="preserve">“tempestades”</w:t>
      </w:r>
      <w:r>
        <w:t xml:space="preserve"> </w:t>
      </w:r>
      <w:r>
        <w:t xml:space="preserve">i.i.d. com</w:t>
      </w:r>
      <w:r>
        <w:t xml:space="preserve"> </w:t>
      </w:r>
      <m:oMath>
        <m:r>
          <m:t>D</m:t>
        </m:r>
      </m:oMath>
      <w:r>
        <w:t xml:space="preserve"> </w:t>
      </w:r>
      <w:r>
        <w:t xml:space="preserve">e intensidade média</w:t>
      </w:r>
      <w:r>
        <w:t xml:space="preserve"> </w:t>
      </w:r>
      <m:oMath>
        <m:sSub>
          <m:e>
            <m:r>
              <m:t>I</m:t>
            </m:r>
          </m:e>
          <m:sub>
            <m:r>
              <m:t>D</m:t>
            </m:r>
          </m:sub>
        </m:sSub>
      </m:oMath>
      <w:r>
        <w:t xml:space="preserve"> </w:t>
      </w:r>
      <w:r>
        <w:t xml:space="preserve">aleatórias; (ii) janelas contíguas de duração fixa</w:t>
      </w:r>
      <w:r>
        <w:t xml:space="preserve"> </w:t>
      </w:r>
      <m:oMath>
        <m:r>
          <m:t>D</m:t>
        </m:r>
      </m:oMath>
      <w:r>
        <w:t xml:space="preserve"> </w:t>
      </w:r>
      <w:r>
        <w:t xml:space="preserve">com intensidade aleatória; e (iii)</w:t>
      </w:r>
      <w:r>
        <w:t xml:space="preserve"> </w:t>
      </w:r>
      <m:oMath>
        <m:r>
          <m:t>D</m:t>
        </m:r>
      </m:oMath>
      <w:r>
        <w:t xml:space="preserve"> </w:t>
      </w:r>
      <w:r>
        <w:t xml:space="preserve">e</w:t>
      </w:r>
      <w:r>
        <w:t xml:space="preserve"> </w:t>
      </w:r>
      <m:oMath>
        <m:sSub>
          <m:e>
            <m:r>
              <m:t>I</m:t>
            </m:r>
          </m:e>
          <m:sub>
            <m:r>
              <m:t>D</m:t>
            </m:r>
          </m:sub>
        </m:sSub>
      </m:oMath>
      <w:r>
        <w:t xml:space="preserve"> </w:t>
      </w:r>
      <w:r>
        <w:t xml:space="preserve">determinísticos, deixando toda a variabilidade para a cascata multifractal. Em aplicação a 24 anos de dados contínuos de Florença, as IDFs resultantes são robustas a outliers e estáveis com séries curtas (segmentos de 4 anos), além de reproduzirem curvaturas log–log observadas sem exigir pós-ajustes espectrais, algo que diferencia nitidamente esse enquadramento multifractal de métodos paramétricos e de IDFs de escala simples usadas anteriormente.</w:t>
      </w:r>
    </w:p>
    <w:p>
      <w:pPr>
        <w:pStyle w:val="BodyText"/>
      </w:pPr>
      <w:r>
        <w:t xml:space="preserve">Outros estudos expandiram essas aplicações. Blanchet et al. (2016) propõem um enquadramento regional de curvas IDF em que os máximos de precipitação agregados em duração</w:t>
      </w:r>
      <w:r>
        <w:t xml:space="preserve"> </w:t>
      </w:r>
      <m:oMath>
        <m:r>
          <m:t>D</m:t>
        </m:r>
      </m:oMath>
      <w:r>
        <w:t xml:space="preserve"> </w:t>
      </w:r>
      <w:r>
        <w:t xml:space="preserve">seguem uma GEV cujos parâmetros obedecem a um escalonamento simples ao longo de</w:t>
      </w:r>
      <w:r>
        <w:t xml:space="preserve"> </w:t>
      </w:r>
      <m:oMath>
        <m:r>
          <m:t>D</m:t>
        </m:r>
      </m:oMath>
      <w:r>
        <w:t xml:space="preserve">. As duas hipóteses‐chave são: (i) extremos diários são GEV (justificado por EVT) e (ii) máximos agregados em durações dentro de um intervalo</w:t>
      </w:r>
      <w:r>
        <w:t xml:space="preserve"> </w:t>
      </w:r>
      <w:r>
        <w:t xml:space="preserve">“escala‐invariante”</w:t>
      </w:r>
      <w:r>
        <w:t xml:space="preserve"> </w:t>
      </w:r>
      <w:r>
        <w:t xml:space="preserve">satisfazem relações de potência. A partir disso, escrevem um modelo GEV em que, tomando uma duração de referência</w:t>
      </w:r>
      <w:r>
        <w:t xml:space="preserve"> </w:t>
      </w:r>
      <m:oMath>
        <m:sSub>
          <m:e>
            <m:r>
              <m:t>D</m:t>
            </m:r>
          </m:e>
          <m:sub>
            <m:r>
              <m:t>0</m:t>
            </m:r>
          </m:sub>
        </m:sSub>
      </m:oMath>
      <w:r>
        <w:t xml:space="preserve">, a localização e a escala variam como</w:t>
      </w:r>
    </w:p>
    <w:p>
      <w:pPr>
        <w:pStyle w:val="BodyText"/>
      </w:pPr>
      <m:oMathPara>
        <m:oMathParaPr>
          <m:jc m:val="center"/>
        </m:oMathParaPr>
        <m:oMath>
          <m:sSub>
            <m:e>
              <m:r>
                <m:t>μ</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μ</m:t>
              </m:r>
            </m:e>
            <m:sub>
              <m:r>
                <m:t>0</m:t>
              </m:r>
            </m:sub>
          </m:sSub>
          <m:r>
            <m:rPr>
              <m:sty m:val="p"/>
            </m:rPr>
            <m:t>,</m:t>
          </m:r>
          <m:r>
            <m:t>  </m:t>
          </m:r>
          <m:sSub>
            <m:e>
              <m:r>
                <m:t>σ</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σ</m:t>
              </m:r>
            </m:e>
            <m:sub>
              <m:r>
                <m:t>0</m:t>
              </m:r>
            </m:sub>
          </m:sSub>
        </m:oMath>
      </m:oMathPara>
    </w:p>
    <w:p>
      <w:pPr>
        <w:pStyle w:val="FirstParagraph"/>
      </w:pPr>
      <w:r>
        <w:t xml:space="preserve">{#eq.gev-par}</w:t>
      </w:r>
    </w:p>
    <w:p>
      <w:pPr>
        <w:pStyle w:val="BodyText"/>
      </w:pPr>
      <w:r>
        <w:t xml:space="preserve">enquanto a forma permanece constante</w:t>
      </w:r>
      <w:r>
        <w:t xml:space="preserve"> </w:t>
      </w:r>
      <m:oMath>
        <m:sSub>
          <m:e>
            <m:r>
              <m:t>ξ</m:t>
            </m:r>
          </m:e>
          <m:sub>
            <m:r>
              <m:t>D</m:t>
            </m:r>
          </m:sub>
        </m:sSub>
        <m:r>
          <m:rPr>
            <m:sty m:val="p"/>
          </m:rPr>
          <m:t>=</m:t>
        </m:r>
        <m:r>
          <m:t>n</m:t>
        </m:r>
      </m:oMath>
      <w:r>
        <w:t xml:space="preserve"> </w:t>
      </w:r>
      <w:r>
        <w:t xml:space="preserve">. Aqui</w:t>
      </w:r>
      <w:r>
        <w:t xml:space="preserve"> </w:t>
      </w:r>
      <m:oMath>
        <m:r>
          <m:t>η</m:t>
        </m:r>
      </m:oMath>
      <w:r>
        <w:t xml:space="preserve"> </w:t>
      </w:r>
      <w:r>
        <w:t xml:space="preserve">é o expoente de escala (declive log–log dos parâmetros vs. duração),</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são, respectivamente, a localização e a escala na duração</w:t>
      </w:r>
      <w:r>
        <w:t xml:space="preserve"> </w:t>
      </w:r>
      <m:oMath>
        <m:sSub>
          <m:e>
            <m:r>
              <m:t>D</m:t>
            </m:r>
          </m:e>
          <m:sub>
            <m:r>
              <m:t>0</m:t>
            </m:r>
          </m:sub>
        </m:sSub>
      </m:oMath>
      <w:r>
        <w:t xml:space="preserve">,</w:t>
      </w:r>
      <w:r>
        <w:t xml:space="preserve"> </w:t>
      </w:r>
      <m:oMath>
        <m:r>
          <m:t>n</m:t>
        </m:r>
      </m:oMath>
      <w:r>
        <w:t xml:space="preserve"> </w:t>
      </w:r>
      <w:r>
        <w:t xml:space="preserve">é o parâmetro de forma comum a todas as durações e</w:t>
      </w:r>
      <w:r>
        <w:t xml:space="preserve"> </w:t>
      </w:r>
      <m:oMath>
        <m:r>
          <m:t>D</m:t>
        </m:r>
      </m:oMath>
      <w:r>
        <w:t xml:space="preserve"> </w:t>
      </w:r>
      <w:r>
        <w:t xml:space="preserve">é a duração alvo. Esse modelo é calibrado localmente com séries de máximos diários agregados até semana, no intervalo onde a suposição de escalonamento simples é suportada pelos dados. Em seguida, os vetores</w:t>
      </w:r>
      <w:r>
        <w:t xml:space="preserve"> </w:t>
      </w:r>
      <m:oMath>
        <m:d>
          <m:dPr>
            <m:begChr m:val="("/>
            <m:endChr m:val=")"/>
            <m:sepChr m:val=""/>
            <m:grow/>
          </m:dPr>
          <m:e>
            <m:r>
              <m:t>η</m:t>
            </m:r>
            <m:r>
              <m:rPr>
                <m:sty m:val="p"/>
              </m:rPr>
              <m:t>,</m:t>
            </m:r>
            <m:sSub>
              <m:e>
                <m:r>
                  <m:t>μ</m:t>
                </m:r>
              </m:e>
              <m:sub>
                <m:r>
                  <m:t>0</m:t>
                </m:r>
              </m:sub>
            </m:sSub>
            <m:r>
              <m:rPr>
                <m:sty m:val="p"/>
              </m:rPr>
              <m:t>,</m:t>
            </m:r>
            <m:sSub>
              <m:e>
                <m:r>
                  <m:t>σ</m:t>
                </m:r>
              </m:e>
              <m:sub>
                <m:r>
                  <m:t>0</m:t>
                </m:r>
              </m:sub>
            </m:sSub>
            <m:r>
              <m:rPr>
                <m:sty m:val="p"/>
              </m:rPr>
              <m:t>,</m:t>
            </m:r>
            <m:r>
              <m:t>n</m:t>
            </m:r>
          </m:e>
        </m:d>
      </m:oMath>
      <w:r>
        <w:t xml:space="preserve"> </w:t>
      </w:r>
      <w:r>
        <w:t xml:space="preserve">são espacializados para produzir um modelo regional, permitindo construir IDFs de diferentes durações. Um ponto metodológico importante é a estimação conjunta, por máxima verossimilhança, dos quatro parâmetros por estação, assumindo independência entre durações, com correção tipo</w:t>
      </w:r>
      <w:r>
        <w:t xml:space="preserve"> </w:t>
      </w:r>
      <w:r>
        <w:rPr>
          <w:i/>
          <w:iCs/>
        </w:rPr>
        <w:t xml:space="preserve">sandwich</w:t>
      </w:r>
      <w:r>
        <w:t xml:space="preserve"> </w:t>
      </w:r>
      <w:r>
        <w:t xml:space="preserve">para a variância assintótica sob verossimilhança. Os autores corrigem o efeito da frequência de medição ao passar de máximos diários (1/24 h) para máximos horários (1/h). Eles discutem duas rotas: (a) um fator de Hershfield</w:t>
      </w:r>
      <w:r>
        <w:t xml:space="preserve"> </w:t>
      </w:r>
      <m:oMath>
        <m:r>
          <m:t>a</m:t>
        </m:r>
        <m:d>
          <m:dPr>
            <m:begChr m:val="("/>
            <m:endChr m:val=")"/>
            <m:sepChr m:val=""/>
            <m:grow/>
          </m:dPr>
          <m:e>
            <m:r>
              <m:t>D</m:t>
            </m:r>
          </m:e>
        </m:d>
        <m:r>
          <m:rPr>
            <m:sty m:val="p"/>
          </m:rPr>
          <m:t>≥</m:t>
        </m:r>
        <m:r>
          <m:t>1</m:t>
        </m:r>
      </m:oMath>
      <w:r>
        <w:t xml:space="preserve">, que implica</w:t>
      </w:r>
    </w:p>
    <w:p>
      <w:pPr>
        <w:pStyle w:val="BodyText"/>
      </w:pPr>
      <m:oMathPara>
        <m:oMathParaPr>
          <m:jc m:val="center"/>
        </m:oMathParaPr>
        <m:oMath>
          <m:sSubSup>
            <m:e>
              <m:r>
                <m:t>I</m:t>
              </m:r>
            </m:e>
            <m:sub>
              <m:r>
                <m:t>D</m:t>
              </m:r>
            </m:sub>
            <m:sup>
              <m:d>
                <m:dPr>
                  <m:begChr m:val="("/>
                  <m:endChr m:val=")"/>
                  <m:sepChr m:val=""/>
                  <m:grow/>
                </m:dPr>
                <m:e>
                  <m:r>
                    <m:t>1</m:t>
                  </m:r>
                </m:e>
              </m:d>
            </m:sup>
          </m:sSubSup>
          <m:limUpp>
            <m:e>
              <m:r>
                <m:rPr>
                  <m:sty m:val="p"/>
                </m:rPr>
                <m:t>=</m:t>
              </m:r>
            </m:e>
            <m:lim>
              <m:r>
                <m:t>d</m:t>
              </m:r>
            </m:lim>
          </m:limUpp>
          <m:r>
            <m:t>a</m:t>
          </m:r>
          <m:d>
            <m:dPr>
              <m:begChr m:val="("/>
              <m:endChr m:val=")"/>
              <m:sepChr m:val=""/>
              <m:grow/>
            </m:dPr>
            <m:e>
              <m:r>
                <m:t>D</m:t>
              </m:r>
            </m:e>
          </m:d>
          <m:r>
            <m:t> </m:t>
          </m:r>
          <m:sSubSup>
            <m:e>
              <m:r>
                <m:t>I</m:t>
              </m:r>
            </m:e>
            <m:sub>
              <m:r>
                <m:t>D</m:t>
              </m:r>
            </m:sub>
            <m:sup>
              <m:d>
                <m:dPr>
                  <m:begChr m:val="("/>
                  <m:endChr m:val=")"/>
                  <m:sepChr m:val=""/>
                  <m:grow/>
                </m:dPr>
                <m:e>
                  <m:r>
                    <m:t>24</m:t>
                  </m:r>
                </m:e>
              </m:d>
            </m:sup>
          </m:sSubSup>
        </m:oMath>
      </m:oMathPara>
    </w:p>
    <w:p>
      <w:pPr>
        <w:pStyle w:val="FirstParagraph"/>
      </w:pPr>
      <w:r>
        <w:t xml:space="preserve">{#eq.hershfield}</w:t>
      </w:r>
    </w:p>
    <w:p>
      <w:pPr>
        <w:pStyle w:val="BodyText"/>
      </w:pPr>
      <w:r>
        <w:t xml:space="preserve">e (b) uma correção de EVT à la Robinson–Tawn que liga diretamente as funções de distribuição,</w:t>
      </w:r>
    </w:p>
    <w:p>
      <w:pPr>
        <w:pStyle w:val="BodyText"/>
      </w:pPr>
      <m:oMathPara>
        <m:oMathParaPr>
          <m:jc m:val="center"/>
        </m:oMathParaPr>
        <m:oMath>
          <m:r>
            <m:rPr>
              <m:sty m:val="p"/>
            </m:rPr>
            <m:t>Pr</m:t>
          </m:r>
          <m:r>
            <m:rPr>
              <m:sty m:val="p"/>
            </m:rPr>
            <m:t>{</m:t>
          </m:r>
          <m:sSubSup>
            <m:e>
              <m:r>
                <m:t>I</m:t>
              </m:r>
            </m:e>
            <m:sub>
              <m:r>
                <m:t>D</m:t>
              </m:r>
            </m:sub>
            <m:sup>
              <m:d>
                <m:dPr>
                  <m:begChr m:val="("/>
                  <m:endChr m:val=")"/>
                  <m:sepChr m:val=""/>
                  <m:grow/>
                </m:dPr>
                <m:e>
                  <m:r>
                    <m:t>1</m:t>
                  </m:r>
                </m:e>
              </m:d>
            </m:sup>
          </m:sSubSup>
          <m:r>
            <m:rPr>
              <m:sty m:val="p"/>
            </m:rPr>
            <m:t>≤</m:t>
          </m:r>
          <m:r>
            <m:t>x</m:t>
          </m:r>
          <m:r>
            <m:rPr>
              <m:sty m:val="p"/>
            </m:rPr>
            <m:t>}</m:t>
          </m:r>
          <m:r>
            <m:rPr>
              <m:sty m:val="p"/>
            </m:rPr>
            <m:t>≈</m:t>
          </m:r>
          <m:r>
            <m:rPr>
              <m:sty m:val="p"/>
            </m:rPr>
            <m:t>Pr</m:t>
          </m:r>
          <m:r>
            <m:rPr>
              <m:sty m:val="p"/>
            </m:rPr>
            <m:t>{</m:t>
          </m:r>
          <m:sSubSup>
            <m:e>
              <m:r>
                <m:t>I</m:t>
              </m:r>
            </m:e>
            <m:sub>
              <m:r>
                <m:t>D</m:t>
              </m:r>
            </m:sub>
            <m:sup>
              <m:d>
                <m:dPr>
                  <m:begChr m:val="("/>
                  <m:endChr m:val=")"/>
                  <m:sepChr m:val=""/>
                  <m:grow/>
                </m:dPr>
                <m:e>
                  <m:r>
                    <m:t>24</m:t>
                  </m:r>
                </m:e>
              </m:d>
            </m:sup>
          </m:sSubSup>
          <m:r>
            <m:rPr>
              <m:sty m:val="p"/>
            </m:rPr>
            <m:t>≤</m:t>
          </m:r>
          <m:r>
            <m:t>x</m:t>
          </m:r>
          <m:sSup>
            <m:e>
              <m:r>
                <m:rPr>
                  <m:sty m:val="p"/>
                </m:rPr>
                <m:t>}</m:t>
              </m:r>
            </m:e>
            <m:sup>
              <m:r>
                <m:t> </m:t>
              </m:r>
              <m:r>
                <m:t>a</m:t>
              </m:r>
              <m:d>
                <m:dPr>
                  <m:begChr m:val="("/>
                  <m:endChr m:val=")"/>
                  <m:sepChr m:val=""/>
                  <m:grow/>
                </m:dPr>
                <m:e>
                  <m:r>
                    <m:t>D</m:t>
                  </m:r>
                </m:e>
              </m:d>
            </m:sup>
          </m:sSup>
        </m:oMath>
      </m:oMathPara>
    </w:p>
    <w:p>
      <w:pPr>
        <w:pStyle w:val="FirstParagraph"/>
      </w:pPr>
      <w:r>
        <w:t xml:space="preserve">{#eq.robinson-tawn}</w:t>
      </w:r>
    </w:p>
    <w:p>
      <w:pPr>
        <w:pStyle w:val="BodyText"/>
      </w:pPr>
      <w:r>
        <w:t xml:space="preserve">onde</w:t>
      </w:r>
      <w:r>
        <w:t xml:space="preserve"> </w:t>
      </w:r>
      <m:oMath>
        <m:sSubSup>
          <m:e>
            <m:r>
              <m:t>I</m:t>
            </m:r>
          </m:e>
          <m:sub>
            <m:r>
              <m:t>D</m:t>
            </m:r>
          </m:sub>
          <m:sup>
            <m:d>
              <m:dPr>
                <m:begChr m:val="("/>
                <m:endChr m:val=")"/>
                <m:sepChr m:val=""/>
                <m:grow/>
              </m:dPr>
              <m:e>
                <m:r>
                  <m:t>24</m:t>
                </m:r>
              </m:e>
            </m:d>
          </m:sup>
        </m:sSubSup>
      </m:oMath>
      <w:r>
        <w:t xml:space="preserve"> </w:t>
      </w:r>
      <w:r>
        <w:t xml:space="preserve">e</w:t>
      </w:r>
      <w:r>
        <w:t xml:space="preserve"> </w:t>
      </w:r>
      <m:oMath>
        <m:sSubSup>
          <m:e>
            <m:r>
              <m:t>I</m:t>
            </m:r>
          </m:e>
          <m:sub>
            <m:r>
              <m:t>D</m:t>
            </m:r>
          </m:sub>
          <m:sup>
            <m:d>
              <m:dPr>
                <m:begChr m:val="("/>
                <m:endChr m:val=")"/>
                <m:sepChr m:val=""/>
                <m:grow/>
              </m:dPr>
              <m:e>
                <m:r>
                  <m:t>1</m:t>
                </m:r>
              </m:e>
            </m:d>
          </m:sup>
        </m:sSubSup>
      </m:oMath>
      <w:r>
        <w:t xml:space="preserve"> </w:t>
      </w:r>
      <w:r>
        <w:t xml:space="preserve">são os máximos com frequência de amostragem de</w:t>
      </w:r>
      <w:r>
        <w:t xml:space="preserve"> </w:t>
      </w:r>
      <m:oMath>
        <m:r>
          <m:t>1</m:t>
        </m:r>
        <m:r>
          <m:rPr>
            <m:sty m:val="p"/>
          </m:rPr>
          <m:t>/</m:t>
        </m:r>
        <m:r>
          <m:t>24</m:t>
        </m:r>
      </m:oMath>
      <w:r>
        <w:t xml:space="preserve"> </w:t>
      </w:r>
      <w:r>
        <w:t xml:space="preserve">h e</w:t>
      </w:r>
      <w:r>
        <w:t xml:space="preserve"> </w:t>
      </w:r>
      <m:oMath>
        <m:r>
          <m:t>1</m:t>
        </m:r>
      </m:oMath>
      <w:r>
        <w:t xml:space="preserve"> </w:t>
      </w:r>
      <w:r>
        <w:t xml:space="preserve">h, respectivamente, e</w:t>
      </w:r>
      <w:r>
        <w:t xml:space="preserve"> </w:t>
      </w:r>
      <m:oMath>
        <m:r>
          <m:t>a</m:t>
        </m:r>
        <m:d>
          <m:dPr>
            <m:begChr m:val="("/>
            <m:endChr m:val=")"/>
            <m:sepChr m:val=""/>
            <m:grow/>
          </m:dPr>
          <m:e>
            <m:r>
              <m:t>D</m:t>
            </m:r>
          </m:e>
        </m:d>
      </m:oMath>
      <w:r>
        <w:t xml:space="preserve"> </w:t>
      </w:r>
      <w:r>
        <w:t xml:space="preserve">depende dos índices extremos das duas séries. Ao incorporar</w:t>
      </w:r>
      <w:r>
        <w:t xml:space="preserve"> </w:t>
      </w:r>
      <m:oMath>
        <m:r>
          <m:t>a</m:t>
        </m:r>
        <m:d>
          <m:dPr>
            <m:begChr m:val="("/>
            <m:endChr m:val=")"/>
            <m:sepChr m:val=""/>
            <m:grow/>
          </m:dPr>
          <m:e>
            <m:r>
              <m:t>D</m:t>
            </m:r>
          </m:e>
        </m:d>
      </m:oMath>
      <w:r>
        <w:t xml:space="preserve"> </w:t>
      </w:r>
      <w:r>
        <w:t xml:space="preserve">nos parâmetros da GEV horário, o modelo se afasta do simples escalonamento e passa a reproduzir sistematicamente o ganho de intensidade quando a janela de medição é afinada, habilitando IDFs horárias mesmo com rede horária muito esparsa.</w:t>
      </w:r>
    </w:p>
    <w:p>
      <w:pPr>
        <w:pStyle w:val="BodyText"/>
      </w:pPr>
      <w:r>
        <w:t xml:space="preserve">Em paralelo, Ghanmi et al. (2016) utilizaram a invariância de escala simples em séries de máximos anuais de intensidade para durações de 5 min a 24 h em 15 pluviômetros no norte da Tunísia, combinando-a com GEV–EV1 (Gumbel) e PWMs para construir IDF e, em seguida, IDAF regionais usando a rede diária muito mais densa. A hipótese central é o escala simple para intensidades máximas</w:t>
      </w:r>
      <w:r>
        <w:t xml:space="preserve"> </w:t>
      </w:r>
      <m:oMath>
        <m:sSub>
          <m:e>
            <m:r>
              <m:t>I</m:t>
            </m:r>
          </m:e>
          <m:sub>
            <m:r>
              <m:t>d</m:t>
            </m:r>
          </m:sub>
        </m:sSub>
      </m:oMath>
      <w:r>
        <w:t xml:space="preserve"> </w:t>
      </w:r>
      <w:r>
        <w:t xml:space="preserve">entre uma duração alvo</w:t>
      </w:r>
      <w:r>
        <w:t xml:space="preserve"> </w:t>
      </w:r>
      <m:oMath>
        <m:r>
          <m:t>d</m:t>
        </m:r>
      </m:oMath>
      <w:r>
        <w:t xml:space="preserve"> </w:t>
      </w:r>
      <w:r>
        <w:t xml:space="preserve">e uma duração de referência</w:t>
      </w:r>
      <w:r>
        <w:t xml:space="preserve"> </w:t>
      </w:r>
      <m:oMath>
        <m:r>
          <m:t>D</m:t>
        </m:r>
      </m:oMath>
      <w:r>
        <w:t xml:space="preserve"> </w:t>
      </w:r>
      <w:r>
        <w:t xml:space="preserve">(típico:</w:t>
      </w:r>
      <w:r>
        <w:t xml:space="preserve"> </w:t>
      </w:r>
      <m:oMath>
        <m:r>
          <m:t>D</m:t>
        </m:r>
        <m:r>
          <m:rPr>
            <m:sty m:val="p"/>
          </m:rPr>
          <m:t>=</m:t>
        </m:r>
        <m:r>
          <m:t>24</m:t>
        </m:r>
        <m:r>
          <m:t>h</m:t>
        </m:r>
      </m:oMath>
      <w:r>
        <w:t xml:space="preserve">):</w:t>
      </w:r>
    </w:p>
    <w:p>
      <w:pPr>
        <w:pStyle w:val="BodyText"/>
      </w:pPr>
      <m:oMathPara>
        <m:oMathParaPr>
          <m:jc m:val="center"/>
        </m:oMathParaPr>
        <m:oMath>
          <m:sSub>
            <m:e>
              <m:r>
                <m:t>I</m:t>
              </m:r>
            </m:e>
            <m:sub>
              <m:r>
                <m:t>d</m:t>
              </m:r>
            </m:sub>
          </m:sSub>
          <m:limUpp>
            <m:e>
              <m:r>
                <m:rPr>
                  <m:sty m:val="p"/>
                </m:rPr>
                <m:t>=</m:t>
              </m:r>
            </m:e>
            <m:lim>
              <m:r>
                <m:t>d</m:t>
              </m:r>
            </m:lim>
          </m:limUpp>
          <m:sSup>
            <m:e>
              <m:r>
                <m:t>k</m:t>
              </m:r>
            </m:e>
            <m:sup>
              <m:r>
                <m:t> </m:t>
              </m:r>
              <m:r>
                <m:rPr>
                  <m:sty m:val="p"/>
                </m:rPr>
                <m:t>−</m:t>
              </m:r>
              <m:r>
                <m:t>η</m:t>
              </m:r>
            </m:sup>
          </m:sSup>
          <m:sSub>
            <m:e>
              <m:r>
                <m:t>I</m:t>
              </m:r>
            </m:e>
            <m:sub>
              <m:r>
                <m:t>D</m:t>
              </m:r>
            </m:sub>
          </m:sSub>
          <m:r>
            <m:rPr>
              <m:sty m:val="p"/>
            </m:rPr>
            <m:t>,</m:t>
          </m:r>
          <m:r>
            <m:t>  </m:t>
          </m:r>
          <m:r>
            <m:t>k</m:t>
          </m:r>
          <m:r>
            <m:rPr>
              <m:sty m:val="p"/>
            </m:rPr>
            <m:t>=</m:t>
          </m:r>
          <m:f>
            <m:fPr>
              <m:type m:val="bar"/>
            </m:fPr>
            <m:num>
              <m:r>
                <m:t>d</m:t>
              </m:r>
            </m:num>
            <m:den>
              <m:r>
                <m:t>D</m:t>
              </m:r>
            </m:den>
          </m:f>
        </m:oMath>
      </m:oMathPara>
    </w:p>
    <w:p>
      <w:pPr>
        <w:pStyle w:val="FirstParagraph"/>
      </w:pPr>
      <w:r>
        <w:t xml:space="preserve">o que implica, para momentos (ou PWMs) de ordem</w:t>
      </w:r>
      <w:r>
        <w:t xml:space="preserve"> </w:t>
      </w:r>
      <m:oMath>
        <m:r>
          <m:t>q</m:t>
        </m:r>
      </m:oMath>
      <w:r>
        <w:t xml:space="preserve">,</w:t>
      </w:r>
      <w:r>
        <w:t xml:space="preserve"> </w:t>
      </w:r>
      <m:oMath>
        <m:r>
          <m:rPr>
            <m:sty m:val="p"/>
            <m:scr m:val="double-struck"/>
          </m:rPr>
          <m:t>E</m:t>
        </m:r>
        <m:d>
          <m:dPr>
            <m:begChr m:val="["/>
            <m:endChr m:val="]"/>
            <m:sepChr m:val=""/>
            <m:grow/>
          </m:dPr>
          <m:e>
            <m:sSubSup>
              <m:e>
                <m:r>
                  <m:t>I</m:t>
                </m:r>
              </m:e>
              <m:sub>
                <m:r>
                  <m:t>d</m:t>
                </m:r>
              </m:sub>
              <m:sup>
                <m:r>
                  <m:t> </m:t>
                </m:r>
                <m:r>
                  <m:t>q</m:t>
                </m:r>
              </m:sup>
            </m:sSubSup>
          </m:e>
        </m:d>
        <m:r>
          <m:rPr>
            <m:sty m:val="p"/>
          </m:rPr>
          <m:t>=</m:t>
        </m:r>
        <m:sSup>
          <m:e>
            <m:r>
              <m:t>k</m:t>
            </m:r>
          </m:e>
          <m:sup>
            <m:r>
              <m:t> </m:t>
            </m:r>
            <m:r>
              <m:t>η</m:t>
            </m:r>
            <m:d>
              <m:dPr>
                <m:begChr m:val="("/>
                <m:endChr m:val=")"/>
                <m:sepChr m:val=""/>
                <m:grow/>
              </m:dPr>
              <m:e>
                <m:r>
                  <m:t>q</m:t>
                </m:r>
              </m:e>
            </m:d>
          </m:sup>
        </m:sSup>
        <m:r>
          <m:rPr>
            <m:sty m:val="p"/>
            <m:scr m:val="double-struck"/>
          </m:rPr>
          <m:t>E</m:t>
        </m:r>
        <m:d>
          <m:dPr>
            <m:begChr m:val="["/>
            <m:endChr m:val="]"/>
            <m:sepChr m:val=""/>
            <m:grow/>
          </m:dPr>
          <m:e>
            <m:sSubSup>
              <m:e>
                <m:r>
                  <m:t>I</m:t>
                </m:r>
              </m:e>
              <m:sub>
                <m:r>
                  <m:t>D</m:t>
                </m:r>
              </m:sub>
              <m:sup>
                <m:r>
                  <m:t> </m:t>
                </m:r>
                <m:r>
                  <m:t>q</m:t>
                </m:r>
              </m:sup>
            </m:sSubSup>
          </m:e>
        </m:d>
      </m:oMath>
      <w:r>
        <w:t xml:space="preserve">. Admitindo a distribuição Gumbel para os máximos anuais, os parâmetros entre durações se ligam por leis de potência e o quantil de retorno</w:t>
      </w:r>
      <w:r>
        <w:t xml:space="preserve"> </w:t>
      </w:r>
      <m:oMath>
        <m:r>
          <m:t>T</m:t>
        </m:r>
      </m:oMath>
      <w:r>
        <w:t xml:space="preserve"> </w:t>
      </w:r>
      <w:r>
        <w:t xml:space="preserve">segue:</w:t>
      </w:r>
    </w:p>
    <w:p>
      <w:pPr>
        <w:pStyle w:val="BodyText"/>
      </w:pPr>
      <m:oMathPara>
        <m:oMathParaPr>
          <m:jc m:val="center"/>
        </m:oMathParaPr>
        <m:oMath>
          <m:sSub>
            <m:e>
              <m:r>
                <m:t>I</m:t>
              </m:r>
            </m:e>
            <m:sub>
              <m:r>
                <m:t>T</m:t>
              </m:r>
              <m:r>
                <m:rPr>
                  <m:sty m:val="p"/>
                </m:rPr>
                <m:t>,</m:t>
              </m:r>
              <m:r>
                <m:t>d</m:t>
              </m:r>
            </m:sub>
          </m:sSub>
          <m:r>
            <m:rPr>
              <m:sty m:val="p"/>
            </m:rPr>
            <m:t>=</m:t>
          </m:r>
          <m:r>
            <m:rPr>
              <m:sty m:val="p"/>
            </m:rPr>
            <m:t>(</m:t>
          </m:r>
          <m:f>
            <m:fPr>
              <m:type m:val="lin"/>
            </m:fPr>
            <m:num>
              <m:r>
                <m:t>d</m:t>
              </m:r>
            </m:num>
            <m:den>
              <m:r>
                <m:t>D</m:t>
              </m:r>
            </m:den>
          </m:f>
          <m:sSup>
            <m:e>
              <m:r>
                <m:rPr>
                  <m:sty m:val="p"/>
                </m:rPr>
                <m:t>)</m:t>
              </m:r>
            </m:e>
            <m:sup>
              <m:r>
                <m:rPr>
                  <m:sty m:val="p"/>
                </m:rPr>
                <m:t>−</m:t>
              </m:r>
              <m:r>
                <m:t>η</m:t>
              </m:r>
            </m:sup>
          </m:sSup>
          <m:r>
            <m:t>​</m:t>
          </m:r>
          <m:d>
            <m:dPr>
              <m:begChr m:val="["/>
              <m:endChr m:val="]"/>
              <m:sepChr m:val=""/>
              <m:grow/>
            </m:dPr>
            <m:e>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oMath>
      </m:oMathPara>
    </w:p>
    <w:p>
      <w:pPr>
        <w:pStyle w:val="FirstParagraph"/>
      </w:pPr>
      <w:r>
        <w:t xml:space="preserve">{#eq.inv-escala-gumbel}</w:t>
      </w:r>
    </w:p>
    <w:p>
      <w:pPr>
        <w:pStyle w:val="BodyText"/>
      </w:pPr>
      <w:r>
        <w:t xml:space="preserve">com extensão por trechos quando há quebra de escala em</w:t>
      </w:r>
      <w:r>
        <w:t xml:space="preserve"> </w:t>
      </w:r>
      <m:oMath>
        <m:sSub>
          <m:e>
            <m:r>
              <m:t>d</m:t>
            </m:r>
          </m:e>
          <m:sub>
            <m:r>
              <m:t>r</m:t>
            </m:r>
          </m:sub>
        </m:sSub>
      </m:oMath>
      <w:r>
        <w:t xml:space="preserve">: usa-se</w:t>
      </w:r>
      <w:r>
        <w:t xml:space="preserve"> </w:t>
      </w:r>
      <m:oMath>
        <m:sSub>
          <m:e>
            <m:r>
              <m:t>η</m:t>
            </m:r>
          </m:e>
          <m:sub>
            <m:r>
              <m:t>1</m:t>
            </m:r>
          </m:sub>
        </m:sSub>
      </m:oMath>
      <w:r>
        <w:t xml:space="preserve"> </w:t>
      </w:r>
      <w:r>
        <w:t xml:space="preserve">para</w:t>
      </w:r>
      <w:r>
        <w:t xml:space="preserve"> </w:t>
      </w:r>
      <m:oMath>
        <m:r>
          <m:t>d</m:t>
        </m:r>
        <m:r>
          <m:rPr>
            <m:sty m:val="p"/>
          </m:rPr>
          <m:t>&lt;</m:t>
        </m:r>
        <m:sSub>
          <m:e>
            <m:r>
              <m:t>d</m:t>
            </m:r>
          </m:e>
          <m:sub>
            <m:r>
              <m:t>r</m:t>
            </m:r>
          </m:sub>
        </m:sSub>
      </m:oMath>
      <w:r>
        <w:t xml:space="preserve"> </w:t>
      </w:r>
      <w:r>
        <w:t xml:space="preserve">e</w:t>
      </w:r>
      <w:r>
        <w:t xml:space="preserve"> </w:t>
      </w:r>
      <m:oMath>
        <m:sSub>
          <m:e>
            <m:r>
              <m:t>η</m:t>
            </m:r>
          </m:e>
          <m:sub>
            <m:r>
              <m:t>2</m:t>
            </m:r>
          </m:sub>
        </m:sSub>
      </m:oMath>
      <w:r>
        <w:t xml:space="preserve"> </w:t>
      </w:r>
      <w:r>
        <w:t xml:space="preserve">para</w:t>
      </w:r>
      <w:r>
        <w:t xml:space="preserve"> </w:t>
      </w:r>
      <m:oMath>
        <m:r>
          <m:t>d</m:t>
        </m:r>
        <m:r>
          <m:rPr>
            <m:sty m:val="p"/>
          </m:rPr>
          <m:t>&gt;</m:t>
        </m:r>
        <m:sSub>
          <m:e>
            <m:r>
              <m:t>d</m:t>
            </m:r>
          </m:e>
          <m:sub>
            <m:r>
              <m:t>r</m:t>
            </m:r>
          </m:sub>
        </m:sSub>
      </m:oMath>
      <w:r>
        <w:t xml:space="preserve">, assegurando continuidade em</w:t>
      </w:r>
      <w:r>
        <w:t xml:space="preserve"> </w:t>
      </w:r>
      <m:oMath>
        <m:sSub>
          <m:e>
            <m:r>
              <m:t>d</m:t>
            </m:r>
          </m:e>
          <m:sub>
            <m:r>
              <m:t>r</m:t>
            </m:r>
          </m:sub>
        </m:sSub>
      </m:oMath>
      <w:r>
        <w:t xml:space="preserve">.</w:t>
      </w:r>
      <w:r>
        <w:t xml:space="preserve"> </w:t>
      </w:r>
    </w:p>
    <w:p>
      <w:pPr>
        <w:pStyle w:val="BodyText"/>
      </w:pPr>
      <w:r>
        <w:t xml:space="preserve">Sane et al. (2018) constroem curvas IDF para o Senegal comparando duas formulações baseadas em invariância de escala acoplada à teoria de valores extremos. Ambas assumem que, para cada duração</w:t>
      </w:r>
      <w:r>
        <w:t xml:space="preserve"> </w:t>
      </w:r>
      <m:oMath>
        <m:r>
          <m:t>D</m:t>
        </m:r>
      </m:oMath>
      <w:r>
        <w:t xml:space="preserve">, a intensidade extrema</w:t>
      </w:r>
      <w:r>
        <w:t xml:space="preserve"> </w:t>
      </w:r>
      <m:oMath>
        <m:r>
          <m:t>I</m:t>
        </m:r>
        <m:d>
          <m:dPr>
            <m:begChr m:val="("/>
            <m:endChr m:val=")"/>
            <m:sepChr m:val=""/>
            <m:grow/>
          </m:dPr>
          <m:e>
            <m:r>
              <m:t>D</m:t>
            </m:r>
          </m:e>
        </m:d>
      </m:oMath>
      <w:r>
        <w:t xml:space="preserve"> </w:t>
      </w:r>
      <w:r>
        <w:t xml:space="preserve">segue uma GEV com parâmetros que escalam via uma função</w:t>
      </w:r>
      <w:r>
        <w:t xml:space="preserve"> </w:t>
      </w:r>
      <m:oMath>
        <m:r>
          <m:t>b</m:t>
        </m:r>
        <m:d>
          <m:dPr>
            <m:begChr m:val="("/>
            <m:endChr m:val=")"/>
            <m:sepChr m:val=""/>
            <m:grow/>
          </m:dPr>
          <m:e>
            <m:r>
              <m:t>D</m:t>
            </m:r>
          </m:e>
        </m:d>
      </m:oMath>
      <w:r>
        <w:t xml:space="preserve">:</w:t>
      </w:r>
      <w:r>
        <w:t xml:space="preserve"> </w:t>
      </w:r>
      <m:oMath>
        <m:r>
          <m:t>μ</m:t>
        </m:r>
        <m:d>
          <m:dPr>
            <m:begChr m:val="("/>
            <m:endChr m:val=")"/>
            <m:sepChr m:val=""/>
            <m:grow/>
          </m:dPr>
          <m:e>
            <m:r>
              <m:t>D</m:t>
            </m:r>
          </m:e>
        </m:d>
        <m:r>
          <m:rPr>
            <m:sty m:val="p"/>
          </m:rPr>
          <m:t>=</m:t>
        </m:r>
        <m:sSub>
          <m:e>
            <m:r>
              <m:t>μ</m:t>
            </m:r>
          </m:e>
          <m:sub>
            <m:r>
              <m:t>0</m:t>
            </m:r>
          </m:sub>
        </m:sSub>
        <m:r>
          <m:t>b</m:t>
        </m:r>
        <m:d>
          <m:dPr>
            <m:begChr m:val="("/>
            <m:endChr m:val=")"/>
            <m:sepChr m:val=""/>
            <m:grow/>
          </m:dPr>
          <m:e>
            <m:r>
              <m:t>D</m:t>
            </m:r>
          </m:e>
        </m:d>
      </m:oMath>
      <w:r>
        <w:t xml:space="preserve">,</w:t>
      </w:r>
      <w:r>
        <w:t xml:space="preserve"> </w:t>
      </w:r>
      <m:oMath>
        <m:r>
          <m:t>σ</m:t>
        </m:r>
        <m:d>
          <m:dPr>
            <m:begChr m:val="("/>
            <m:endChr m:val=")"/>
            <m:sepChr m:val=""/>
            <m:grow/>
          </m:dPr>
          <m:e>
            <m:r>
              <m:t>D</m:t>
            </m:r>
          </m:e>
        </m:d>
        <m:r>
          <m:rPr>
            <m:sty m:val="p"/>
          </m:rPr>
          <m:t>=</m:t>
        </m:r>
        <m:sSub>
          <m:e>
            <m:r>
              <m:t>σ</m:t>
            </m:r>
          </m:e>
          <m:sub>
            <m:r>
              <m:t>0</m:t>
            </m:r>
          </m:sub>
        </m:sSub>
        <m:r>
          <m:t> </m:t>
        </m:r>
        <m:r>
          <m:t>b</m:t>
        </m:r>
        <m:d>
          <m:dPr>
            <m:begChr m:val="("/>
            <m:endChr m:val=")"/>
            <m:sepChr m:val=""/>
            <m:grow/>
          </m:dPr>
          <m:e>
            <m:r>
              <m:t>D</m:t>
            </m:r>
          </m:e>
        </m:d>
      </m:oMath>
      <w:r>
        <w:t xml:space="preserve"> </w:t>
      </w:r>
      <w:r>
        <w:t xml:space="preserve">e</w:t>
      </w:r>
      <w:r>
        <w:t xml:space="preserve"> </w:t>
      </w:r>
      <m:oMath>
        <m:r>
          <m:t>ξ</m:t>
        </m:r>
      </m:oMath>
      <w:r>
        <w:t xml:space="preserve"> </w:t>
      </w:r>
      <w:r>
        <w:t xml:space="preserve">fixo, de modo que o quantil de período de retorno</w:t>
      </w:r>
      <w:r>
        <w:t xml:space="preserve"> </w:t>
      </w:r>
      <m:oMath>
        <m:r>
          <m:t>T</m:t>
        </m:r>
      </m:oMath>
      <w:r>
        <w:t xml:space="preserve"> </w:t>
      </w:r>
      <w:r>
        <w:t xml:space="preserve">é</w:t>
      </w:r>
      <w:r>
        <w:t xml:space="preserve"> </w:t>
      </w:r>
      <m:oMath>
        <m:sSub>
          <m:e>
            <m:r>
              <m:t>i</m:t>
            </m:r>
          </m:e>
          <m:sub>
            <m:r>
              <m:t>T</m:t>
            </m:r>
          </m:sub>
        </m:sSub>
        <m:d>
          <m:dPr>
            <m:begChr m:val="("/>
            <m:endChr m:val=")"/>
            <m:sepChr m:val=""/>
            <m:grow/>
          </m:dPr>
          <m:e>
            <m:r>
              <m:t>D</m:t>
            </m:r>
          </m:e>
        </m:d>
        <m:r>
          <m:rPr>
            <m:sty m:val="p"/>
          </m:rPr>
          <m:t>=</m:t>
        </m:r>
        <m:sSubSup>
          <m:e>
            <m:r>
              <m:t>F</m:t>
            </m:r>
          </m:e>
          <m:sub>
            <m:r>
              <m:rPr>
                <m:nor/>
                <m:sty m:val="p"/>
              </m:rPr>
              <m:t>GEV</m:t>
            </m:r>
          </m:sub>
          <m:sup>
            <m:r>
              <m:rPr>
                <m:sty m:val="p"/>
              </m:rPr>
              <m:t>−</m:t>
            </m:r>
            <m:r>
              <m:t>1</m:t>
            </m:r>
          </m:sup>
        </m:sSubSup>
        <m:d>
          <m:dPr>
            <m:begChr m:val="("/>
            <m:endChr m:val=")"/>
            <m:sepChr m:val=""/>
            <m:grow/>
          </m:dPr>
          <m:e>
            <m:sSub>
              <m:e>
                <m:r>
                  <m:t>D</m:t>
                </m:r>
              </m:e>
              <m:sub>
                <m:r>
                  <m:t>0</m:t>
                </m:r>
              </m:sub>
            </m:sSub>
            <m:r>
              <m:rPr>
                <m:sty m:val="p"/>
              </m:rPr>
              <m:t>,</m:t>
            </m:r>
            <m:r>
              <m:t>1</m:t>
            </m:r>
            <m:r>
              <m:rPr>
                <m:sty m:val="p"/>
              </m:rPr>
              <m:t>−</m:t>
            </m:r>
            <m:r>
              <m:t>1</m:t>
            </m:r>
            <m:r>
              <m:rPr>
                <m:sty m:val="p"/>
              </m:rPr>
              <m:t>/</m:t>
            </m:r>
            <m:r>
              <m:t>T</m:t>
            </m:r>
          </m:e>
        </m:d>
        <m:r>
          <m:t> </m:t>
        </m:r>
        <m:r>
          <m:t>b</m:t>
        </m:r>
        <m:d>
          <m:dPr>
            <m:begChr m:val="("/>
            <m:endChr m:val=")"/>
            <m:sepChr m:val=""/>
            <m:grow/>
          </m:dPr>
          <m:e>
            <m:r>
              <m:t>D</m:t>
            </m:r>
          </m:e>
        </m:d>
      </m:oMath>
      <w:r>
        <w:t xml:space="preserve">, com</w:t>
      </w:r>
      <w:r>
        <w:t xml:space="preserve"> </w:t>
      </w:r>
      <m:oMath>
        <m:sSub>
          <m:e>
            <m:r>
              <m:t>D</m:t>
            </m:r>
          </m:e>
          <m:sub>
            <m:r>
              <m:t>0</m:t>
            </m:r>
          </m:sub>
        </m:sSub>
      </m:oMath>
      <w:r>
        <w:t xml:space="preserve"> </w:t>
      </w:r>
      <w:r>
        <w:t xml:space="preserve">uma duração de referência. Os autores adotam a formulação de Koutsoyiannis et al. (1988) para IDF, usando o escalonamento</w:t>
      </w:r>
      <w:r>
        <w:t xml:space="preserve"> </w:t>
      </w: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oMath>
      <w:r>
        <w:t xml:space="preserve"> </w:t>
      </w:r>
      <w:r>
        <w:t xml:space="preserve">e estimando os parâmetros {</w:t>
      </w:r>
      <m:oMath>
        <m:sSub>
          <m:e>
            <m:r>
              <m:t>μ</m:t>
            </m:r>
          </m:e>
          <m:sub>
            <m:r>
              <m:t>0</m:t>
            </m:r>
          </m:sub>
        </m:sSub>
        <m:r>
          <m:rPr>
            <m:sty m:val="p"/>
          </m:rPr>
          <m:t>,</m:t>
        </m:r>
        <m:sSub>
          <m:e>
            <m:r>
              <m:t>σ</m:t>
            </m:r>
          </m:e>
          <m:sub>
            <m:r>
              <m:t>0</m:t>
            </m:r>
          </m:sub>
        </m:sSub>
        <m:r>
          <m:rPr>
            <m:sty m:val="p"/>
          </m:rPr>
          <m:t>,</m:t>
        </m:r>
        <m:r>
          <m:t>ξ</m:t>
        </m:r>
        <m:r>
          <m:rPr>
            <m:sty m:val="p"/>
          </m:rPr>
          <m:t>,</m:t>
        </m:r>
        <m:r>
          <m:t>η</m:t>
        </m:r>
        <m:r>
          <m:rPr>
            <m:sty m:val="p"/>
          </m:rPr>
          <m:t>,</m:t>
        </m:r>
        <m:r>
          <m:t>θ</m:t>
        </m:r>
      </m:oMath>
      <w:r>
        <w:t xml:space="preserve">} via GEV. Além de calibrar e validar as duas IDFs com testes de aderência e métricas de quantis, o estudo quantifica a incerteza separando a parcela devida ao ajuste da GEV de 24 h da parcela devida à própria escala</w:t>
      </w:r>
      <w:r>
        <w:t xml:space="preserve"> </w:t>
      </w:r>
      <m:oMath>
        <m:r>
          <m:t>b</m:t>
        </m:r>
        <m:d>
          <m:dPr>
            <m:begChr m:val="("/>
            <m:endChr m:val=")"/>
            <m:sepChr m:val=""/>
            <m:grow/>
          </m:dPr>
          <m:e>
            <m:r>
              <m:t>D</m:t>
            </m:r>
          </m:e>
        </m:d>
      </m:oMath>
      <w:r>
        <w:t xml:space="preserve">, apresentando envelopes de confiança de 90% em vários postos; também mapeia parâmetros e níveis de retorno para tornar as curvas IDF acessíveis no país.</w:t>
      </w:r>
    </w:p>
    <w:p>
      <w:pPr>
        <w:pStyle w:val="BodyText"/>
      </w:pPr>
      <w:r>
        <w:t xml:space="preserve">Courty et al. (2019) constroem um arcabouço global de IDF a partir do ERA5 (1–360 h, ~31 km), mostrando que os parâmetros da GEV para máximos anuais escalam com a duração por leis de potência e disponibilizando dois conjuntos: PXR-2 (mapas de</w:t>
      </w:r>
      <w:r>
        <w:t xml:space="preserve"> </w:t>
      </w:r>
      <m:oMath>
        <m:sSub>
          <m:e>
            <m:r>
              <m:t>μ</m:t>
            </m:r>
          </m:e>
          <m:sub>
            <m:r>
              <m:t>d</m:t>
            </m:r>
          </m:sub>
        </m:sSub>
        <m:r>
          <m:rPr>
            <m:sty m:val="p"/>
          </m:rPr>
          <m:t>,</m:t>
        </m:r>
        <m:sSub>
          <m:e>
            <m:r>
              <m:t>σ</m:t>
            </m:r>
          </m:e>
          <m:sub>
            <m:r>
              <m:t>d</m:t>
            </m:r>
          </m:sub>
        </m:sSub>
      </m:oMath>
      <w:r>
        <w:t xml:space="preserve"> </w:t>
      </w:r>
      <w:r>
        <w:t xml:space="preserve">para 19 durações) e PXR-4 (parâmetros de escala das leis de potência), com forma fixa</w:t>
      </w:r>
      <w:r>
        <w:t xml:space="preserve"> </w:t>
      </w:r>
      <m:oMath>
        <m:r>
          <m:t>ξ</m:t>
        </m:r>
        <m:r>
          <m:rPr>
            <m:sty m:val="p"/>
          </m:rPr>
          <m:t>=</m:t>
        </m:r>
        <m:r>
          <m:rPr>
            <m:sty m:val="p"/>
          </m:rPr>
          <m:t>−</m:t>
        </m:r>
        <m:r>
          <m:t>0</m:t>
        </m:r>
        <m:r>
          <m:rPr>
            <m:sty m:val="p"/>
          </m:rPr>
          <m:t>,</m:t>
        </m:r>
        <m:r>
          <m:t>114</m:t>
        </m:r>
      </m:oMath>
      <w:r>
        <w:t xml:space="preserve"> </w:t>
      </w:r>
      <w:r>
        <w:t xml:space="preserve">e estimação por PWMs. A principal contribuição metodológica é formalizar uma IDF contínua em duração que</w:t>
      </w:r>
      <w:r>
        <w:t xml:space="preserve"> </w:t>
      </w:r>
      <w:r>
        <w:t xml:space="preserve">“empresta força”</w:t>
      </w:r>
      <w:r>
        <w:t xml:space="preserve"> </w:t>
      </w:r>
      <w:r>
        <w:t xml:space="preserve">entre escalas via o escalonamento independente de</w:t>
      </w:r>
      <w:r>
        <w:t xml:space="preserve"> </w:t>
      </w:r>
      <m:oMath>
        <m:r>
          <m:t>μ</m:t>
        </m:r>
      </m:oMath>
      <w:r>
        <w:t xml:space="preserve"> </w:t>
      </w:r>
      <w:r>
        <w:t xml:space="preserve">e</w:t>
      </w:r>
      <w:r>
        <w:t xml:space="preserve"> </w:t>
      </w:r>
      <m:oMath>
        <m:r>
          <m:t>σ</m:t>
        </m:r>
      </m:oMath>
      <w:r>
        <w:t xml:space="preserve">:</w:t>
      </w:r>
    </w:p>
    <w:p>
      <w:pPr>
        <w:pStyle w:val="BodyText"/>
      </w:pPr>
      <m:oMathPara>
        <m:oMathParaPr>
          <m:jc m:val="center"/>
        </m:oMathParaPr>
        <m:oMath>
          <m:sSub>
            <m:e>
              <m:r>
                <m:t>μ</m:t>
              </m:r>
            </m:e>
            <m:sub>
              <m:r>
                <m:t>d</m:t>
              </m:r>
            </m:sub>
          </m:sSub>
          <m:r>
            <m:rPr>
              <m:sty m:val="p"/>
            </m:rPr>
            <m:t>=</m:t>
          </m:r>
          <m:r>
            <m:t>a</m:t>
          </m:r>
          <m:r>
            <m:t> </m:t>
          </m:r>
          <m:sSup>
            <m:e>
              <m:r>
                <m:t>d</m:t>
              </m:r>
            </m:e>
            <m:sup>
              <m:r>
                <m:t>α</m:t>
              </m:r>
            </m:sup>
          </m:sSup>
          <m:r>
            <m:rPr>
              <m:sty m:val="p"/>
            </m:rPr>
            <m:t>,</m:t>
          </m:r>
          <m:r>
            <m:t>  </m:t>
          </m:r>
          <m:sSub>
            <m:e>
              <m:r>
                <m:t>σ</m:t>
              </m:r>
            </m:e>
            <m:sub>
              <m:r>
                <m:t>d</m:t>
              </m:r>
            </m:sub>
          </m:sSub>
          <m:r>
            <m:rPr>
              <m:sty m:val="p"/>
            </m:rPr>
            <m:t>=</m:t>
          </m:r>
          <m:r>
            <m:t>b</m:t>
          </m:r>
          <m:r>
            <m:t> </m:t>
          </m:r>
          <m:sSup>
            <m:e>
              <m:r>
                <m:t>d</m:t>
              </m:r>
            </m:e>
            <m:sup>
              <m:r>
                <m:t>β</m:t>
              </m:r>
            </m:sup>
          </m:sSup>
          <m:r>
            <m:rPr>
              <m:sty m:val="p"/>
            </m:rPr>
            <m:t>,</m:t>
          </m:r>
          <m:r>
            <m:t>  </m:t>
          </m:r>
          <m:sSub>
            <m:e>
              <m:r>
                <m:t>i</m:t>
              </m:r>
            </m:e>
            <m:sub>
              <m:r>
                <m:t>d</m:t>
              </m:r>
              <m:r>
                <m:rPr>
                  <m:sty m:val="p"/>
                </m:rPr>
                <m:t>,</m:t>
              </m:r>
              <m:r>
                <m:t>T</m:t>
              </m:r>
            </m:sub>
          </m:sSub>
          <m:r>
            <m:rPr>
              <m:sty m:val="p"/>
            </m:rPr>
            <m:t>=</m:t>
          </m:r>
          <m:sSub>
            <m:e>
              <m:r>
                <m:t>μ</m:t>
              </m:r>
            </m:e>
            <m:sub>
              <m:r>
                <m:t>d</m:t>
              </m:r>
            </m:sub>
          </m:sSub>
          <m:r>
            <m:rPr>
              <m:sty m:val="p"/>
            </m:rPr>
            <m:t>+</m:t>
          </m:r>
          <m:sSub>
            <m:e>
              <m:r>
                <m:t>σ</m:t>
              </m:r>
            </m:e>
            <m:sub>
              <m:r>
                <m:t>d</m:t>
              </m:r>
            </m:sub>
          </m:sSub>
          <m:r>
            <m:t> </m:t>
          </m:r>
          <m:sSub>
            <m:e>
              <m:r>
                <m:t>y</m:t>
              </m:r>
            </m:e>
            <m:sub>
              <m:r>
                <m:t>T</m:t>
              </m:r>
            </m:sub>
          </m:sSub>
        </m:oMath>
      </m:oMathPara>
    </w:p>
    <w:p>
      <w:pPr>
        <w:pStyle w:val="FirstParagraph"/>
      </w:pPr>
      <w:r>
        <w:t xml:space="preserve">{#eq.par-courty}</w:t>
      </w:r>
    </w:p>
    <w:p>
      <w:pPr>
        <w:pStyle w:val="BodyText"/>
      </w:pPr>
      <w:r>
        <w:t xml:space="preserve">onde</w:t>
      </w:r>
      <w:r>
        <w:t xml:space="preserve"> </w:t>
      </w:r>
      <m:oMath>
        <m:r>
          <m:t>d</m:t>
        </m:r>
      </m:oMath>
      <w:r>
        <w:t xml:space="preserve"> </w:t>
      </w:r>
      <w:r>
        <w:t xml:space="preserve">é a duração (h),</w:t>
      </w:r>
      <w:r>
        <w:t xml:space="preserve"> </w:t>
      </w:r>
      <m:oMath>
        <m:sSub>
          <m:e>
            <m:r>
              <m:t>i</m:t>
            </m:r>
          </m:e>
          <m:sub>
            <m:r>
              <m:t>d</m:t>
            </m:r>
            <m:r>
              <m:rPr>
                <m:sty m:val="p"/>
              </m:rPr>
              <m:t>,</m:t>
            </m:r>
            <m:r>
              <m:t>T</m:t>
            </m:r>
          </m:sub>
        </m:sSub>
      </m:oMath>
      <w:r>
        <w:t xml:space="preserve">, é o quantil (mm</w:t>
      </w:r>
      <w:r>
        <w:t xml:space="preserve"> </w:t>
      </w:r>
      <m:oMath>
        <m:sSup>
          <m:e>
            <m:r>
              <m:t>h</m:t>
            </m:r>
          </m:e>
          <m:sup>
            <m:r>
              <m:rPr>
                <m:sty m:val="p"/>
              </m:rPr>
              <m:t>−</m:t>
            </m:r>
            <m:r>
              <m:t>1</m:t>
            </m:r>
          </m:sup>
        </m:sSup>
      </m:oMath>
      <w:r>
        <w:t xml:space="preserve">) para período de retorno</w:t>
      </w:r>
      <w:r>
        <w:t xml:space="preserve"> </w:t>
      </w:r>
      <m:oMath>
        <m:r>
          <m:t>T</m:t>
        </m:r>
      </m:oMath>
      <w:r>
        <w:t xml:space="preserve">, e</w:t>
      </w:r>
      <w:r>
        <w:t xml:space="preserve"> </w:t>
      </w:r>
      <m:oMath>
        <m:sSub>
          <m:e>
            <m:r>
              <m:t>y</m:t>
            </m:r>
          </m:e>
          <m:sub>
            <m:r>
              <m:t>T</m:t>
            </m:r>
          </m:sub>
        </m:sSub>
      </m:oMath>
      <w:r>
        <w:t xml:space="preserve"> </w:t>
      </w:r>
      <w:r>
        <w:t xml:space="preserve">é a variável reduzida da GEV. 𝜇 e 𝜎 escalam de forma robusta com a duração (R² &gt; 0,88). Com base nisso, propõem uma fórmula IDF universal (PXR-4) e verificam, com ERA5 e pluviômetros MIDAS (Reino Unido e cidades globais), que as intensidades estimadas ficam ±20% das de PXR-2 para 2–360 h.</w:t>
      </w:r>
    </w:p>
    <w:p>
      <w:pPr>
        <w:pStyle w:val="BodyText"/>
      </w:pPr>
      <w:r>
        <w:t xml:space="preserve">Ainda, Mascaro et al. (2020) compara, em 223 pluviômetros (30 min–24 h) no Arizona, cinco modelos de IDF — dois locais (At-site; At-site com correção de viés em</w:t>
      </w:r>
      <w:r>
        <w:t xml:space="preserve"> </w:t>
      </w:r>
      <m:oMath>
        <m:r>
          <m:t>ξ</m:t>
        </m:r>
      </m:oMath>
      <w:r>
        <w:t xml:space="preserve">), um regional (index-flood de Hosking–Wallis) e dois de escala simples (um local, Sc, e um regional novo, RegSc). Mostra evidência robusta de escala simples entre 24 h e 30 min e propõe o RegSc combinando crescimento regional com a escala sob</w:t>
      </w:r>
      <w:r>
        <w:t xml:space="preserve"> </w:t>
      </w:r>
      <m:oMath>
        <m:sSub>
          <m:e>
            <m:r>
              <m:t>I</m:t>
            </m:r>
          </m:e>
          <m:sub>
            <m:r>
              <m:t>d</m:t>
            </m:r>
          </m:sub>
        </m:sSub>
        <m:limUpp>
          <m:e>
            <m:r>
              <m:rPr>
                <m:sty m:val="p"/>
              </m:rPr>
              <m:t>=</m:t>
            </m:r>
          </m:e>
          <m:lim>
            <m:r>
              <m:t>d</m:t>
            </m:r>
          </m:lim>
        </m:limUpp>
        <m:sSup>
          <m:e>
            <m:d>
              <m:dPr>
                <m:begChr m:val="("/>
                <m:endChr m:val=")"/>
                <m:sepChr m:val=""/>
                <m:grow/>
              </m:dPr>
              <m:e>
                <m:r>
                  <m:t>d</m:t>
                </m:r>
                <m:r>
                  <m:rPr>
                    <m:sty m:val="p"/>
                  </m:rPr>
                  <m:t>/</m:t>
                </m:r>
                <m:sSub>
                  <m:e>
                    <m:r>
                      <m:t>d</m:t>
                    </m:r>
                  </m:e>
                  <m:sub>
                    <m:r>
                      <m:t>0</m:t>
                    </m:r>
                  </m:sub>
                </m:sSub>
              </m:e>
            </m:d>
          </m:e>
          <m:sup>
            <m:r>
              <m:rPr>
                <m:sty m:val="p"/>
              </m:rPr>
              <m:t>−</m:t>
            </m:r>
            <m:r>
              <m:t>η</m:t>
            </m:r>
          </m:sup>
        </m:sSup>
        <m:sSub>
          <m:e>
            <m:r>
              <m:t>I</m:t>
            </m:r>
          </m:e>
          <m:sub>
            <m:sSub>
              <m:e>
                <m:r>
                  <m:t>d</m:t>
                </m:r>
              </m:e>
              <m:sub>
                <m:r>
                  <m:t>0</m:t>
                </m:r>
              </m:sub>
            </m:sSub>
          </m:sub>
        </m:sSub>
      </m:oMath>
      <w:r>
        <w:t xml:space="preserve">, a curva de crescimento é única em</w:t>
      </w:r>
      <w:r>
        <w:t xml:space="preserve"> </w:t>
      </w:r>
      <m:oMath>
        <m:r>
          <m:t>d</m:t>
        </m:r>
      </m:oMath>
      <w:r>
        <w:t xml:space="preserve"> </w:t>
      </w:r>
      <w:r>
        <w:t xml:space="preserve">e</w:t>
      </w:r>
    </w:p>
    <w:p>
      <w:pPr>
        <w:pStyle w:val="BodyText"/>
      </w:pPr>
      <m:oMathPara>
        <m:oMathParaPr>
          <m:jc m:val="center"/>
        </m:oMathParaPr>
        <m:oMath>
          <m:sSub>
            <m:e>
              <m:r>
                <m:t>i</m:t>
              </m:r>
            </m:e>
            <m:sub>
              <m:r>
                <m:t>T</m:t>
              </m:r>
              <m:r>
                <m:rPr>
                  <m:sty m:val="p"/>
                </m:rPr>
                <m:t>,</m:t>
              </m:r>
              <m:r>
                <m:t>d</m:t>
              </m:r>
            </m:sub>
          </m:sSub>
          <m:r>
            <m:rPr>
              <m:sty m:val="p"/>
            </m:rPr>
            <m:t>=</m:t>
          </m:r>
          <m:sSub>
            <m:e>
              <m:r>
                <m:t>x</m:t>
              </m:r>
            </m:e>
            <m:sub>
              <m:sSub>
                <m:e>
                  <m:r>
                    <m:t>d</m:t>
                  </m:r>
                </m:e>
                <m:sub>
                  <m:r>
                    <m:t>0</m:t>
                  </m:r>
                </m:sub>
              </m:sSub>
            </m:sub>
          </m:sSub>
          <m:r>
            <m:t> </m:t>
          </m:r>
          <m:sSup>
            <m:e>
              <m:d>
                <m:dPr>
                  <m:begChr m:val="("/>
                  <m:endChr m:val=")"/>
                  <m:sepChr m:val=""/>
                  <m:grow/>
                </m:dPr>
                <m:e>
                  <m:r>
                    <m:t>d</m:t>
                  </m:r>
                  <m:r>
                    <m:rPr>
                      <m:sty m:val="p"/>
                    </m:rPr>
                    <m:t>/</m:t>
                  </m:r>
                  <m:sSub>
                    <m:e>
                      <m:r>
                        <m:t>d</m:t>
                      </m:r>
                    </m:e>
                    <m:sub>
                      <m:r>
                        <m:t>0</m:t>
                      </m:r>
                    </m:sub>
                  </m:sSub>
                </m:e>
              </m:d>
            </m:e>
            <m:sup>
              <m:r>
                <m:rPr>
                  <m:sty m:val="p"/>
                </m:rPr>
                <m:t>−</m:t>
              </m:r>
              <m:r>
                <m:t>η</m:t>
              </m:r>
            </m:sup>
          </m:sSup>
          <m:r>
            <m:t> </m:t>
          </m:r>
          <m:sSubSup>
            <m:e>
              <m:r>
                <m:t>i</m:t>
              </m:r>
            </m:e>
            <m:sub>
              <m:r>
                <m:t>T</m:t>
              </m:r>
              <m:r>
                <m:rPr>
                  <m:sty m:val="p"/>
                </m:rPr>
                <m:t>,</m:t>
              </m:r>
              <m:sSub>
                <m:e>
                  <m:r>
                    <m:t>d</m:t>
                  </m:r>
                </m:e>
                <m:sub>
                  <m:r>
                    <m:t>0</m:t>
                  </m:r>
                </m:sub>
              </m:sSub>
            </m:sub>
            <m:sup>
              <m:r>
                <m:rPr>
                  <m:nor/>
                  <m:sty m:val="p"/>
                </m:rPr>
                <m:t>GC</m:t>
              </m:r>
            </m:sup>
          </m:sSubSup>
          <m:r>
            <m:rPr>
              <m:sty m:val="p"/>
            </m:rPr>
            <m:t>,</m:t>
          </m:r>
          <m:r>
            <m:t>  </m:t>
          </m:r>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sSub>
                <m:e>
                  <m:r>
                    <m:t>d</m:t>
                  </m:r>
                </m:e>
                <m:sub>
                  <m:r>
                    <m:t>0</m:t>
                  </m:r>
                </m:sub>
              </m:sSub>
            </m:sub>
          </m:sSub>
          <m:r>
            <m:rPr>
              <m:sty m:val="p"/>
            </m:rPr>
            <m:t>,</m:t>
          </m:r>
          <m:r>
            <m:t> </m:t>
          </m:r>
          <m:r>
            <m:t> </m:t>
          </m:r>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sSub>
                <m:e>
                  <m:r>
                    <m:t>d</m:t>
                  </m:r>
                </m:e>
                <m:sub>
                  <m:r>
                    <m:t>0</m:t>
                  </m:r>
                </m:sub>
              </m:sSub>
            </m:sub>
          </m:sSub>
        </m:oMath>
      </m:oMathPara>
    </w:p>
    <w:p>
      <w:pPr>
        <w:pStyle w:val="FirstParagraph"/>
      </w:pPr>
      <w:r>
        <w:t xml:space="preserve">{#eq.mascaro}</w:t>
      </w:r>
    </w:p>
    <w:p>
      <w:pPr>
        <w:pStyle w:val="BodyText"/>
      </w:pPr>
      <w:r>
        <w:t xml:space="preserve">com</w:t>
      </w:r>
      <w:r>
        <w:t xml:space="preserve"> </w:t>
      </w:r>
      <m:oMath>
        <m:r>
          <m:t>μ</m:t>
        </m:r>
        <m:r>
          <m:rPr>
            <m:sty m:val="p"/>
          </m:rPr>
          <m:t>,</m:t>
        </m:r>
        <m:r>
          <m:t>σ</m:t>
        </m:r>
        <m:r>
          <m:rPr>
            <m:sty m:val="p"/>
          </m:rPr>
          <m:t>,</m:t>
        </m:r>
        <m:r>
          <m:t>ξ</m:t>
        </m:r>
      </m:oMath>
      <w:r>
        <w:t xml:space="preserve"> </w:t>
      </w:r>
      <w:r>
        <w:t xml:space="preserve">da GEV e</w:t>
      </w:r>
      <w:r>
        <w:t xml:space="preserve"> </w:t>
      </w:r>
      <m:oMath>
        <m:r>
          <m:t>η</m:t>
        </m:r>
      </m:oMath>
      <w:r>
        <w:t xml:space="preserve"> </w:t>
      </w:r>
      <w:r>
        <w:t xml:space="preserve">comum às durações. Em cross-validation com bootstrapping, todos os modelos têm acurácia similar até</w:t>
      </w:r>
      <w:r>
        <w:t xml:space="preserve"> </w:t>
      </w:r>
      <m:oMath>
        <m:r>
          <m:t>T</m:t>
        </m:r>
        <m:r>
          <m:rPr>
            <m:sty m:val="p"/>
          </m:rPr>
          <m:t>≤</m:t>
        </m:r>
        <m:r>
          <m:t>30</m:t>
        </m:r>
      </m:oMath>
      <w:r>
        <w:t xml:space="preserve"> </w:t>
      </w:r>
      <w:r>
        <w:t xml:space="preserve">anos; para</w:t>
      </w:r>
      <w:r>
        <w:t xml:space="preserve"> </w:t>
      </w:r>
      <m:oMath>
        <m:r>
          <m:t>T</m:t>
        </m:r>
      </m:oMath>
      <w:r>
        <w:t xml:space="preserve"> </w:t>
      </w:r>
      <w:r>
        <w:t xml:space="preserve">altos, At-siteBC reduz viés (cauda mais pesada). Quando há poucos medidores sub-diários</w:t>
      </w:r>
      <w:r>
        <w:t xml:space="preserve"> </w:t>
      </w:r>
      <m:oMath>
        <m:d>
          <m:dPr>
            <m:begChr m:val="("/>
            <m:endChr m:val=")"/>
            <m:sepChr m:val=""/>
            <m:grow/>
          </m:dPr>
          <m:e>
            <m:sSub>
              <m:e>
                <m:r>
                  <m:t>N</m:t>
                </m:r>
              </m:e>
              <m:sub>
                <m:r>
                  <m:t>t</m:t>
                </m:r>
              </m:sub>
            </m:sSub>
            <m:r>
              <m:t>​</m:t>
            </m:r>
            <m:r>
              <m:rPr>
                <m:sty m:val="p"/>
              </m:rPr>
              <m:t>≤</m:t>
            </m:r>
            <m:r>
              <m:t>​</m:t>
            </m:r>
            <m:r>
              <m:t>5</m:t>
            </m:r>
          </m:e>
        </m:d>
      </m:oMath>
      <w:r>
        <w:t xml:space="preserve"> </w:t>
      </w:r>
      <w:r>
        <w:t xml:space="preserve">mas muitos diários</w:t>
      </w:r>
      <w:r>
        <w:t xml:space="preserve"> </w:t>
      </w:r>
      <m:oMath>
        <m:d>
          <m:dPr>
            <m:begChr m:val="("/>
            <m:endChr m:val=")"/>
            <m:sepChr m:val=""/>
            <m:grow/>
          </m:dPr>
          <m:e>
            <m:sSub>
              <m:e>
                <m:r>
                  <m:t>N</m:t>
                </m:r>
              </m:e>
              <m:sub>
                <m:r>
                  <m:t>24</m:t>
                </m:r>
                <m:r>
                  <m:t>h</m:t>
                </m:r>
              </m:sub>
            </m:sSub>
            <m:r>
              <m:t>​</m:t>
            </m:r>
            <m:r>
              <m:rPr>
                <m:sty m:val="p"/>
              </m:rPr>
              <m:t>≥</m:t>
            </m:r>
            <m:r>
              <m:t>​</m:t>
            </m:r>
            <m:r>
              <m:t>10</m:t>
            </m:r>
          </m:e>
        </m:d>
      </m:oMath>
      <w:r>
        <w:t xml:space="preserve">, os modelos de escala (Sc/RegSc) superam os demais e a incerteza cai acentuadamente (p.ex., largura do</w:t>
      </w:r>
      <w:r>
        <w:t xml:space="preserve"> </w:t>
      </w:r>
      <m:oMath>
        <m:r>
          <m:t>I</m:t>
        </m:r>
        <m:sSub>
          <m:e>
            <m:r>
              <m:t>C</m:t>
            </m:r>
          </m:e>
          <m:sub>
            <m:r>
              <m:t>90</m:t>
            </m:r>
            <m:r>
              <m:rPr>
                <m:sty m:val="p"/>
              </m:rPr>
              <m:t>%</m:t>
            </m:r>
          </m:sub>
        </m:sSub>
      </m:oMath>
      <w:r>
        <w:t xml:space="preserve"> </w:t>
      </w:r>
      <w:r>
        <w:t xml:space="preserve">e RMSE diminuem). O desempenho depende de captar o controle orográfico sobre</w:t>
      </w:r>
      <w:r>
        <w:t xml:space="preserve"> </w:t>
      </w:r>
      <m:oMath>
        <m:r>
          <m:t>μ</m:t>
        </m:r>
        <m:r>
          <m:rPr>
            <m:sty m:val="p"/>
          </m:rPr>
          <m:t>,</m:t>
        </m:r>
        <m:r>
          <m:t>σ</m:t>
        </m:r>
      </m:oMath>
      <w:r>
        <w:t xml:space="preserve"> </w:t>
      </w:r>
      <w:r>
        <w:t xml:space="preserve">(forte), enquanto</w:t>
      </w:r>
      <w:r>
        <w:t xml:space="preserve"> </w:t>
      </w:r>
      <m:oMath>
        <m:r>
          <m:t>ξ</m:t>
        </m:r>
      </m:oMath>
      <w:r>
        <w:t xml:space="preserve"> </w:t>
      </w:r>
      <w:r>
        <w:t xml:space="preserve">e</w:t>
      </w:r>
      <w:r>
        <w:t xml:space="preserve"> </w:t>
      </w:r>
      <m:oMath>
        <m:r>
          <m:t>η</m:t>
        </m:r>
      </m:oMath>
      <w:r>
        <w:t xml:space="preserve"> </w:t>
      </w:r>
      <w:r>
        <w:t xml:space="preserve">pouco variam espacialmente.</w:t>
      </w:r>
    </w:p>
    <w:p>
      <w:pPr>
        <w:pStyle w:val="BodyText"/>
      </w:pPr>
      <w:r>
        <w:t xml:space="preserve">Yeo et al (2021) apresentam um esquema de desagregação temporal baseado em invariância de escala que chamam de Scaling-GEV. Partem da hipótese de escala simples para máximos anuais (AMPs), pela qual os parâmetros da GEV em duas durações</w:t>
      </w:r>
      <w:r>
        <w:t xml:space="preserve"> </w:t>
      </w:r>
      <m:oMath>
        <m:r>
          <m:t>d</m:t>
        </m:r>
      </m:oMath>
      <w:r>
        <w:t xml:space="preserve"> </w:t>
      </w:r>
      <w:r>
        <w:t xml:space="preserve">e</w:t>
      </w:r>
      <w:r>
        <w:t xml:space="preserve"> </w:t>
      </w:r>
      <m:oMath>
        <m:r>
          <m:t>λ</m:t>
        </m:r>
        <m:r>
          <m:t>d</m:t>
        </m:r>
      </m:oMath>
      <w:r>
        <w:t xml:space="preserve"> </w:t>
      </w:r>
      <w:r>
        <w:t xml:space="preserve">satisfazem</w:t>
      </w:r>
      <w:r>
        <w:t xml:space="preserve"> </w:t>
      </w:r>
      <m:oMath>
        <m:r>
          <m:t>ξ</m:t>
        </m:r>
        <m:d>
          <m:dPr>
            <m:begChr m:val="("/>
            <m:endChr m:val=")"/>
            <m:sepChr m:val=""/>
            <m:grow/>
          </m:dPr>
          <m:e>
            <m:r>
              <m:t>λ</m:t>
            </m:r>
            <m:r>
              <m:t>d</m:t>
            </m:r>
          </m:e>
        </m:d>
        <m:r>
          <m:rPr>
            <m:sty m:val="p"/>
          </m:rPr>
          <m:t>=</m:t>
        </m:r>
        <m:r>
          <m:t>ξ</m:t>
        </m:r>
        <m:d>
          <m:dPr>
            <m:begChr m:val="("/>
            <m:endChr m:val=")"/>
            <m:sepChr m:val=""/>
            <m:grow/>
          </m:dPr>
          <m:e>
            <m:r>
              <m:t>d</m:t>
            </m:r>
          </m:e>
        </m:d>
      </m:oMath>
      <w:r>
        <w:t xml:space="preserve"> </w:t>
      </w:r>
      <w:r>
        <w:t xml:space="preserve">(forma constante),</w:t>
      </w:r>
      <w:r>
        <w:t xml:space="preserve"> </w:t>
      </w:r>
      <m:oMath>
        <m:r>
          <m:t>μ</m:t>
        </m:r>
        <m:d>
          <m:dPr>
            <m:begChr m:val="("/>
            <m:endChr m:val=")"/>
            <m:sepChr m:val=""/>
            <m:grow/>
          </m:dPr>
          <m:e>
            <m:r>
              <m:t>λ</m:t>
            </m:r>
            <m:r>
              <m:t>d</m:t>
            </m:r>
          </m:e>
        </m:d>
        <m:r>
          <m:rPr>
            <m:sty m:val="p"/>
          </m:rPr>
          <m:t>=</m:t>
        </m:r>
        <m:sSup>
          <m:e>
            <m:r>
              <m:t>λ</m:t>
            </m:r>
          </m:e>
          <m:sup>
            <m:r>
              <m:rPr>
                <m:sty m:val="p"/>
              </m:rPr>
              <m:t>−</m:t>
            </m:r>
            <m:r>
              <m:t>η</m:t>
            </m:r>
          </m:sup>
        </m:sSup>
        <m:r>
          <m:t>μ</m:t>
        </m:r>
        <m:d>
          <m:dPr>
            <m:begChr m:val="("/>
            <m:endChr m:val=")"/>
            <m:sepChr m:val=""/>
            <m:grow/>
          </m:dPr>
          <m:e>
            <m:r>
              <m:t>d</m:t>
            </m:r>
          </m:e>
        </m:d>
      </m:oMath>
      <w:r>
        <w:t xml:space="preserve"> </w:t>
      </w:r>
      <w:r>
        <w:t xml:space="preserve">e</w:t>
      </w:r>
      <w:r>
        <w:t xml:space="preserve"> </w:t>
      </w:r>
      <m:oMath>
        <m:r>
          <m:t>σ</m:t>
        </m:r>
        <m:d>
          <m:dPr>
            <m:begChr m:val="("/>
            <m:endChr m:val=")"/>
            <m:sepChr m:val=""/>
            <m:grow/>
          </m:dPr>
          <m:e>
            <m:r>
              <m:t>λ</m:t>
            </m:r>
            <m:r>
              <m:t>d</m:t>
            </m:r>
          </m:e>
        </m:d>
        <m:r>
          <m:rPr>
            <m:sty m:val="p"/>
          </m:rPr>
          <m:t>=</m:t>
        </m:r>
        <m:sSup>
          <m:e>
            <m:r>
              <m:t>λ</m:t>
            </m:r>
          </m:e>
          <m:sup>
            <m:r>
              <m:rPr>
                <m:sty m:val="p"/>
              </m:rPr>
              <m:t>−</m:t>
            </m:r>
            <m:r>
              <m:t>η</m:t>
            </m:r>
          </m:sup>
        </m:sSup>
        <m:r>
          <m:t>σ</m:t>
        </m:r>
        <m:d>
          <m:dPr>
            <m:begChr m:val="("/>
            <m:endChr m:val=")"/>
            <m:sepChr m:val=""/>
            <m:grow/>
          </m:dPr>
          <m:e>
            <m:r>
              <m:t>d</m:t>
            </m:r>
          </m:e>
        </m:d>
      </m:oMath>
      <w:r>
        <w:t xml:space="preserve"> </w:t>
      </w:r>
      <w:r>
        <w:t xml:space="preserve">(escala e localização com lei de potência). Com essa estrutura, os autores propõem três rotas de estimação para a GEV subdiária a partir de AMPs diárias: SLmom (estima</w:t>
      </w:r>
      <w:r>
        <w:t xml:space="preserve"> </w:t>
      </w:r>
      <m:oMath>
        <m:r>
          <m:t>μ</m:t>
        </m:r>
        <m:r>
          <m:rPr>
            <m:sty m:val="p"/>
          </m:rPr>
          <m:t>,</m:t>
        </m:r>
        <m:r>
          <m:t>σ</m:t>
        </m:r>
        <m:r>
          <m:rPr>
            <m:sty m:val="p"/>
          </m:rPr>
          <m:t>,</m:t>
        </m:r>
        <m:r>
          <m:t>ξ</m:t>
        </m:r>
      </m:oMath>
      <w:r>
        <w:t xml:space="preserve"> </w:t>
      </w:r>
      <w:r>
        <w:t xml:space="preserve">por L-momentos após reescalar quantis), S1NCM (usa apenas</w:t>
      </w:r>
      <w:r>
        <w:t xml:space="preserve"> </w:t>
      </w:r>
      <m:oMath>
        <m:sSub>
          <m:e>
            <m:r>
              <m:t>μ</m:t>
            </m:r>
          </m:e>
          <m:sub>
            <m:r>
              <m:t>1</m:t>
            </m:r>
          </m:sub>
        </m:sSub>
      </m:oMath>
      <w:r>
        <w:t xml:space="preserve"> </w:t>
      </w:r>
      <w:r>
        <w:t xml:space="preserve">para obter</w:t>
      </w:r>
      <w:r>
        <w:t xml:space="preserve"> </w:t>
      </w:r>
      <m:oMath>
        <m:sSup>
          <m:e>
            <m:r>
              <m:t>λ</m:t>
            </m:r>
          </m:e>
          <m:sup>
            <m:r>
              <m:rPr>
                <m:sty m:val="p"/>
              </m:rPr>
              <m:t>−</m:t>
            </m:r>
            <m:r>
              <m:t>η</m:t>
            </m:r>
          </m:sup>
        </m:sSup>
      </m:oMath>
      <w:r>
        <w:t xml:space="preserve"> </w:t>
      </w:r>
      <w:r>
        <w:t xml:space="preserve">e transporta</w:t>
      </w:r>
      <w:r>
        <w:t xml:space="preserve"> </w:t>
      </w:r>
      <m:oMath>
        <m:r>
          <m:t>μ</m:t>
        </m:r>
        <m:r>
          <m:rPr>
            <m:sty m:val="p"/>
          </m:rPr>
          <m:t>,</m:t>
        </m:r>
        <m:r>
          <m:t>σ</m:t>
        </m:r>
      </m:oMath>
      <w:r>
        <w:t xml:space="preserve">, mantendo</w:t>
      </w:r>
      <w:r>
        <w:t xml:space="preserve"> </w:t>
      </w:r>
      <m:oMath>
        <m:r>
          <m:t>ξ</m:t>
        </m:r>
      </m:oMath>
      <w:r>
        <w:t xml:space="preserve"> </w:t>
      </w:r>
      <w:r>
        <w:t xml:space="preserve">constante) e S3NCM (usa</w:t>
      </w:r>
      <w:r>
        <w:t xml:space="preserve"> </w:t>
      </w:r>
      <m:oMath>
        <m:sSub>
          <m:e>
            <m:r>
              <m:t>μ</m:t>
            </m:r>
          </m:e>
          <m:sub>
            <m:r>
              <m:t>1</m:t>
            </m:r>
          </m:sub>
        </m:sSub>
        <m:r>
          <m:rPr>
            <m:sty m:val="p"/>
          </m:rPr>
          <m:t>,</m:t>
        </m:r>
        <m:sSub>
          <m:e>
            <m:r>
              <m:t>μ</m:t>
            </m:r>
          </m:e>
          <m:sub>
            <m:r>
              <m:t>2</m:t>
            </m:r>
          </m:sub>
        </m:sSub>
        <m:r>
          <m:rPr>
            <m:sty m:val="p"/>
          </m:rPr>
          <m:t>,</m:t>
        </m:r>
        <m:sSub>
          <m:e>
            <m:r>
              <m:t>μ</m:t>
            </m:r>
          </m:e>
          <m:sub>
            <m:r>
              <m:t>3</m:t>
            </m:r>
          </m:sub>
        </m:sSub>
      </m:oMath>
      <w:r>
        <w:t xml:space="preserve"> </w:t>
      </w:r>
      <w:r>
        <w:t xml:space="preserve">e resolve numericamente</w:t>
      </w:r>
      <w:r>
        <w:t xml:space="preserve"> </w:t>
      </w:r>
      <m:oMath>
        <m:r>
          <m:t>ξ</m:t>
        </m:r>
      </m:oMath>
      <w:r>
        <w:t xml:space="preserve">). Em aplicações a Dorval (Canadá) e Seul (Coreia), identificam dois regimes de duração com pontos de ruptura (≈30 min e 90 min, respectivamente) e mostram que S3NCM é, em geral, o mais acurado para durações subdiárias, enquanto SLmom tende a ir melhor nas mais longas. Como contribuição adicional, introduzem um bootstrap modificado que constrói intervalos de confiança de 95% para IDFs usando somente AMPs diárias: reamostram as AMPs de 1 dia, propagam a incerteza via relações de scaling para as durações curtas e fecham os limites com a inversa da GEV.</w:t>
      </w:r>
    </w:p>
    <w:p>
      <w:pPr>
        <w:pStyle w:val="BodyText"/>
      </w:pPr>
      <w:r>
        <w:t xml:space="preserve">Para aplicações em grade sob mudança do clima, Requena et al. (2021) propuseram um downscaling temporal que combina AM diários de RCMs com expoentes de escala observados em grade. No estudo, a desagregação temporal em grade baseia-se no modelo GEV com invariância de escala formulado via probabilistic weighted moments (PWMs). O modelo segue a formulação da escala simples com a distribuição GEV.</w:t>
      </w:r>
      <w:r>
        <w:t xml:space="preserve"> </w:t>
      </w:r>
      <w:r>
        <w:t xml:space="preserve"> </w:t>
      </w:r>
      <w:r>
        <w:t xml:space="preserve">&lt;!–#Sob escala simples, as PWMs em duas escalas temporais</w:t>
      </w:r>
      <w:r>
        <w:t xml:space="preserve"> </w:t>
      </w:r>
      <m:oMath>
        <m:r>
          <m:t>t</m:t>
        </m:r>
      </m:oMath>
      <w:r>
        <w:t xml:space="preserve"> </w:t>
      </w:r>
      <w:r>
        <w:t xml:space="preserve">e</w:t>
      </w:r>
      <w:r>
        <w:t xml:space="preserve"> </w:t>
      </w:r>
      <m:oMath>
        <m:r>
          <m:t>λ</m:t>
        </m:r>
        <m:r>
          <m:t>t</m:t>
        </m:r>
      </m:oMath>
      <w:r>
        <w:t xml:space="preserve"> </w:t>
      </w:r>
      <w:r>
        <w:t xml:space="preserve">relacionam-se por</w:t>
      </w:r>
    </w:p>
    <w:p>
      <w:pPr>
        <w:pStyle w:val="BodyText"/>
      </w:pPr>
      <m:oMathPara>
        <m:oMathParaPr>
          <m:jc m:val="center"/>
        </m:oMathParaPr>
        <m:oMath>
          <m:sSub>
            <m:e>
              <m:r>
                <m:t>β</m:t>
              </m:r>
            </m:e>
            <m:sub>
              <m:r>
                <m:t>r</m:t>
              </m:r>
            </m:sub>
          </m:sSub>
          <m:d>
            <m:dPr>
              <m:begChr m:val="("/>
              <m:endChr m:val=")"/>
              <m:sepChr m:val=""/>
              <m:grow/>
            </m:dPr>
            <m:e>
              <m:r>
                <m:t>λ</m:t>
              </m:r>
              <m:r>
                <m:t>t</m:t>
              </m:r>
            </m:e>
          </m:d>
          <m:r>
            <m:rPr>
              <m:sty m:val="p"/>
            </m:rPr>
            <m:t>=</m:t>
          </m:r>
          <m:sSup>
            <m:e>
              <m:r>
                <m:t>λ</m:t>
              </m:r>
            </m:e>
            <m:sup>
              <m:r>
                <m:t>S</m:t>
              </m:r>
            </m:sup>
          </m:sSup>
          <m:r>
            <m:t> </m:t>
          </m:r>
          <m:sSub>
            <m:e>
              <m:r>
                <m:t>β</m:t>
              </m:r>
            </m:e>
            <m:sub>
              <m:r>
                <m:t>r</m:t>
              </m:r>
            </m:sub>
          </m:sSub>
          <m:d>
            <m:dPr>
              <m:begChr m:val="("/>
              <m:endChr m:val=")"/>
              <m:sepChr m:val=""/>
              <m:grow/>
            </m:dPr>
            <m:e>
              <m:r>
                <m:t>t</m:t>
              </m:r>
            </m:e>
          </m:d>
        </m:oMath>
      </m:oMathPara>
    </w:p>
    <w:p>
      <w:pPr>
        <w:pStyle w:val="FirstParagraph"/>
      </w:pPr>
      <w:r>
        <w:t xml:space="preserve">onde</w:t>
      </w:r>
      <w:r>
        <w:t xml:space="preserve"> </w:t>
      </w:r>
      <m:oMath>
        <m:r>
          <m:t>λ</m:t>
        </m:r>
      </m:oMath>
      <w:r>
        <w:t xml:space="preserve"> </w:t>
      </w:r>
      <w:r>
        <w:t xml:space="preserve">é a razão de escalas (p.ex.,</w:t>
      </w:r>
      <w:r>
        <w:t xml:space="preserve"> </w:t>
      </w:r>
      <m:oMath>
        <m:r>
          <m:t>λ</m:t>
        </m:r>
        <m:r>
          <m:rPr>
            <m:sty m:val="p"/>
          </m:rPr>
          <m:t>=</m:t>
        </m:r>
        <m:r>
          <m:t>1</m:t>
        </m:r>
        <m:r>
          <m:rPr>
            <m:sty m:val="p"/>
          </m:rPr>
          <m:t>/</m:t>
        </m:r>
        <m:r>
          <m:t>24</m:t>
        </m:r>
      </m:oMath>
      <w:r>
        <w:t xml:space="preserve"> </w:t>
      </w:r>
      <w:r>
        <w:t xml:space="preserve">para 1 h a partir de 24 h) e</w:t>
      </w:r>
      <w:r>
        <w:t xml:space="preserve"> </w:t>
      </w:r>
      <m:oMath>
        <m:r>
          <m:t>S</m:t>
        </m:r>
      </m:oMath>
      <w:r>
        <w:t xml:space="preserve"> </w:t>
      </w:r>
      <w:r>
        <w:t xml:space="preserve">é o expoente de escala comum aos momentos; essa hipótese permite transportar estatísticas entre durações a partir de uma escala de referência diária. A mesma lei induz a relação, para parâmetros/quantis da GEV,</w:t>
      </w:r>
    </w:p>
    <w:p>
      <w:pPr>
        <w:pStyle w:val="BodyText"/>
      </w:pPr>
      <m:oMathPara>
        <m:oMathParaPr>
          <m:jc m:val="center"/>
        </m:oMathParaPr>
        <m:oMath>
          <m:r>
            <m:t>g</m:t>
          </m:r>
          <m:d>
            <m:dPr>
              <m:begChr m:val="("/>
              <m:endChr m:val=")"/>
              <m:sepChr m:val=""/>
              <m:grow/>
            </m:dPr>
            <m:e>
              <m:r>
                <m:t>λ</m:t>
              </m:r>
              <m:r>
                <m:t>t</m:t>
              </m:r>
            </m:e>
          </m:d>
          <m:r>
            <m:rPr>
              <m:sty m:val="p"/>
            </m:rPr>
            <m:t>=</m:t>
          </m:r>
          <m:sSup>
            <m:e>
              <m:r>
                <m:t>λ</m:t>
              </m:r>
            </m:e>
            <m:sup>
              <m:r>
                <m:t>S</m:t>
              </m:r>
            </m:sup>
          </m:sSup>
          <m:r>
            <m:t>g</m:t>
          </m:r>
          <m:d>
            <m:dPr>
              <m:begChr m:val="("/>
              <m:endChr m:val=")"/>
              <m:sepChr m:val=""/>
              <m:grow/>
            </m:dPr>
            <m:e>
              <m:r>
                <m:t>t</m:t>
              </m:r>
            </m:e>
          </m:d>
          <m:r>
            <m:rPr>
              <m:sty m:val="p"/>
            </m:rPr>
            <m:t>,</m:t>
          </m:r>
          <m:r>
            <m:t>  </m:t>
          </m:r>
          <m:r>
            <m:t>κ</m:t>
          </m:r>
          <m:d>
            <m:dPr>
              <m:begChr m:val="("/>
              <m:endChr m:val=")"/>
              <m:sepChr m:val=""/>
              <m:grow/>
            </m:dPr>
            <m:e>
              <m:r>
                <m:t>λ</m:t>
              </m:r>
              <m:r>
                <m:t>t</m:t>
              </m:r>
            </m:e>
          </m:d>
          <m:r>
            <m:rPr>
              <m:sty m:val="p"/>
            </m:rPr>
            <m:t>=</m:t>
          </m:r>
          <m:r>
            <m:t>κ</m:t>
          </m:r>
          <m:d>
            <m:dPr>
              <m:begChr m:val="("/>
              <m:endChr m:val=")"/>
              <m:sepChr m:val=""/>
              <m:grow/>
            </m:dPr>
            <m:e>
              <m:r>
                <m:t>t</m:t>
              </m:r>
            </m:e>
          </m:d>
        </m:oMath>
      </m:oMathPara>
    </w:p>
    <w:p>
      <w:pPr>
        <w:pStyle w:val="FirstParagraph"/>
      </w:pPr>
      <w:r>
        <w:t xml:space="preserve">em que</w:t>
      </w:r>
      <w:r>
        <w:t xml:space="preserve"> </w:t>
      </w:r>
      <m:oMath>
        <m:r>
          <m:t>g</m:t>
        </m:r>
      </m:oMath>
      <w:r>
        <w:t xml:space="preserve"> </w:t>
      </w:r>
      <w:r>
        <w:t xml:space="preserve">denota o parâmetro de posição, o de escala ou o quantil de retorno</w:t>
      </w:r>
      <w:r>
        <w:t xml:space="preserve"> </w:t>
      </w:r>
      <m:oMath>
        <m:r>
          <m:t>T</m:t>
        </m:r>
      </m:oMath>
      <w:r>
        <w:t xml:space="preserve"> </w:t>
      </w:r>
      <w:r>
        <w:t xml:space="preserve">e</w:t>
      </w:r>
      <w:r>
        <w:t xml:space="preserve"> </w:t>
      </w:r>
      <m:oMath>
        <m:r>
          <m:t>κ</m:t>
        </m:r>
      </m:oMath>
      <w:r>
        <w:t xml:space="preserve"> </w:t>
      </w:r>
      <w:r>
        <w:t xml:space="preserve">é o parâmetro de forma, assumido invariável à mudança de duração; assim, quantis subdiários são obtidos diretamente de séries anuais máximas (AMS) diárias –&gt;. Como as leis de escala podem mudar entre mecanismos de chuva de curta e longa duração, o trabalho admite multi-escalação por trechos: identifica-se um ponto de quebra no gráfico log–log e estima-se</w:t>
      </w:r>
      <w:r>
        <w:t xml:space="preserve"> </w:t>
      </w:r>
      <m:oMath>
        <m:r>
          <m:t>η</m:t>
        </m:r>
      </m:oMath>
      <w:r>
        <w:t xml:space="preserve"> </w:t>
      </w:r>
      <w:r>
        <w:t xml:space="preserve">separadamente antes/depois da quebra, escolhendo o ponto que minimiza os resíduos de regressões lineares nos dois trechos (usando os três primeiros momentos, suficientes para parametrizar a GEV). A presença de quebra implica dois expoentes</w:t>
      </w:r>
      <w:r>
        <w:t xml:space="preserve"> </w:t>
      </w:r>
      <m:oMath>
        <m:r>
          <m:t>η</m:t>
        </m:r>
      </m:oMath>
      <w:r>
        <w:t xml:space="preserve"> </w:t>
      </w:r>
      <w:r>
        <w:t xml:space="preserve">distintos e conduz a uma desagregação</w:t>
      </w:r>
      <w:r>
        <w:t xml:space="preserve"> </w:t>
      </w:r>
      <w:r>
        <w:t xml:space="preserve">“piecewise”</w:t>
      </w:r>
      <w:r>
        <w:t xml:space="preserve"> </w:t>
      </w:r>
      <w:r>
        <w:t xml:space="preserve">coerente entre durações.</w:t>
      </w:r>
    </w:p>
    <w:p>
      <w:pPr>
        <w:pStyle w:val="BodyText"/>
      </w:pPr>
      <w:r>
        <w:t xml:space="preserve">Benestad et al. (2021) &lt;!–#propõem uma fórmula simples para estimar IDFs subdiárias usando apenas dados diários (24 h) e dois indicadores facilmente observáveis: a média em dias chuvosos</w:t>
      </w:r>
      <w:r>
        <w:t xml:space="preserve"> </w:t>
      </w:r>
      <m:oMath>
        <m:r>
          <m:t>μ</m:t>
        </m:r>
      </m:oMath>
      <w:r>
        <w:t xml:space="preserve"> </w:t>
      </w:r>
      <w:r>
        <w:t xml:space="preserve">e a frequência de dias chuvosos</w:t>
      </w:r>
      <w:r>
        <w:t xml:space="preserve"> </w:t>
      </w:r>
      <m:oMath>
        <m:sSub>
          <m:e>
            <m:r>
              <m:t>f</m:t>
            </m:r>
          </m:e>
          <m:sub>
            <m:r>
              <m:t>w</m:t>
            </m:r>
          </m:sub>
        </m:sSub>
      </m:oMath>
      <w:r>
        <w:t xml:space="preserve">. Partindo de uma aproximação exponencial para a cauda moderada da chuva diária e de um fator corretivo</w:t>
      </w:r>
      <w:r>
        <w:t xml:space="preserve"> </w:t>
      </w:r>
      <m:oMath>
        <m:r>
          <m:t>α</m:t>
        </m:r>
      </m:oMath>
      <w:r>
        <w:t xml:space="preserve"> </w:t>
      </w:r>
      <w:r>
        <w:t xml:space="preserve">(que ajusta a discrepância entre a cauda observada e a exponencial), os autores estendem o raciocínio para escalas subdiárias assumindo lei de potência em duração. O resultado é a expressão prática</w:t>
      </w:r>
    </w:p>
    <w:p>
      <w:pPr>
        <w:pStyle w:val="BodyText"/>
      </w:pPr>
      <m:oMathPara>
        <m:oMathParaPr>
          <m:jc m:val="center"/>
        </m:oMathParaPr>
        <m:oMath>
          <m:sSub>
            <m:e>
              <m:r>
                <m:t>x</m:t>
              </m:r>
            </m:e>
            <m:sub>
              <m:r>
                <m:t>L</m:t>
              </m:r>
            </m:sub>
          </m:sSub>
          <m:r>
            <m:rPr>
              <m:sty m:val="p"/>
            </m:rPr>
            <m:t>=</m:t>
          </m:r>
          <m:r>
            <m:t>α</m:t>
          </m:r>
          <m:r>
            <m:t> </m:t>
          </m:r>
          <m:r>
            <m:t>μ</m:t>
          </m:r>
          <m:sSup>
            <m:e>
              <m:d>
                <m:dPr>
                  <m:begChr m:val="("/>
                  <m:endChr m:val=")"/>
                  <m:sepChr m:val=""/>
                  <m:grow/>
                </m:dPr>
                <m:e>
                  <m:f>
                    <m:fPr>
                      <m:type m:val="bar"/>
                    </m:fPr>
                    <m:num>
                      <m:r>
                        <m:t>L</m:t>
                      </m:r>
                    </m:num>
                    <m:den>
                      <m:r>
                        <m:t>24</m:t>
                      </m:r>
                    </m:den>
                  </m:f>
                </m:e>
              </m:d>
            </m:e>
            <m:sup>
              <m:r>
                <m:t>ζ</m:t>
              </m:r>
            </m:sup>
          </m:sSup>
          <m:r>
            <m:t>​</m:t>
          </m:r>
          <m:r>
            <m:rPr>
              <m:sty m:val="p"/>
            </m:rPr>
            <m:t>ln</m:t>
          </m:r>
          <m:r>
            <m:t>​</m:t>
          </m:r>
          <m:d>
            <m:dPr>
              <m:begChr m:val="["/>
              <m:endChr m:val="]"/>
              <m:sepChr m:val=""/>
              <m:grow/>
            </m:dPr>
            <m:e>
              <m:sSub>
                <m:e>
                  <m:r>
                    <m:t>f</m:t>
                  </m:r>
                </m:e>
                <m:sub>
                  <m:r>
                    <m:t>w</m:t>
                  </m:r>
                </m:sub>
              </m:sSub>
              <m:r>
                <m:t> </m:t>
              </m:r>
              <m:r>
                <m:t>τ</m:t>
              </m:r>
            </m:e>
          </m:d>
        </m:oMath>
      </m:oMathPara>
    </w:p>
    <w:p>
      <w:pPr>
        <w:pStyle w:val="FirstParagraph"/>
      </w:pPr>
      <w:r>
        <w:t xml:space="preserve">em que</w:t>
      </w:r>
      <w:r>
        <w:t xml:space="preserve"> </w:t>
      </w:r>
      <m:oMath>
        <m:sSub>
          <m:e>
            <m:r>
              <m:t>x</m:t>
            </m:r>
          </m:e>
          <m:sub>
            <m:r>
              <m:t>L</m:t>
            </m:r>
          </m:sub>
        </m:sSub>
      </m:oMath>
      <w:r>
        <w:t xml:space="preserve"> </w:t>
      </w:r>
      <w:r>
        <w:t xml:space="preserve">é o nível de retorno na duração</w:t>
      </w:r>
      <w:r>
        <w:t xml:space="preserve"> </w:t>
      </w:r>
      <m:oMath>
        <m:r>
          <m:t>L</m:t>
        </m:r>
      </m:oMath>
      <w:r>
        <w:t xml:space="preserve"> </w:t>
      </w:r>
      <w:r>
        <w:t xml:space="preserve">(h) para período de retorno</w:t>
      </w:r>
      <w:r>
        <w:t xml:space="preserve"> </w:t>
      </w:r>
      <m:oMath>
        <m:r>
          <m:t>τ</m:t>
        </m:r>
      </m:oMath>
      <w:r>
        <w:t xml:space="preserve">,</w:t>
      </w:r>
      <w:r>
        <w:t xml:space="preserve"> </w:t>
      </w:r>
      <m:oMath>
        <m:r>
          <m:t>ζ</m:t>
        </m:r>
      </m:oMath>
      <w:r>
        <w:t xml:space="preserve"> </w:t>
      </w:r>
      <w:r>
        <w:t xml:space="preserve">é o expoente de escala temporal estimado como a inclinação da regressão</w:t>
      </w:r>
      <w:r>
        <w:t xml:space="preserve"> </w:t>
      </w:r>
      <m:oMath>
        <m:r>
          <m:rPr>
            <m:sty m:val="p"/>
          </m:rPr>
          <m:t>log</m:t>
        </m:r>
        <m:sSub>
          <m:e>
            <m:r>
              <m:t>x</m:t>
            </m:r>
          </m:e>
          <m:sub>
            <m:r>
              <m:t>L</m:t>
            </m:r>
          </m:sub>
        </m:sSub>
      </m:oMath>
      <w:r>
        <w:t xml:space="preserve"> </w:t>
      </w:r>
      <w:r>
        <w:t xml:space="preserve">versus</w:t>
      </w:r>
      <w:r>
        <w:t xml:space="preserve"> </w:t>
      </w:r>
      <m:oMath>
        <m:r>
          <m:rPr>
            <m:sty m:val="p"/>
          </m:rPr>
          <m:t>log</m:t>
        </m:r>
        <m:d>
          <m:dPr>
            <m:begChr m:val="("/>
            <m:endChr m:val=")"/>
            <m:sepChr m:val=""/>
            <m:grow/>
          </m:dPr>
          <m:e>
            <m:r>
              <m:t>L</m:t>
            </m:r>
            <m:r>
              <m:rPr>
                <m:sty m:val="p"/>
              </m:rPr>
              <m:t>/</m:t>
            </m:r>
            <m:r>
              <m:t>24</m:t>
            </m:r>
          </m:e>
        </m:d>
      </m:oMath>
      <w:r>
        <w:t xml:space="preserve">, e</w:t>
      </w:r>
      <w:r>
        <w:t xml:space="preserve"> </w:t>
      </w:r>
      <m:oMath>
        <m:r>
          <m:t>α</m:t>
        </m:r>
      </m:oMath>
      <w:r>
        <w:t xml:space="preserve"> </w:t>
      </w:r>
      <w:r>
        <w:t xml:space="preserve">pode vir da calibração diária (os autores discutem ainda sua dependência com</w:t>
      </w:r>
      <w:r>
        <w:t xml:space="preserve"> </w:t>
      </w:r>
      <m:oMath>
        <m:r>
          <m:t>τ</m:t>
        </m:r>
      </m:oMath>
      <w:r>
        <w:t xml:space="preserve">). Essa forma funciona como um downscaling temporal analítico: transfere informação do diário para o sub-diário sem ajustar EV/GEV em cada duração, explorando que</w:t>
      </w:r>
      <w:r>
        <w:t xml:space="preserve"> </w:t>
      </w:r>
      <m:oMath>
        <m:r>
          <m:t>μ</m:t>
        </m:r>
      </m:oMath>
      <w:r>
        <w:t xml:space="preserve"> </w:t>
      </w:r>
      <w:r>
        <w:t xml:space="preserve">e</w:t>
      </w:r>
      <w:r>
        <w:t xml:space="preserve"> </w:t>
      </w:r>
      <m:oMath>
        <m:sSub>
          <m:e>
            <m:r>
              <m:t>f</m:t>
            </m:r>
          </m:e>
          <m:sub>
            <m:r>
              <m:t>w</m:t>
            </m:r>
          </m:sub>
        </m:sSub>
      </m:oMath>
      <w:r>
        <w:t xml:space="preserve"> </w:t>
      </w:r>
      <w:r>
        <w:t xml:space="preserve">já capturam não-estacionariedade climática. Metodologicamente, o estudo calibra</w:t>
      </w:r>
      <w:r>
        <w:t xml:space="preserve"> </w:t>
      </w:r>
      <m:oMath>
        <m:r>
          <m:t>ζ</m:t>
        </m:r>
      </m:oMath>
      <w:r>
        <w:t xml:space="preserve"> </w:t>
      </w:r>
      <w:r>
        <w:t xml:space="preserve">a partir de IDFs observadas em 14 postos de Oslo via regressão log–log, mostra que o termo</w:t>
      </w:r>
      <w:r>
        <w:t xml:space="preserve"> </w:t>
      </w:r>
      <m:oMath>
        <m:sSup>
          <m:e>
            <m:d>
              <m:dPr>
                <m:begChr m:val="("/>
                <m:endChr m:val=")"/>
                <m:sepChr m:val=""/>
                <m:grow/>
              </m:dPr>
              <m:e>
                <m:r>
                  <m:t>L</m:t>
                </m:r>
                <m:r>
                  <m:rPr>
                    <m:sty m:val="p"/>
                  </m:rPr>
                  <m:t>/</m:t>
                </m:r>
                <m:r>
                  <m:t>24</m:t>
                </m:r>
              </m:e>
            </m:d>
          </m:e>
          <m:sup>
            <m:r>
              <m:t>ζ</m:t>
            </m:r>
          </m:sup>
        </m:sSup>
      </m:oMath>
      <w:r>
        <w:t xml:space="preserve"> </w:t>
      </w:r>
      <w:r>
        <w:t xml:space="preserve">domina a variação com</w:t>
      </w:r>
      <w:r>
        <w:t xml:space="preserve"> </w:t>
      </w:r>
      <m:oMath>
        <m:r>
          <m:t>L</m:t>
        </m:r>
      </m:oMath>
      <w:r>
        <w:t xml:space="preserve"> </w:t>
      </w:r>
      <w:r>
        <w:t xml:space="preserve">frente a</w:t>
      </w:r>
      <w:r>
        <w:t xml:space="preserve"> </w:t>
      </w:r>
      <m:oMath>
        <m:r>
          <m:rPr>
            <m:sty m:val="p"/>
          </m:rPr>
          <m:t>ln</m:t>
        </m:r>
        <m:d>
          <m:dPr>
            <m:begChr m:val="["/>
            <m:endChr m:val="]"/>
            <m:sepChr m:val=""/>
            <m:grow/>
          </m:dPr>
          <m:e>
            <m:sSub>
              <m:e>
                <m:r>
                  <m:t>f</m:t>
                </m:r>
              </m:e>
              <m:sub>
                <m:r>
                  <m:t>w</m:t>
                </m:r>
              </m:sub>
            </m:sSub>
            <m:r>
              <m:t>τ</m:t>
            </m:r>
          </m:e>
        </m:d>
      </m:oMath>
      <w:r>
        <w:t xml:space="preserve">, e valida a fórmula em postos independentes no país (desempenho bom para</w:t>
      </w:r>
      <w:r>
        <w:t xml:space="preserve"> </w:t>
      </w:r>
      <m:oMath>
        <m:r>
          <m:t>T</m:t>
        </m:r>
        <m:r>
          <m:rPr>
            <m:sty m:val="p"/>
          </m:rPr>
          <m:t>=</m:t>
        </m:r>
        <m:r>
          <m:t>10</m:t>
        </m:r>
      </m:oMath>
      <w:r>
        <w:t xml:space="preserve"> </w:t>
      </w:r>
      <w:r>
        <w:t xml:space="preserve">anos; desempenho decai em</w:t>
      </w:r>
      <w:r>
        <w:t xml:space="preserve"> </w:t>
      </w:r>
      <m:oMath>
        <m:r>
          <m:t>T</m:t>
        </m:r>
      </m:oMath>
      <w:r>
        <w:t xml:space="preserve"> </w:t>
      </w:r>
      <w:r>
        <w:t xml:space="preserve">muito altos, onde</w:t>
      </w:r>
      <w:r>
        <w:t xml:space="preserve"> </w:t>
      </w:r>
      <m:oMath>
        <m:r>
          <m:t>α</m:t>
        </m:r>
      </m:oMath>
      <w:r>
        <w:t xml:space="preserve"> </w:t>
      </w:r>
      <w:r>
        <w:t xml:space="preserve">cresce e a curvatura da IDF real exibe</w:t>
      </w:r>
      <w:r>
        <w:t xml:space="preserve"> </w:t>
      </w:r>
      <w:r>
        <w:t xml:space="preserve">“quebras”</w:t>
      </w:r>
      <w:r>
        <w:t xml:space="preserve">). Em contraste com esquemas clássicos, a expressão explicita</w:t>
      </w:r>
      <w:r>
        <w:t xml:space="preserve"> </w:t>
      </w:r>
      <m:oMath>
        <m:r>
          <m:t>μ</m:t>
        </m:r>
      </m:oMath>
      <w:r>
        <w:t xml:space="preserve"> </w:t>
      </w:r>
      <w:r>
        <w:t xml:space="preserve">e</w:t>
      </w:r>
      <w:r>
        <w:t xml:space="preserve"> </w:t>
      </w:r>
      <m:oMath>
        <m:sSub>
          <m:e>
            <m:r>
              <m:t>f</m:t>
            </m:r>
          </m:e>
          <m:sub>
            <m:r>
              <m:t>w</m:t>
            </m:r>
          </m:sub>
        </m:sSub>
      </m:oMath>
      <w:r>
        <w:t xml:space="preserve"> </w:t>
      </w:r>
      <w:r>
        <w:t xml:space="preserve">na IDF, conectando diretamente a forma da curva à climatologia local de intensidade média e frequência de chuva — o que a torna útil onde faltam séries sub-horárias e para cenários futuros se</w:t>
      </w:r>
      <w:r>
        <w:t xml:space="preserve"> </w:t>
      </w:r>
      <m:oMath>
        <m:r>
          <m:t>μ</m:t>
        </m:r>
      </m:oMath>
      <w:r>
        <w:t xml:space="preserve"> </w:t>
      </w:r>
      <w:r>
        <w:t xml:space="preserve">e</w:t>
      </w:r>
      <w:r>
        <w:t xml:space="preserve"> </w:t>
      </w:r>
      <m:oMath>
        <m:sSub>
          <m:e>
            <m:r>
              <m:t>f</m:t>
            </m:r>
          </m:e>
          <m:sub>
            <m:r>
              <m:t>w</m:t>
            </m:r>
          </m:sub>
        </m:sSub>
      </m:oMath>
      <w:r>
        <w:t xml:space="preserve"> </w:t>
      </w:r>
      <w:r>
        <w:t xml:space="preserve">puderem ser projetados. #Mais Regionalização–&gt;</w:t>
      </w:r>
    </w:p>
    <w:p>
      <w:pPr>
        <w:pStyle w:val="BodyText"/>
      </w:pPr>
      <w:r>
        <w:t xml:space="preserve">Apesar do embasamento teórico consolidado há décadas (Burlando &amp; Rosso, 1996), impedimentos práticos, sobretudo a escassez de dados de longa duração, limitaram aplicações regionais por muito tempo. Barbosa e Costa (2023) fazem uma revisão de estado da arte sobre invariância de escala em máximos de chuva, organizando o tema do ponto de vista teórico, inferencial e aplicado. O artigo sistematiza o formalismo básico — escalonamento entre durações</w:t>
      </w:r>
      <w:r>
        <w:t xml:space="preserve"> </w:t>
      </w:r>
      <m:oMath>
        <m:r>
          <m:t>d</m:t>
        </m:r>
        <m:r>
          <m:rPr>
            <m:sty m:val="p"/>
          </m:rPr>
          <m:t>&lt;</m:t>
        </m:r>
        <m:r>
          <m:t>D</m:t>
        </m:r>
      </m:oMath>
    </w:p>
    <w:p>
      <w:pPr>
        <w:pStyle w:val="BodyText"/>
      </w:pPr>
      <m:oMathPara>
        <m:oMathParaPr>
          <m:jc m:val="center"/>
        </m:oMathParaPr>
        <m:oMath>
          <m:sSub>
            <m:e>
              <m:r>
                <m:t>I</m:t>
              </m:r>
            </m:e>
            <m:sub>
              <m:r>
                <m:t>d</m:t>
              </m:r>
            </m:sub>
          </m:sSub>
          <m:r>
            <m:t> </m:t>
          </m:r>
          <m:limUpp>
            <m:e>
              <m:r>
                <m:rPr>
                  <m:sty m:val="p"/>
                </m:rPr>
                <m:t>=</m:t>
              </m:r>
            </m:e>
            <m:lim>
              <m:r>
                <m:t>d</m:t>
              </m:r>
            </m:lim>
          </m:limUpp>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e a consequência para momentos não centrais,</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rPr>
              <m:sty m:val="p"/>
            </m:rPr>
            <m:t>(</m:t>
          </m:r>
          <m:f>
            <m:fPr>
              <m:type m:val="lin"/>
            </m:fPr>
            <m:num>
              <m:r>
                <m:t>d</m:t>
              </m:r>
            </m:num>
            <m:den>
              <m:r>
                <m:t>D</m:t>
              </m:r>
            </m:den>
          </m:f>
          <m:sSup>
            <m:e>
              <m:r>
                <m:rPr>
                  <m:sty m:val="p"/>
                </m:rPr>
                <m:t>)</m:t>
              </m:r>
            </m:e>
            <m:sup>
              <m:r>
                <m:rPr>
                  <m:sty m:val="p"/>
                </m:rPr>
                <m:t>−</m:t>
              </m:r>
              <m:sSub>
                <m:e>
                  <m:r>
                    <m:t>η</m:t>
                  </m:r>
                </m:e>
                <m:sub>
                  <m:r>
                    <m:t>q</m:t>
                  </m:r>
                </m:sub>
              </m:sSub>
            </m:sup>
          </m:sSup>
          <m:r>
            <m:t> </m:t>
          </m:r>
          <m:r>
            <m:rPr>
              <m:sty m:val="p"/>
              <m:scr m:val="double-struck"/>
            </m:rPr>
            <m:t>E</m:t>
          </m:r>
          <m:r>
            <m:t>​</m:t>
          </m:r>
          <m:d>
            <m:dPr>
              <m:begChr m:val="["/>
              <m:endChr m:val="]"/>
              <m:sepChr m:val=""/>
              <m:grow/>
            </m:dPr>
            <m:e>
              <m:sSubSup>
                <m:e>
                  <m:r>
                    <m:t>I</m:t>
                  </m:r>
                </m:e>
                <m:sub>
                  <m:r>
                    <m:t>D</m:t>
                  </m:r>
                </m:sub>
                <m:sup>
                  <m:r>
                    <m:t> </m:t>
                  </m:r>
                  <m:r>
                    <m:t>q</m:t>
                  </m:r>
                </m:sup>
              </m:sSubSup>
            </m:e>
          </m:d>
        </m:oMath>
      </m:oMathPara>
    </w:p>
    <w:p>
      <w:pPr>
        <w:pStyle w:val="FirstParagraph"/>
      </w:pPr>
      <w:r>
        <w:t xml:space="preserve">destacando a escala simples</w:t>
      </w:r>
      <w:r>
        <w:t xml:space="preserve"> </w:t>
      </w:r>
      <m:oMath>
        <m:d>
          <m:dPr>
            <m:begChr m:val="("/>
            <m:endChr m:val=")"/>
            <m:sepChr m:val=""/>
            <m:grow/>
          </m:dPr>
          <m:e>
            <m:sSub>
              <m:e>
                <m:r>
                  <m:t>η</m:t>
                </m:r>
              </m:e>
              <m:sub>
                <m:r>
                  <m:t>q</m:t>
                </m:r>
              </m:sub>
            </m:sSub>
            <m:r>
              <m:rPr>
                <m:sty m:val="p"/>
              </m:rPr>
              <m:t>=</m:t>
            </m:r>
            <m:r>
              <m:t>q</m:t>
            </m:r>
            <m:r>
              <m:t> </m:t>
            </m:r>
            <m:r>
              <m:t>η</m:t>
            </m:r>
          </m:e>
        </m:d>
      </m:oMath>
      <w:r>
        <w:t xml:space="preserve"> </w:t>
      </w:r>
      <w:r>
        <w:t xml:space="preserve">versus multiescalonamento (curvatura de</w:t>
      </w:r>
      <w:r>
        <w:t xml:space="preserve"> </w:t>
      </w:r>
      <m:oMath>
        <m:sSub>
          <m:e>
            <m:r>
              <m:t>η</m:t>
            </m:r>
          </m:e>
          <m:sub>
            <m:r>
              <m:t>q</m:t>
            </m:r>
          </m:sub>
        </m:sSub>
      </m:oMath>
      <w:r>
        <w:t xml:space="preserve">) e os diagnósticos práticos em gráficos log–log (momentos vs. duração). Mostram ainda que, sob simple scaling, razões de variabilidade como o CV permanecem invariantes com</w:t>
      </w:r>
      <w:r>
        <w:t xml:space="preserve"> </w:t>
      </w:r>
      <m:oMath>
        <m:r>
          <m:t>d</m:t>
        </m:r>
      </m:oMath>
      <w:r>
        <w:t xml:space="preserve">, o que explica a parcimônia de modelos IDF escaláveis. No plano probabilístico, a revisão discute por que GEV é preferível à Gumbel para caudas pesadas e compatível com a hipótese de escala comum do parâmetro de forma; revisita usos históricos de Gumbel e lognormal e alerta para vieses de cauda e inconsistências de escala. Na prática, cobre procedimentos de estimação (momentos/PWM, máxima verossimilhança, Bayes) e identificação de regimes com quebras entre faixas de duração operacionais (p.ex., 1–24 h).</w:t>
      </w:r>
    </w:p>
    <w:p>
      <w:pPr>
        <w:pStyle w:val="BodyText"/>
      </w:pPr>
      <w:r>
        <w:t xml:space="preserve">Gnecco et al. (2023) propõem duas novas formulações de curvas IDF (IDF3 e IDF4) que impõem potência nas durações supra-horárias e permitem uma curvatura específica nas sub-horárias, de modo a conciliar a informação de ambos os domínios e o desbalanceamento típico de comprimentos de série (longas no supra-horário, curtas no sub-horário). As novas formas são consistentes com invariância de escala e são calibradas usando máximos anuais de 5–50 min e 1–24 h de 13 postos na Ligúria (1930–2018), com controle de qualidade e séries de comprimentos distintos</w:t>
      </w:r>
      <w:r>
        <w:t xml:space="preserve"> </w:t>
      </w:r>
      <m:oMath>
        <m:sSub>
          <m:e>
            <m:r>
              <m:t>N</m:t>
            </m:r>
          </m:e>
          <m:sub>
            <m:r>
              <m:rPr>
                <m:nor/>
                <m:sty m:val="p"/>
              </m:rPr>
              <m:t>sub-hourly</m:t>
            </m:r>
          </m:sub>
        </m:sSub>
      </m:oMath>
      <w:r>
        <w:t xml:space="preserve"> </w:t>
      </w:r>
      <w:r>
        <w:t xml:space="preserve">e</w:t>
      </w:r>
      <w:r>
        <w:t xml:space="preserve"> </w:t>
      </w:r>
      <m:oMath>
        <m:sSub>
          <m:e>
            <m:r>
              <m:t>N</m:t>
            </m:r>
          </m:e>
          <m:sub>
            <m:r>
              <m:rPr>
                <m:nor/>
                <m:sty m:val="p"/>
              </m:rPr>
              <m:t>super-hourly</m:t>
            </m:r>
          </m:sub>
        </m:sSub>
      </m:oMath>
      <w:r>
        <w:t xml:space="preserve">. Para benchmark, os autores também ajustam: (i) IDF1, uma potência simples</w:t>
      </w:r>
      <w:r>
        <w:t xml:space="preserve"> </w:t>
      </w:r>
      <m:oMath>
        <m:sSub>
          <m:e>
            <m:r>
              <m:t>i</m:t>
            </m:r>
          </m:e>
          <m:sub>
            <m:r>
              <m:t>T</m:t>
            </m:r>
          </m:sub>
        </m:sSub>
        <m:d>
          <m:dPr>
            <m:begChr m:val="("/>
            <m:endChr m:val=")"/>
            <m:sepChr m:val=""/>
            <m:grow/>
          </m:dPr>
          <m:e>
            <m:r>
              <m:t>d</m:t>
            </m:r>
          </m:e>
        </m:d>
        <m:r>
          <m:rPr>
            <m:sty m:val="p"/>
          </m:rPr>
          <m:t>=</m:t>
        </m:r>
        <m:sSub>
          <m:e>
            <m:r>
              <m:t>a</m:t>
            </m:r>
          </m:e>
          <m:sub>
            <m:r>
              <m:t>T</m:t>
            </m:r>
          </m:sub>
        </m:sSub>
        <m:r>
          <m:rPr>
            <m:sty m:val="p"/>
          </m:rPr>
          <m:t>,</m:t>
        </m:r>
        <m:sSup>
          <m:e>
            <m:r>
              <m:t>d</m:t>
            </m:r>
          </m:e>
          <m:sup>
            <m:r>
              <m:rPr>
                <m:sty m:val="p"/>
              </m:rPr>
              <m:t>−</m:t>
            </m:r>
            <m:sSub>
              <m:e>
                <m:r>
                  <m:t>b</m:t>
                </m:r>
              </m:e>
              <m:sub>
                <m:r>
                  <m:t>T</m:t>
                </m:r>
              </m:sub>
            </m:sSub>
          </m:sup>
        </m:sSup>
      </m:oMath>
      <w:r>
        <w:t xml:space="preserve"> </w:t>
      </w:r>
      <w:r>
        <w:t xml:space="preserve">ajustada por regressão dos quantis estimados diretamente nas durações canônicas; e (ii) IDF2, a forma de três parâmetros com curvatura de Koutsoyiannis et al. (1998), também ajustada apenas com os quantis supra-horários. Essas curvas de referência, por dependerem só do domínio canônico, tiram partido do maior</w:t>
      </w:r>
      <w:r>
        <w:t xml:space="preserve"> </w:t>
      </w:r>
      <m:oMath>
        <m:sSub>
          <m:e>
            <m:r>
              <m:t>N</m:t>
            </m:r>
          </m:e>
          <m:sub>
            <m:r>
              <m:rPr>
                <m:nor/>
                <m:sty m:val="p"/>
              </m:rPr>
              <m:t>super-hourly</m:t>
            </m:r>
          </m:sub>
        </m:sSub>
      </m:oMath>
      <w:r>
        <w:t xml:space="preserve">. As IDF3/IDF4 são definidas sob o postulado de invariância de escala: os parâmetros de escala</w:t>
      </w:r>
      <w:r>
        <w:t xml:space="preserve"> </w:t>
      </w:r>
      <m:oMath>
        <m:sSub>
          <m:e>
            <m:r>
              <m:t>a</m:t>
            </m:r>
          </m:e>
          <m:sub>
            <m:r>
              <m:t>1</m:t>
            </m:r>
          </m:sub>
        </m:sSub>
      </m:oMath>
      <w:r>
        <w:t xml:space="preserve"> </w:t>
      </w:r>
      <w:r>
        <w:t xml:space="preserve">e o expoente</w:t>
      </w:r>
      <w:r>
        <w:t xml:space="preserve"> </w:t>
      </w:r>
      <m:oMath>
        <m:r>
          <m:t>n</m:t>
        </m:r>
      </m:oMath>
      <w:r>
        <w:t xml:space="preserve"> </w:t>
      </w:r>
      <w:r>
        <w:t xml:space="preserve">são estimados no supra-horário, enquanto o bloco sub-horário introduz</w:t>
      </w:r>
      <w:r>
        <w:t xml:space="preserve"> </w:t>
      </w:r>
      <m:oMath>
        <m:sSub>
          <m:e>
            <m:r>
              <m:t>i</m:t>
            </m:r>
          </m:e>
          <m:sub>
            <m:r>
              <m:t>0</m:t>
            </m:r>
          </m:sub>
        </m:sSub>
      </m:oMath>
      <w:r>
        <w:t xml:space="preserve"> </w:t>
      </w:r>
      <w:r>
        <w:t xml:space="preserve">(intensidade finita quando</w:t>
      </w:r>
      <w:r>
        <w:t xml:space="preserve"> </w:t>
      </w:r>
      <m:oMath>
        <m:r>
          <m:t>d</m:t>
        </m:r>
        <m:r>
          <m:rPr>
            <m:sty m:val="p"/>
          </m:rPr>
          <m:t>→</m:t>
        </m:r>
        <m:r>
          <m:t>0</m:t>
        </m:r>
      </m:oMath>
      <w:r>
        <w:t xml:space="preserve">), além de B e</w:t>
      </w:r>
      <w:r>
        <w:t xml:space="preserve"> </w:t>
      </w:r>
      <m:oMath>
        <m:r>
          <m:t>β</m:t>
        </m:r>
      </m:oMath>
      <w:r>
        <w:t xml:space="preserve"> </w:t>
      </w:r>
      <w:r>
        <w:t xml:space="preserve">para modular, respectivamente, o ponto de inflexão e a inclinação da parte aproximadamente linear em log–log; a dependência no período de retorno fica condensada em um fator de crescimento de frequência</w:t>
      </w:r>
      <w:r>
        <w:t xml:space="preserve"> </w:t>
      </w:r>
      <m:oMath>
        <m:r>
          <m:t>K</m:t>
        </m:r>
        <m:d>
          <m:dPr>
            <m:begChr m:val="("/>
            <m:endChr m:val=")"/>
            <m:sepChr m:val=""/>
            <m:grow/>
          </m:dPr>
          <m:e>
            <m:r>
              <m:t>T</m:t>
            </m:r>
          </m:e>
        </m:d>
      </m:oMath>
      <w:r>
        <w:t xml:space="preserve">, de acordo com a teoria de escala. Assim, a parte de escala (média vs. duração) é separada da parte de frequência</w:t>
      </w:r>
      <w:r>
        <w:t xml:space="preserve"> </w:t>
      </w:r>
      <m:oMath>
        <m:r>
          <m:t>K</m:t>
        </m:r>
        <m:d>
          <m:dPr>
            <m:begChr m:val="("/>
            <m:endChr m:val=")"/>
            <m:sepChr m:val=""/>
            <m:grow/>
          </m:dPr>
          <m:e>
            <m:r>
              <m:t>T</m:t>
            </m:r>
          </m:e>
        </m:d>
      </m:oMath>
      <w:r>
        <w:t xml:space="preserve">.</w:t>
      </w:r>
    </w:p>
    <w:p>
      <w:pPr>
        <w:pStyle w:val="BodyText"/>
      </w:pPr>
      <w:r>
        <w:t xml:space="preserve">A diferença entre IDF3 e IDF4 está nas condições de acoplamento em 1 h: a IDF3 impõe continuidade e derivabilidade na transição sub↔supra-horária, o que reduz o número de parâmetros sub-horários livres (fica essencialmente</w:t>
      </w:r>
      <w:r>
        <w:t xml:space="preserve"> </w:t>
      </w:r>
      <m:oMath>
        <m:r>
          <m:t>B</m:t>
        </m:r>
      </m:oMath>
      <w:r>
        <w:t xml:space="preserve"> </w:t>
      </w:r>
      <w:r>
        <w:t xml:space="preserve">a estimar, com</w:t>
      </w:r>
      <w:r>
        <w:t xml:space="preserve"> </w:t>
      </w:r>
      <m:oMath>
        <m:r>
          <m:t>β</m:t>
        </m:r>
      </m:oMath>
      <w:r>
        <w:t xml:space="preserve"> </w:t>
      </w:r>
      <w:r>
        <w:t xml:space="preserve">restrito a</w:t>
      </w:r>
      <w:r>
        <w:t xml:space="preserve"> </w:t>
      </w:r>
      <m:oMath>
        <m:r>
          <m:t>0</m:t>
        </m:r>
        <m:r>
          <m:rPr>
            <m:sty m:val="p"/>
          </m:rPr>
          <m:t>&lt;</m:t>
        </m:r>
        <m:r>
          <m:t>β</m:t>
        </m:r>
        <m:r>
          <m:rPr>
            <m:sty m:val="p"/>
          </m:rPr>
          <m:t>≤</m:t>
        </m:r>
        <m:r>
          <m:t>1</m:t>
        </m:r>
      </m:oMath>
      <w:r>
        <w:t xml:space="preserve">); já a IDF4 exige apenas continuidade em 1 h, mantendo maior liberdade no sub-horário. No conjunto de dados da Ligúria, as novas curvas melhoram a confiabilidade das estimativas em toda a faixa de durações, com ênfase no sub-horário, justamente por combinar a robustez estatística do supra-horário com a informação específica das durações curtas; o estudo também discute como a forma da IDF influencia o hidrograma de projeto e, portanto, a seleção da formulação é relevante para engenharia.</w:t>
      </w:r>
    </w:p>
    <w:p>
      <w:pPr>
        <w:pStyle w:val="BodyText"/>
      </w:pPr>
      <w:r>
        <w:t xml:space="preserve">Mais recentemente, Wang et al. (2024) aplicaram um modelo unificado de intensidades extremas no Reino Unido, integrando registros diários, fatores geográficos e regiões homogêneas de precipitação, utilizando a distribuição Gumbel (EV1). O estudo parte da hipótese de simple scaling nos máximos anuais e estima um expoente de escala</w:t>
      </w:r>
      <w:r>
        <w:t xml:space="preserve"> </w:t>
      </w:r>
      <m:oMath>
        <m:r>
          <m:rPr>
            <m:sty m:val="p"/>
          </m:rPr>
          <m:t>−</m:t>
        </m:r>
        <m:r>
          <m:t>η</m:t>
        </m:r>
      </m:oMath>
      <w:r>
        <w:t xml:space="preserve"> </w:t>
      </w:r>
      <w:r>
        <w:t xml:space="preserve">a partir de séries agregadas de 1–30 dias, para então transferir intensidades entre durações via</w:t>
      </w:r>
    </w:p>
    <w:p>
      <w:pPr>
        <w:pStyle w:val="BodyText"/>
      </w:pPr>
      <m:oMathPara>
        <m:oMathParaPr>
          <m:jc m:val="center"/>
        </m:oMathParaPr>
        <m:oMath>
          <m:sSub>
            <m:e>
              <m:r>
                <m:t>i</m:t>
              </m:r>
            </m:e>
            <m:sub>
              <m:r>
                <m:t>d</m:t>
              </m:r>
              <m:r>
                <m:rPr>
                  <m:sty m:val="p"/>
                </m:rPr>
                <m:t>,</m:t>
              </m:r>
              <m:r>
                <m:t>T</m:t>
              </m:r>
            </m:sub>
          </m:sSub>
          <m:r>
            <m:t> </m:t>
          </m:r>
          <m:r>
            <m:rPr>
              <m:sty m:val="p"/>
            </m:rPr>
            <m:t>=</m:t>
          </m:r>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onde</w:t>
      </w:r>
      <w:r>
        <w:t xml:space="preserve"> </w:t>
      </w:r>
      <m:oMath>
        <m:sSub>
          <m:e>
            <m:r>
              <m:t>i</m:t>
            </m:r>
          </m:e>
          <m:sub>
            <m:r>
              <m:t>d</m:t>
            </m:r>
            <m:r>
              <m:rPr>
                <m:sty m:val="p"/>
              </m:rPr>
              <m:t>,</m:t>
            </m:r>
            <m:r>
              <m:t>T</m:t>
            </m:r>
          </m:sub>
        </m:sSub>
      </m:oMath>
      <w:r>
        <w:t xml:space="preserve"> </w:t>
      </w:r>
      <w:r>
        <w:t xml:space="preserve">é o quantil (intensidade) para duração</w:t>
      </w:r>
      <w:r>
        <w:t xml:space="preserve"> </w:t>
      </w:r>
      <m:oMath>
        <m:r>
          <m:t>d</m:t>
        </m:r>
      </m:oMath>
      <w:r>
        <w:t xml:space="preserve"> </w:t>
      </w:r>
      <w:r>
        <w:t xml:space="preserve">e período de retorno</w:t>
      </w:r>
      <w:r>
        <w:t xml:space="preserve"> </w:t>
      </w:r>
      <m:oMath>
        <m:r>
          <m:t>T</m:t>
        </m:r>
      </m:oMath>
      <w:r>
        <w:t xml:space="preserve">,</w:t>
      </w:r>
      <w:r>
        <w:t xml:space="preserve"> </w:t>
      </w:r>
      <m:oMath>
        <m:r>
          <m:t>D</m:t>
        </m:r>
      </m:oMath>
      <w:r>
        <w:t xml:space="preserve"> </w:t>
      </w:r>
      <w:r>
        <w:t xml:space="preserve">é uma duração de referência (p.ex., diária) e</w:t>
      </w:r>
      <w:r>
        <w:t xml:space="preserve"> </w:t>
      </w:r>
      <m:oMath>
        <m:r>
          <m:rPr>
            <m:sty m:val="p"/>
          </m:rPr>
          <m:t>−</m:t>
        </m:r>
        <m:r>
          <m:t>η</m:t>
        </m:r>
      </m:oMath>
      <w:r>
        <w:t xml:space="preserve"> </w:t>
      </w:r>
      <w:r>
        <w:t xml:space="preserve">controla a inclinação log–log da IDF. A verificação da invariância usa momentos de ordem</w:t>
      </w:r>
      <w:r>
        <w:t xml:space="preserve"> </w:t>
      </w:r>
      <m:oMath>
        <m:r>
          <m:t>q</m:t>
        </m:r>
      </m:oMath>
      <w:r>
        <w:t xml:space="preserve">:</w:t>
      </w:r>
    </w:p>
    <w:p>
      <w:pPr>
        <w:pStyle w:val="BodyText"/>
      </w:pPr>
      <m:oMathPara>
        <m:oMathParaPr>
          <m:jc m:val="center"/>
        </m:oMathParaPr>
        <m:oMath>
          <m:r>
            <m:rPr>
              <m:sty m:val="p"/>
            </m:rPr>
            <m:t>(</m:t>
          </m:r>
          <m:sSub>
            <m:e>
              <m:r>
                <m:t>i</m:t>
              </m:r>
            </m:e>
            <m:sub>
              <m:r>
                <m:t>d</m:t>
              </m:r>
              <m:r>
                <m:rPr>
                  <m:sty m:val="p"/>
                </m:rPr>
                <m:t>,</m:t>
              </m:r>
              <m:r>
                <m:t>T</m:t>
              </m:r>
            </m:sub>
          </m:sSub>
          <m:sSup>
            <m:e>
              <m:r>
                <m:rPr>
                  <m:sty m:val="p"/>
                </m:rPr>
                <m:t>)</m:t>
              </m:r>
            </m:e>
            <m:sup>
              <m:r>
                <m:t>q</m:t>
              </m:r>
            </m:sup>
          </m:sSup>
          <m:r>
            <m:t> </m:t>
          </m:r>
          <m:r>
            <m:rPr>
              <m:sty m:val="p"/>
            </m:rPr>
            <m:t>=</m:t>
          </m:r>
          <m:r>
            <m:t> </m:t>
          </m:r>
          <m:r>
            <m:rPr>
              <m:sty m:val="p"/>
            </m:rPr>
            <m:t>(</m:t>
          </m:r>
          <m:f>
            <m:fPr>
              <m:type m:val="lin"/>
            </m:fPr>
            <m:num>
              <m:r>
                <m:t>d</m:t>
              </m:r>
            </m:num>
            <m:den>
              <m:r>
                <m:t>D</m:t>
              </m:r>
            </m:den>
          </m:f>
          <m:sSup>
            <m:e>
              <m:r>
                <m:rPr>
                  <m:sty m:val="p"/>
                </m:rPr>
                <m:t>)</m:t>
              </m:r>
            </m:e>
            <m:sup>
              <m:r>
                <m:t>K</m:t>
              </m:r>
              <m:d>
                <m:dPr>
                  <m:begChr m:val="("/>
                  <m:endChr m:val=")"/>
                  <m:sepChr m:val=""/>
                  <m:grow/>
                </m:dPr>
                <m:e>
                  <m:r>
                    <m:t>q</m:t>
                  </m:r>
                </m:e>
              </m:d>
            </m:sup>
          </m:sSup>
          <m:r>
            <m:rPr>
              <m:sty m:val="p"/>
            </m:rPr>
            <m:t>(</m:t>
          </m:r>
          <m:sSub>
            <m:e>
              <m:r>
                <m:t>i</m:t>
              </m:r>
            </m:e>
            <m:sub>
              <m:r>
                <m:t>D</m:t>
              </m:r>
              <m:r>
                <m:rPr>
                  <m:sty m:val="p"/>
                </m:rPr>
                <m:t>,</m:t>
              </m:r>
              <m:r>
                <m:t>T</m:t>
              </m:r>
            </m:sub>
          </m:sSub>
          <m:sSup>
            <m:e>
              <m:r>
                <m:rPr>
                  <m:sty m:val="p"/>
                </m:rPr>
                <m:t>)</m:t>
              </m:r>
            </m:e>
            <m:sup>
              <m:r>
                <m:t>q</m:t>
              </m:r>
            </m:sup>
          </m:sSup>
          <m:r>
            <m:rPr>
              <m:sty m:val="p"/>
            </m:rPr>
            <m:t>,</m:t>
          </m:r>
          <m:r>
            <m:t>  </m:t>
          </m:r>
          <m:r>
            <m:t>K</m:t>
          </m:r>
          <m:d>
            <m:dPr>
              <m:begChr m:val="("/>
              <m:endChr m:val=")"/>
              <m:sepChr m:val=""/>
              <m:grow/>
            </m:dPr>
            <m:e>
              <m:r>
                <m:t>q</m:t>
              </m:r>
            </m:e>
          </m:d>
          <m:r>
            <m:rPr>
              <m:sty m:val="p"/>
            </m:rPr>
            <m:t>=</m:t>
          </m:r>
          <m:r>
            <m:rPr>
              <m:sty m:val="p"/>
            </m:rPr>
            <m:t>−</m:t>
          </m:r>
          <m:r>
            <m:t>η</m:t>
          </m:r>
          <m:r>
            <m:t> </m:t>
          </m:r>
          <m:r>
            <m:t>q</m:t>
          </m:r>
          <m:r>
            <m:t> </m:t>
          </m:r>
          <m:r>
            <m:t> </m:t>
          </m:r>
          <m:r>
            <m:rPr>
              <m:nor/>
              <m:sty m:val="p"/>
            </m:rPr>
            <m:t>(simple scaling)</m:t>
          </m:r>
        </m:oMath>
      </m:oMathPara>
    </w:p>
    <w:p>
      <w:pPr>
        <w:pStyle w:val="FirstParagraph"/>
      </w:pPr>
      <w:r>
        <w:t xml:space="preserve">e o ajuste dos extremos em cada duração emprega EV1/Gumbel (também testando GEV a 3 parâmetros), o que permite obter</w:t>
      </w:r>
      <w:r>
        <w:t xml:space="preserve"> </w:t>
      </w:r>
      <m:oMath>
        <m:sSub>
          <m:e>
            <m:r>
              <m:t>i</m:t>
            </m:r>
          </m:e>
          <m:sub>
            <m:r>
              <m:t>D</m:t>
            </m:r>
            <m:r>
              <m:rPr>
                <m:sty m:val="p"/>
              </m:rPr>
              <m:t>,</m:t>
            </m:r>
            <m:r>
              <m:t>T</m:t>
            </m:r>
          </m:sub>
        </m:sSub>
      </m:oMath>
      <w:r>
        <w:t xml:space="preserve"> </w:t>
      </w:r>
      <w:r>
        <w:t xml:space="preserve">e, via a relação acima, reconstruir</w:t>
      </w:r>
      <w:r>
        <w:t xml:space="preserve"> </w:t>
      </w:r>
      <m:oMath>
        <m:sSub>
          <m:e>
            <m:r>
              <m:t>i</m:t>
            </m:r>
          </m:e>
          <m:sub>
            <m:r>
              <m:t>d</m:t>
            </m:r>
            <m:r>
              <m:rPr>
                <m:sty m:val="p"/>
              </m:rPr>
              <m:t>,</m:t>
            </m:r>
            <m:r>
              <m:t>T</m:t>
            </m:r>
          </m:sub>
        </m:sSub>
      </m:oMath>
      <w:r>
        <w:t xml:space="preserve"> </w:t>
      </w:r>
      <w:r>
        <w:t xml:space="preserve">nas durações subdiárias. Aqui,</w:t>
      </w:r>
      <w:r>
        <w:t xml:space="preserve"> </w:t>
      </w:r>
      <m:oMath>
        <m:r>
          <m:t>d</m:t>
        </m:r>
        <m:r>
          <m:rPr>
            <m:sty m:val="p"/>
          </m:rPr>
          <m:t>,</m:t>
        </m:r>
        <m:r>
          <m:t>D</m:t>
        </m:r>
      </m:oMath>
      <w:r>
        <w:t xml:space="preserve"> </w:t>
      </w:r>
      <w:r>
        <w:t xml:space="preserve">são durações (h ou dias),</w:t>
      </w:r>
      <w:r>
        <w:t xml:space="preserve"> </w:t>
      </w:r>
      <m:oMath>
        <m:r>
          <m:t>T</m:t>
        </m:r>
      </m:oMath>
      <w:r>
        <w:t xml:space="preserve"> </w:t>
      </w:r>
      <w:r>
        <w:t xml:space="preserve">é o período de retorno,</w:t>
      </w:r>
      <w:r>
        <w:t xml:space="preserve"> </w:t>
      </w:r>
      <m:oMath>
        <m:r>
          <m:t>q</m:t>
        </m:r>
      </m:oMath>
      <w:r>
        <w:t xml:space="preserve"> </w:t>
      </w:r>
      <w:r>
        <w:t xml:space="preserve">a ordem do momento,</w:t>
      </w:r>
      <w:r>
        <w:t xml:space="preserve"> </w:t>
      </w:r>
      <m:oMath>
        <m:r>
          <m:t>K</m:t>
        </m:r>
        <m:d>
          <m:dPr>
            <m:begChr m:val="("/>
            <m:endChr m:val=")"/>
            <m:sepChr m:val=""/>
            <m:grow/>
          </m:dPr>
          <m:e>
            <m:r>
              <m:t>q</m:t>
            </m:r>
          </m:e>
        </m:d>
      </m:oMath>
      <w:r>
        <w:t xml:space="preserve"> </w:t>
      </w:r>
      <w:r>
        <w:t xml:space="preserve">a função de escala dos momentos e</w:t>
      </w:r>
      <w:r>
        <w:t xml:space="preserve"> </w:t>
      </w:r>
      <m:oMath>
        <m:r>
          <m:rPr>
            <m:sty m:val="p"/>
          </m:rPr>
          <m:t>−</m:t>
        </m:r>
        <m:r>
          <m:t>η</m:t>
        </m:r>
      </m:oMath>
      <w:r>
        <w:t xml:space="preserve"> </w:t>
      </w:r>
      <w:r>
        <w:t xml:space="preserve">o expoente estimado como declive de</w:t>
      </w:r>
      <w:r>
        <w:t xml:space="preserve"> </w:t>
      </w:r>
      <m:oMath>
        <m:r>
          <m:t>K</m:t>
        </m:r>
        <m:d>
          <m:dPr>
            <m:begChr m:val="("/>
            <m:endChr m:val=")"/>
            <m:sepChr m:val=""/>
            <m:grow/>
          </m:dPr>
          <m:e>
            <m:r>
              <m:t>q</m:t>
            </m:r>
          </m:e>
        </m:d>
      </m:oMath>
      <w:r>
        <w:t xml:space="preserve"> </w:t>
      </w:r>
      <w:r>
        <w:t xml:space="preserve">vs. </w:t>
      </w:r>
      <m:oMath>
        <m:r>
          <m:t>q</m:t>
        </m:r>
      </m:oMath>
      <w:r>
        <w:t xml:space="preserve">.</w:t>
      </w:r>
      <w:r>
        <w:t xml:space="preserve"> </w:t>
      </w:r>
    </w:p>
    <w:p>
      <w:pPr>
        <w:pStyle w:val="BodyText"/>
      </w:pPr>
      <w:r>
        <w:t xml:space="preserve">Creaco (2024) propõe uma formulação parcimoniosa de IDF válida simultaneamente para durações sub-horárias e supra-horárias ao introduzir a duração ajustada</w:t>
      </w:r>
      <w:r>
        <w:t xml:space="preserve"> </w:t>
      </w:r>
      <m:oMath>
        <m:r>
          <m:t>T</m:t>
        </m:r>
        <m:r>
          <m:rPr>
            <m:sty m:val="p"/>
          </m:rPr>
          <m:t>=</m:t>
        </m:r>
        <m:r>
          <m:t>t</m:t>
        </m:r>
        <m:r>
          <m:rPr>
            <m:sty m:val="p"/>
          </m:rPr>
          <m:t>+</m:t>
        </m:r>
        <m:r>
          <m:t>c</m:t>
        </m:r>
      </m:oMath>
      <w:r>
        <w:t xml:space="preserve">(</w:t>
      </w:r>
      <m:oMath>
        <m:r>
          <m:t>c</m:t>
        </m:r>
        <m:r>
          <m:rPr>
            <m:sty m:val="p"/>
          </m:rPr>
          <m:t>&gt;</m:t>
        </m:r>
        <m:r>
          <m:t>0</m:t>
        </m:r>
      </m:oMath>
      <w:r>
        <w:t xml:space="preserve">, tipicamente &lt; 1 h). Sob simple scaling, impõe-se</w:t>
      </w:r>
      <w:r>
        <w:t xml:space="preserve"> </w:t>
      </w:r>
      <m:oMath>
        <m:r>
          <m:t>i</m:t>
        </m:r>
        <m:r>
          <m:t>T</m:t>
        </m:r>
        <m:sSub>
          <m:e>
            <m:r>
              <m:t>i</m:t>
            </m:r>
          </m:e>
          <m:sub>
            <m:r>
              <m:t>λ</m:t>
            </m:r>
            <m:r>
              <m:t>T</m:t>
            </m:r>
          </m:sub>
        </m:sSub>
        <m:limUpp>
          <m:e>
            <m:r>
              <m:rPr>
                <m:sty m:val="p"/>
              </m:rPr>
              <m:t>=</m:t>
            </m:r>
          </m:e>
          <m:lim>
            <m:r>
              <m:t>d</m:t>
            </m:r>
          </m:lim>
        </m:limUpp>
        <m:sSup>
          <m:e>
            <m:r>
              <m:t>λ</m:t>
            </m:r>
          </m:e>
          <m:sup>
            <m:r>
              <m:rPr>
                <m:sty m:val="p"/>
              </m:rPr>
              <m:t>−</m:t>
            </m:r>
            <m:r>
              <m:t>η</m:t>
            </m:r>
          </m:sup>
        </m:sSup>
        <m:sSub>
          <m:e>
            <m:r>
              <m:t>i</m:t>
            </m:r>
          </m:e>
          <m:sub>
            <m:r>
              <m:t>T</m:t>
            </m:r>
          </m:sub>
        </m:sSub>
      </m:oMath>
      <w:r>
        <w:t xml:space="preserve">, o que leva a</w:t>
      </w:r>
      <w:r>
        <w:t xml:space="preserve"> </w:t>
      </w:r>
      <m:oMath>
        <m:r>
          <m:rPr>
            <m:sty m:val="p"/>
            <m:scr m:val="double-struck"/>
          </m:rPr>
          <m:t>E</m:t>
        </m:r>
        <m:d>
          <m:dPr>
            <m:begChr m:val="["/>
            <m:endChr m:val="]"/>
            <m:sepChr m:val=""/>
            <m:grow/>
          </m:dPr>
          <m:e>
            <m:sSub>
              <m:e>
                <m:r>
                  <m:t>i</m:t>
                </m:r>
              </m:e>
              <m:sub>
                <m:r>
                  <m:t>t</m:t>
                </m:r>
              </m:sub>
            </m:sSub>
          </m:e>
        </m:d>
        <m:r>
          <m:rPr>
            <m:sty m:val="p"/>
          </m:rPr>
          <m:t>=</m:t>
        </m:r>
        <m:sSub>
          <m:e>
            <m:r>
              <m:t>a</m:t>
            </m:r>
          </m:e>
          <m:sub>
            <m:r>
              <m:t>1</m:t>
            </m:r>
          </m:sub>
        </m:sSub>
        <m:r>
          <m:t> </m:t>
        </m:r>
        <m:sSup>
          <m:e>
            <m:d>
              <m:dPr>
                <m:begChr m:val="("/>
                <m:endChr m:val=")"/>
                <m:sepChr m:val=""/>
                <m:grow/>
              </m:dPr>
              <m:e>
                <m:r>
                  <m:t>t</m:t>
                </m:r>
                <m:r>
                  <m:rPr>
                    <m:sty m:val="p"/>
                  </m:rPr>
                  <m:t>+</m:t>
                </m:r>
                <m:r>
                  <m:t>c</m:t>
                </m:r>
              </m:e>
            </m:d>
          </m:e>
          <m:sup>
            <m:r>
              <m:rPr>
                <m:sty m:val="p"/>
              </m:rPr>
              <m:t>−</m:t>
            </m:r>
            <m:r>
              <m:t>η</m:t>
            </m:r>
          </m:sup>
        </m:sSup>
      </m:oMath>
      <w:r>
        <w:t xml:space="preserve"> </w:t>
      </w:r>
      <w:r>
        <w:t xml:space="preserve">e, incorporando um fator de frequência</w:t>
      </w:r>
      <w:r>
        <w:t xml:space="preserve"> </w:t>
      </w:r>
      <m:oMath>
        <m:sSub>
          <m:e>
            <m:r>
              <m:t>K</m:t>
            </m:r>
          </m:e>
          <m:sub>
            <m:r>
              <m:t>P</m:t>
            </m:r>
          </m:sub>
        </m:sSub>
      </m:oMath>
      <w:r>
        <w:t xml:space="preserve"> </w:t>
      </w:r>
      <w:r>
        <w:t xml:space="preserve">(com distribuição GEV) e o coeficiente de variação</w:t>
      </w:r>
      <w:r>
        <w:t xml:space="preserve"> </w:t>
      </w:r>
      <m:oMath>
        <m:r>
          <m:t>V</m:t>
        </m:r>
      </m:oMath>
      <w:r>
        <w:t xml:space="preserve">, obtém-se diretamente a família de IDFs</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 </m:t>
          </m:r>
          <m:d>
            <m:dPr>
              <m:begChr m:val="("/>
              <m:endChr m:val=")"/>
              <m:sepChr m:val=""/>
              <m:grow/>
            </m:dPr>
            <m:e>
              <m:r>
                <m:t>1</m:t>
              </m:r>
              <m:r>
                <m:rPr>
                  <m:sty m:val="p"/>
                </m:rPr>
                <m:t>+</m:t>
              </m:r>
              <m:r>
                <m:t>V</m:t>
              </m:r>
              <m:r>
                <m:t> </m:t>
              </m:r>
              <m:sSub>
                <m:e>
                  <m:r>
                    <m:t>K</m:t>
                  </m:r>
                </m:e>
                <m:sub>
                  <m:r>
                    <m:t>P</m:t>
                  </m:r>
                </m:sub>
              </m:sSub>
            </m:e>
          </m:d>
          <m:r>
            <m:t> </m:t>
          </m:r>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na prática uma versão escala-invariante da curva de três parâmetros</w:t>
      </w:r>
      <w:r>
        <w:t xml:space="preserve"> </w:t>
      </w:r>
      <m:oMath>
        <m:sSub>
          <m:e>
            <m:r>
              <m:t>i</m:t>
            </m:r>
          </m:e>
          <m:sub>
            <m:r>
              <m:t>t</m:t>
            </m:r>
          </m:sub>
        </m:sSub>
        <m:r>
          <m:rPr>
            <m:sty m:val="p"/>
          </m:rPr>
          <m:t>=</m:t>
        </m:r>
        <m:sSub>
          <m:e>
            <m:r>
              <m:t>p</m:t>
            </m:r>
          </m:e>
          <m:sub>
            <m:r>
              <m:t>1</m:t>
            </m:r>
          </m:sub>
        </m:sSub>
        <m:r>
          <m:t> </m:t>
        </m:r>
        <m:sSup>
          <m:e>
            <m:d>
              <m:dPr>
                <m:begChr m:val="("/>
                <m:endChr m:val=")"/>
                <m:sepChr m:val=""/>
                <m:grow/>
              </m:dPr>
              <m:e>
                <m:r>
                  <m:t>t</m:t>
                </m:r>
                <m:r>
                  <m:rPr>
                    <m:sty m:val="p"/>
                  </m:rPr>
                  <m:t>+</m:t>
                </m:r>
                <m:sSub>
                  <m:e>
                    <m:r>
                      <m:t>p</m:t>
                    </m:r>
                  </m:e>
                  <m:sub>
                    <m:r>
                      <m:t>3</m:t>
                    </m:r>
                  </m:sub>
                </m:sSub>
              </m:e>
            </m:d>
          </m:e>
          <m:sup>
            <m:sSub>
              <m:e>
                <m:r>
                  <m:t>p</m:t>
                </m:r>
              </m:e>
              <m:sub>
                <m:r>
                  <m:t>2</m:t>
                </m:r>
              </m:sub>
            </m:sSub>
          </m:sup>
        </m:sSup>
      </m:oMath>
      <w:r>
        <w:t xml:space="preserve"> </w:t>
      </w:r>
      <w:r>
        <w:t xml:space="preserve">onde</w:t>
      </w:r>
      <w:r>
        <w:t xml:space="preserve"> </w:t>
      </w:r>
      <m:oMath>
        <m:r>
          <m:rPr>
            <m:sty m:val="p"/>
          </m:rPr>
          <m:t>{</m:t>
        </m:r>
        <m:sSub>
          <m:e>
            <m:r>
              <m:t>a</m:t>
            </m:r>
          </m:e>
          <m:sub>
            <m:r>
              <m:t>1</m:t>
            </m:r>
          </m:sub>
        </m:sSub>
        <m:r>
          <m:rPr>
            <m:sty m:val="p"/>
          </m:rPr>
          <m:t>,</m:t>
        </m:r>
        <m:r>
          <m:t>η</m:t>
        </m:r>
        <m:r>
          <m:rPr>
            <m:sty m:val="p"/>
          </m:rPr>
          <m:t>,</m:t>
        </m:r>
        <m:r>
          <m:t>c</m:t>
        </m:r>
        <m:r>
          <m:rPr>
            <m:sty m:val="p"/>
          </m:rPr>
          <m:t>,</m:t>
        </m:r>
        <m:r>
          <m:t>V</m:t>
        </m:r>
        <m:r>
          <m:rPr>
            <m:sty m:val="p"/>
          </m:rPr>
          <m:t>}</m:t>
        </m:r>
      </m:oMath>
      <w:r>
        <w:t xml:space="preserve"> </w:t>
      </w:r>
      <w:r>
        <w:t xml:space="preserve">substituem</w:t>
      </w:r>
      <w:r>
        <w:t xml:space="preserve"> </w:t>
      </w:r>
      <m:oMath>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oMath>
      <w:r>
        <w:t xml:space="preserve"> </w:t>
      </w:r>
      <w:r>
        <w:t xml:space="preserve">e o nível de retorno entra via</w:t>
      </w:r>
      <w:r>
        <w:t xml:space="preserve"> </w:t>
      </w:r>
      <m:oMath>
        <m:sSub>
          <m:e>
            <m:r>
              <m:t>K</m:t>
            </m:r>
          </m:e>
          <m:sub>
            <m:r>
              <m:t>P</m:t>
            </m:r>
          </m:sub>
        </m:sSub>
      </m:oMath>
      <w:r>
        <w:t xml:space="preserve">. Aqui,</w:t>
      </w:r>
      <w:r>
        <w:t xml:space="preserve"> </w:t>
      </w:r>
      <m:oMath>
        <m:r>
          <m:t>t</m:t>
        </m:r>
      </m:oMath>
      <w:r>
        <w:t xml:space="preserve"> </w:t>
      </w:r>
      <w:r>
        <w:t xml:space="preserve">é a duração</w:t>
      </w:r>
      <w:r>
        <w:t xml:space="preserve"> </w:t>
      </w:r>
      <w:r>
        <w:t xml:space="preserve">“real”</w:t>
      </w:r>
      <w:r>
        <w:t xml:space="preserve">,</w:t>
      </w:r>
      <w:r>
        <w:t xml:space="preserve"> </w:t>
      </w:r>
      <m:oMath>
        <m:r>
          <m:t>c</m:t>
        </m:r>
      </m:oMath>
      <w:r>
        <w:t xml:space="preserve"> </w:t>
      </w:r>
      <w:r>
        <w:t xml:space="preserve">corrige o viés de curta duração,</w:t>
      </w:r>
      <w:r>
        <w:t xml:space="preserve"> </w:t>
      </w:r>
      <m:oMath>
        <m:r>
          <m:t>η</m:t>
        </m:r>
      </m:oMath>
      <w:r>
        <w:t xml:space="preserve"> </w:t>
      </w:r>
      <w:r>
        <w:t xml:space="preserve">é o expoente de escala,</w:t>
      </w:r>
      <w:r>
        <w:t xml:space="preserve"> </w:t>
      </w:r>
      <m:oMath>
        <m:sSub>
          <m:e>
            <m:r>
              <m:t>a</m:t>
            </m:r>
          </m:e>
          <m:sub>
            <m:r>
              <m:t>1</m:t>
            </m:r>
          </m:sub>
        </m:sSub>
      </m:oMath>
      <w:r>
        <w:t xml:space="preserve"> </w:t>
      </w:r>
      <w:r>
        <w:t xml:space="preserve">é o parâmetro de nível,</w:t>
      </w:r>
      <w:r>
        <w:t xml:space="preserve"> </w:t>
      </w:r>
      <m:oMath>
        <m:r>
          <m:t>V</m:t>
        </m:r>
      </m:oMath>
      <w:r>
        <w:t xml:space="preserve"> </w:t>
      </w:r>
      <w:r>
        <w:t xml:space="preserve">o CV e</w:t>
      </w:r>
      <w:r>
        <w:t xml:space="preserve"> </w:t>
      </w:r>
      <m:oMath>
        <m:sSub>
          <m:e>
            <m:r>
              <m:t>K</m:t>
            </m:r>
          </m:e>
          <m:sub>
            <m:r>
              <m:t>P</m:t>
            </m:r>
          </m:sub>
        </m:sSub>
        <m:r>
          <m:rPr>
            <m:sty m:val="p"/>
          </m:rPr>
          <m:t>∼</m:t>
        </m:r>
        <m:r>
          <m:rPr>
            <m:nor/>
            <m:sty m:val="p"/>
          </m:rPr>
          <m:t>GEV</m:t>
        </m:r>
        <m:d>
          <m:dPr>
            <m:begChr m:val="("/>
            <m:endChr m:val=")"/>
            <m:sepChr m:val=""/>
            <m:grow/>
          </m:dPr>
          <m:e>
            <m:r>
              <m:t>μ</m:t>
            </m:r>
            <m:r>
              <m:rPr>
                <m:sty m:val="p"/>
              </m:rPr>
              <m:t>,</m:t>
            </m:r>
            <m:r>
              <m:t>σ</m:t>
            </m:r>
            <m:r>
              <m:rPr>
                <m:sty m:val="p"/>
              </m:rPr>
              <m:t>,</m:t>
            </m:r>
            <m:r>
              <m:t>ξ</m:t>
            </m:r>
          </m:e>
        </m:d>
      </m:oMath>
      <w:r>
        <w:t xml:space="preserve"> </w:t>
      </w:r>
      <w:r>
        <w:t xml:space="preserve">padronizado (média 0, desvio 1). Em multiple scaling, a variabilidade de segunda ordem é relaxada introduzindo</w:t>
      </w:r>
      <w:r>
        <w:t xml:space="preserve"> </w:t>
      </w:r>
      <m:oMath>
        <m:sSub>
          <m:e>
            <m:r>
              <m:t>ϕ</m:t>
            </m:r>
          </m:e>
          <m:sub>
            <m:r>
              <m:t>2</m:t>
            </m:r>
          </m:sub>
        </m:sSub>
      </m:oMath>
      <w:r>
        <w:t xml:space="preserve"> </w:t>
      </w:r>
      <w:r>
        <w:t xml:space="preserve">e</w:t>
      </w:r>
      <w:r>
        <w:t xml:space="preserve"> </w:t>
      </w:r>
      <m:oMath>
        <m:sSub>
          <m:e>
            <m:r>
              <m:t>a</m:t>
            </m:r>
          </m:e>
          <m:sub>
            <m:r>
              <m:t>2</m:t>
            </m:r>
          </m:sub>
        </m:sSub>
      </m:oMath>
      <w:r>
        <w:t xml:space="preserve">, resultando em</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m:t>
          </m:r>
          <m:d>
            <m:dPr>
              <m:begChr m:val="["/>
              <m:endChr m:val="]"/>
              <m:sepChr m:val=""/>
              <m:grow/>
            </m:dPr>
            <m:e>
              <m:r>
                <m:t>1</m:t>
              </m:r>
              <m:r>
                <m:rPr>
                  <m:sty m:val="p"/>
                </m:rPr>
                <m:t>+</m:t>
              </m:r>
              <m:sSub>
                <m:e>
                  <m:r>
                    <m:t>K</m:t>
                  </m:r>
                </m:e>
                <m:sub>
                  <m:r>
                    <m:t>P</m:t>
                  </m:r>
                </m:sub>
              </m:sSub>
              <m:r>
                <m:t> </m:t>
              </m:r>
              <m:rad>
                <m:radPr>
                  <m:degHide m:val="on"/>
                </m:radPr>
                <m:deg/>
                <m:e>
                  <m:d>
                    <m:dPr>
                      <m:begChr m:val="("/>
                      <m:endChr m:val=")"/>
                      <m:sepChr m:val=""/>
                      <m:grow/>
                    </m:dPr>
                    <m:e>
                      <m:f>
                        <m:fPr>
                          <m:type m:val="lin"/>
                        </m:fPr>
                        <m:num>
                          <m:sSub>
                            <m:e>
                              <m:r>
                                <m:t>a</m:t>
                              </m:r>
                            </m:e>
                            <m:sub>
                              <m:r>
                                <m:t>2</m:t>
                              </m:r>
                            </m:sub>
                          </m:sSub>
                        </m:num>
                        <m:den>
                          <m:sSubSup>
                            <m:e>
                              <m:r>
                                <m:t>a</m:t>
                              </m:r>
                            </m:e>
                            <m:sub>
                              <m:r>
                                <m:t>1</m:t>
                              </m:r>
                            </m:sub>
                            <m:sup>
                              <m:r>
                                <m:t>2</m:t>
                              </m:r>
                            </m:sup>
                          </m:sSubSup>
                        </m:den>
                      </m:f>
                    </m:e>
                  </m:d>
                  <m:sSup>
                    <m:e>
                      <m:d>
                        <m:dPr>
                          <m:begChr m:val="("/>
                          <m:endChr m:val=")"/>
                          <m:sepChr m:val=""/>
                          <m:grow/>
                        </m:dPr>
                        <m:e>
                          <m:r>
                            <m:t>t</m:t>
                          </m:r>
                          <m:r>
                            <m:rPr>
                              <m:sty m:val="p"/>
                            </m:rPr>
                            <m:t>+</m:t>
                          </m:r>
                          <m:r>
                            <m:t>c</m:t>
                          </m:r>
                        </m:e>
                      </m:d>
                    </m:e>
                    <m:sup>
                      <m:r>
                        <m:t>2</m:t>
                      </m:r>
                      <m:r>
                        <m:rPr>
                          <m:sty m:val="p"/>
                        </m:rPr>
                        <m:t>−</m:t>
                      </m:r>
                      <m:r>
                        <m:t>η</m:t>
                      </m:r>
                    </m:sup>
                  </m:sSup>
                  <m:d>
                    <m:dPr>
                      <m:begChr m:val="("/>
                      <m:endChr m:val=")"/>
                      <m:sepChr m:val=""/>
                      <m:grow/>
                    </m:dPr>
                    <m:e>
                      <m:sSub>
                        <m:e>
                          <m:r>
                            <m:t>ϕ</m:t>
                          </m:r>
                        </m:e>
                        <m:sub>
                          <m:r>
                            <m:t>2</m:t>
                          </m:r>
                        </m:sub>
                      </m:sSub>
                      <m:r>
                        <m:rPr>
                          <m:sty m:val="p"/>
                        </m:rPr>
                        <m:t>−</m:t>
                      </m:r>
                      <m:r>
                        <m:t>1</m:t>
                      </m:r>
                    </m:e>
                  </m:d>
                  <m:r>
                    <m:rPr>
                      <m:sty m:val="p"/>
                    </m:rPr>
                    <m:t>−</m:t>
                  </m:r>
                  <m:r>
                    <m:t>1</m:t>
                  </m:r>
                </m:e>
              </m:rad>
              <m:r>
                <m:t> </m:t>
              </m:r>
            </m:e>
          </m:d>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que equivale a permitir</w:t>
      </w:r>
      <w:r>
        <w:t xml:space="preserve"> </w:t>
      </w:r>
      <m:oMath>
        <m:r>
          <m:t>V</m:t>
        </m:r>
      </m:oMath>
      <w:r>
        <w:t xml:space="preserve"> </w:t>
      </w:r>
      <w:r>
        <w:t xml:space="preserve">dependente de</w:t>
      </w:r>
      <w:r>
        <w:t xml:space="preserve"> </w:t>
      </w:r>
      <m:oMath>
        <m:r>
          <m:t>t</m:t>
        </m:r>
      </m:oMath>
      <w:r>
        <w:t xml:space="preserve"> </w:t>
      </w:r>
      <w:r>
        <w:t xml:space="preserve">via</w:t>
      </w:r>
      <w:r>
        <w:t xml:space="preserve"> </w:t>
      </w:r>
      <m:oMath>
        <m:sSup>
          <m:e>
            <m:d>
              <m:dPr>
                <m:begChr m:val="("/>
                <m:endChr m:val=")"/>
                <m:sepChr m:val=""/>
                <m:grow/>
              </m:dPr>
              <m:e>
                <m:r>
                  <m:t>t</m:t>
                </m:r>
                <m:r>
                  <m:rPr>
                    <m:sty m:val="p"/>
                  </m:rPr>
                  <m:t>+</m:t>
                </m:r>
                <m:r>
                  <m:t>c</m:t>
                </m:r>
              </m:e>
            </m:d>
          </m:e>
          <m:sup>
            <m:r>
              <m:rPr>
                <m:sty m:val="p"/>
              </m:rPr>
              <m:t>−</m:t>
            </m:r>
            <m:r>
              <m:t>2</m:t>
            </m:r>
            <m:r>
              <m:t>η</m:t>
            </m:r>
          </m:sup>
        </m:sSup>
        <m:d>
          <m:dPr>
            <m:begChr m:val="("/>
            <m:endChr m:val=")"/>
            <m:sepChr m:val=""/>
            <m:grow/>
          </m:dPr>
          <m:e>
            <m:sSub>
              <m:e>
                <m:r>
                  <m:t>ϕ</m:t>
                </m:r>
              </m:e>
              <m:sub>
                <m:r>
                  <m:t>2</m:t>
                </m:r>
              </m:sub>
            </m:sSub>
            <m:r>
              <m:rPr>
                <m:sty m:val="p"/>
              </m:rPr>
              <m:t>−</m:t>
            </m:r>
            <m:r>
              <m:t>1</m:t>
            </m:r>
          </m:e>
        </m:d>
      </m:oMath>
      <w:r>
        <w:t xml:space="preserve">. A novidade principal é usar</w:t>
      </w:r>
      <w:r>
        <w:t xml:space="preserve"> </w:t>
      </w:r>
      <m:oMath>
        <m:r>
          <m:t>T</m:t>
        </m:r>
        <m:r>
          <m:rPr>
            <m:sty m:val="p"/>
          </m:rPr>
          <m:t>=</m:t>
        </m:r>
        <m:r>
          <m:t>t</m:t>
        </m:r>
        <m:r>
          <m:rPr>
            <m:sty m:val="p"/>
          </m:rPr>
          <m:t>+</m:t>
        </m:r>
        <m:r>
          <m:t>c</m:t>
        </m:r>
      </m:oMath>
      <w:r>
        <w:t xml:space="preserve"> </w:t>
      </w:r>
      <w:r>
        <w:t xml:space="preserve">dentro da teoria de escala para obter uma única estrutura IDF coerente de 10 min a 24 h, em vez de emparelhar duas curvas (sub-h e supra-h) ou ajustar uma forma de três parâmetros separadamente para cada</w:t>
      </w:r>
      <w:r>
        <w:t xml:space="preserve"> </w:t>
      </w:r>
      <m:oMath>
        <m:r>
          <m:t>T</m:t>
        </m:r>
      </m:oMath>
      <w:r>
        <w:t xml:space="preserve">. A estimação é feita em duas fases. Primeiro, busca-se</w:t>
      </w:r>
      <w:r>
        <w:t xml:space="preserve"> </w:t>
      </w:r>
      <m:oMath>
        <m:r>
          <m:t>c</m:t>
        </m:r>
      </m:oMath>
      <w:r>
        <w:t xml:space="preserve"> </w:t>
      </w:r>
      <w:r>
        <w:t xml:space="preserve">iterativamente minimizando o erro absoluto relativo entre as IDFs do modelo e os quantis obtidos por EV (no estudo, Gumbel para</w:t>
      </w:r>
      <w:r>
        <w:t xml:space="preserve"> </w:t>
      </w:r>
      <m:oMath>
        <m:sSub>
          <m:e>
            <m:r>
              <m:t>i</m:t>
            </m:r>
          </m:e>
          <m:sub>
            <m:r>
              <m:t>t</m:t>
            </m:r>
          </m:sub>
        </m:sSub>
      </m:oMath>
      <w:r>
        <w:t xml:space="preserve"> </w:t>
      </w:r>
      <w:r>
        <w:t xml:space="preserve">devido a amostras curtas), enquanto</w:t>
      </w:r>
      <w:r>
        <w:t xml:space="preserve"> </w:t>
      </w:r>
      <m:oMath>
        <m:sSub>
          <m:e>
            <m:r>
              <m:t>a</m:t>
            </m:r>
          </m:e>
          <m:sub>
            <m:r>
              <m:t>1</m:t>
            </m:r>
          </m:sub>
        </m:sSub>
      </m:oMath>
      <w:r>
        <w:t xml:space="preserve"> </w:t>
      </w:r>
      <w:r>
        <w:t xml:space="preserve">e</w:t>
      </w:r>
      <w:r>
        <w:t xml:space="preserve"> </w:t>
      </w:r>
      <m:oMath>
        <m:r>
          <m:t>η</m:t>
        </m:r>
      </m:oMath>
      <w:r>
        <w:t xml:space="preserve"> </w:t>
      </w:r>
      <w:r>
        <w:t xml:space="preserve">vêm de regressão log–log de</w:t>
      </w:r>
      <w:r>
        <w:t xml:space="preserve"> </w:t>
      </w:r>
      <m:oMath>
        <m:r>
          <m:rPr>
            <m:sty m:val="p"/>
            <m:scr m:val="double-struck"/>
          </m:rPr>
          <m:t>E</m:t>
        </m:r>
        <m:d>
          <m:dPr>
            <m:begChr m:val="["/>
            <m:endChr m:val="]"/>
            <m:sepChr m:val=""/>
            <m:grow/>
          </m:dPr>
          <m:e>
            <m:sSub>
              <m:e>
                <m:r>
                  <m:t>i</m:t>
                </m:r>
              </m:e>
              <m:sub>
                <m:r>
                  <m:t>t</m:t>
                </m:r>
              </m:sub>
            </m:sSub>
          </m:e>
        </m:d>
      </m:oMath>
      <w:r>
        <w:t xml:space="preserve"> </w:t>
      </w:r>
      <w:r>
        <w:t xml:space="preserve">vs. </w:t>
      </w:r>
      <m:oMath>
        <m:r>
          <m:t>t</m:t>
        </m:r>
        <m:r>
          <m:rPr>
            <m:sty m:val="p"/>
          </m:rPr>
          <m:t>+</m:t>
        </m:r>
        <m:r>
          <m:t>c</m:t>
        </m:r>
      </m:oMath>
      <w:r>
        <w:t xml:space="preserve">,</w:t>
      </w:r>
      <w:r>
        <w:t xml:space="preserve"> </w:t>
      </w:r>
      <m:oMath>
        <m:r>
          <m:t>V</m:t>
        </m:r>
      </m:oMath>
      <w:r>
        <w:t xml:space="preserve"> </w:t>
      </w:r>
      <w:r>
        <w:t xml:space="preserve">do CV médio e</w:t>
      </w:r>
      <w:r>
        <w:t xml:space="preserve"> </w:t>
      </w:r>
      <m:oMath>
        <m:d>
          <m:dPr>
            <m:begChr m:val="("/>
            <m:endChr m:val=")"/>
            <m:sepChr m:val=""/>
            <m:grow/>
          </m:dPr>
          <m:e>
            <m:r>
              <m:t>μ</m:t>
            </m:r>
            <m:r>
              <m:rPr>
                <m:sty m:val="p"/>
              </m:rPr>
              <m:t>,</m:t>
            </m:r>
            <m:r>
              <m:t>σ</m:t>
            </m:r>
            <m:r>
              <m:rPr>
                <m:sty m:val="p"/>
              </m:rPr>
              <m:t>,</m:t>
            </m:r>
            <m:r>
              <m:t>ξ</m:t>
            </m:r>
          </m:e>
        </m:d>
      </m:oMath>
      <w:r>
        <w:t xml:space="preserve"> </w:t>
      </w:r>
      <w:r>
        <w:t xml:space="preserve">de</w:t>
      </w:r>
      <w:r>
        <w:t xml:space="preserve"> </w:t>
      </w:r>
      <m:oMath>
        <m:sSub>
          <m:e>
            <m:r>
              <m:t>K</m:t>
            </m:r>
          </m:e>
          <m:sub>
            <m:r>
              <m:t>P</m:t>
            </m:r>
          </m:sub>
        </m:sSub>
      </m:oMath>
      <w:r>
        <w:t xml:space="preserve"> </w:t>
      </w:r>
      <w:r>
        <w:t xml:space="preserve">por momentos. Depois, um refinamento local minimiza o erro ponderado, permitindo pesos por duração para dar mais confiança às séries longas (tipicamente ≥ 1 h) quando as sub-horárias são curtas/ruidosas. Aplicações em quatro casos europeus mostram bom ajuste em 10 min–24 h; o multiple scaling melhora marginalmente em dois locais, embora</w:t>
      </w:r>
      <w:r>
        <w:t xml:space="preserve"> </w:t>
      </w:r>
      <m:oMath>
        <m:sSub>
          <m:e>
            <m:r>
              <m:t>ϕ</m:t>
            </m:r>
          </m:e>
          <m:sub>
            <m:r>
              <m:t>2</m:t>
            </m:r>
          </m:sub>
        </m:sSub>
        <m:r>
          <m:rPr>
            <m:sty m:val="p"/>
          </m:rPr>
          <m:t>≈</m:t>
        </m:r>
        <m:r>
          <m:t>1</m:t>
        </m:r>
      </m:oMath>
      <w:r>
        <w:t xml:space="preserve"> </w:t>
      </w:r>
      <w:r>
        <w:t xml:space="preserve">na prática, e a inclusão de</w:t>
      </w:r>
      <w:r>
        <w:t xml:space="preserve"> </w:t>
      </w:r>
      <m:oMath>
        <m:r>
          <m:t>c</m:t>
        </m:r>
        <m:r>
          <m:rPr>
            <m:sty m:val="p"/>
          </m:rPr>
          <m:t>&gt;</m:t>
        </m:r>
        <m:r>
          <m:t>0</m:t>
        </m:r>
      </m:oMath>
      <w:r>
        <w:t xml:space="preserve"> </w:t>
      </w:r>
      <w:r>
        <w:t xml:space="preserve">corrige os vieses típicos da hipótese tradicional</w:t>
      </w:r>
      <w:r>
        <w:t xml:space="preserve"> </w:t>
      </w:r>
      <m:oMath>
        <m:r>
          <m:t>c</m:t>
        </m:r>
        <m:r>
          <m:rPr>
            <m:sty m:val="p"/>
          </m:rPr>
          <m:t>=</m:t>
        </m:r>
        <m:r>
          <m:t>0</m:t>
        </m:r>
      </m:oMath>
      <w:r>
        <w:t xml:space="preserve"> </w:t>
      </w:r>
      <w:r>
        <w:t xml:space="preserve">na vizinhança de 0,5–1 h. Os autores também evidenciam que, pelas amostras disponíveis,</w:t>
      </w:r>
      <w:r>
        <w:t xml:space="preserve"> </w:t>
      </w:r>
      <m:oMath>
        <m:r>
          <m:t>ξ</m:t>
        </m:r>
      </m:oMath>
      <w:r>
        <w:t xml:space="preserve"> </w:t>
      </w:r>
      <w:r>
        <w:t xml:space="preserve">tende a 0 (Gumbel), coerente com o uso de quantis Gumbel na calibração, sem prejuízo da estrutura geral baseada na GEV de</w:t>
      </w:r>
      <w:r>
        <w:t xml:space="preserve"> </w:t>
      </w:r>
      <m:oMath>
        <m:sSub>
          <m:e>
            <m:r>
              <m:t>K</m:t>
            </m:r>
          </m:e>
          <m:sub>
            <m:r>
              <m:t>P</m:t>
            </m:r>
          </m:sub>
        </m:sSub>
      </m:oMath>
      <w:r>
        <w:t xml:space="preserve">. Em síntese, o trabalho estende a invariância de escala para uma curva de três parâmetros com duração ajustada, fornece um procedimento de calibração robusto e reduz a parametrização necessária para múltiplos períodos de retorno mantendo consistência estatística entre durações.</w:t>
      </w:r>
    </w:p>
    <w:p>
      <w:pPr>
        <w:pStyle w:val="Compact"/>
        <w:numPr>
          <w:ilvl w:val="0"/>
          <w:numId w:val="1002"/>
        </w:numPr>
      </w:pPr>
      <w:r>
        <w:rPr>
          <w:b/>
          <w:bCs/>
        </w:rPr>
        <w:t xml:space="preserve">Técnicas Não Paramétricas / Reamostragem</w:t>
      </w:r>
    </w:p>
    <w:p>
      <w:pPr>
        <w:pStyle w:val="FirstParagraph"/>
      </w:pPr>
      <w:r>
        <w:t xml:space="preserve">As técnicas não paramétricas de desagregação geram séries subdiárias por reamostragem de padrões intradiários observados, sem postular uma distribuição específica e preservando o acumulado diário. O método dos fragmentos (MOF) reparte o total diário segundo</w:t>
      </w:r>
      <w:r>
        <w:t xml:space="preserve"> </w:t>
      </w:r>
      <w:r>
        <w:t xml:space="preserve">“fragmentos”</w:t>
      </w:r>
      <w:r>
        <w:t xml:space="preserve"> </w:t>
      </w:r>
      <w:r>
        <w:t xml:space="preserve">subdiários históricos (hietogramas normalizados). No MOF, para uma estação doadora sss, dia</w:t>
      </w:r>
      <w:r>
        <w:t xml:space="preserve"> </w:t>
      </w:r>
      <m:oMath>
        <m:r>
          <m:t>i</m:t>
        </m:r>
      </m:oMath>
      <w:r>
        <w:t xml:space="preserve"> </w:t>
      </w:r>
      <w:r>
        <w:t xml:space="preserve">e duração</w:t>
      </w:r>
      <w:r>
        <w:t xml:space="preserve"> </w:t>
      </w:r>
      <m:oMath>
        <m:r>
          <m:t>m</m:t>
        </m:r>
      </m:oMath>
      <w:r>
        <w:t xml:space="preserve">, o fragmento adimensional é definido como</w:t>
      </w:r>
    </w:p>
    <w:p>
      <w:pPr>
        <w:pStyle w:val="BodyText"/>
      </w:pPr>
      <m:oMathPara>
        <m:oMathParaPr>
          <m:jc m:val="center"/>
        </m:oMathParaPr>
        <m:oMath>
          <m:sSub>
            <m:e>
              <m:r>
                <m:rPr>
                  <m:sty m:val="p"/>
                </m:rPr>
                <m:t>f</m:t>
              </m:r>
              <m:r>
                <m:rPr>
                  <m:sty m:val="p"/>
                </m:rPr>
                <m:t>r</m:t>
              </m:r>
            </m:e>
            <m:sub>
              <m:r>
                <m:t>i</m:t>
              </m:r>
              <m:r>
                <m:rPr>
                  <m:sty m:val="p"/>
                </m:rPr>
                <m:t>,</m:t>
              </m:r>
              <m:r>
                <m:t>m</m:t>
              </m:r>
              <m:r>
                <m:rPr>
                  <m:sty m:val="p"/>
                </m:rPr>
                <m:t>,</m:t>
              </m:r>
              <m:r>
                <m:t>s</m:t>
              </m:r>
            </m:sub>
          </m:sSub>
          <m:r>
            <m:t> </m:t>
          </m:r>
          <m:r>
            <m:rPr>
              <m:sty m:val="p"/>
            </m:rPr>
            <m:t>=</m:t>
          </m:r>
          <m:r>
            <m:t> </m:t>
          </m:r>
          <m:f>
            <m:fPr>
              <m:type m:val="bar"/>
            </m:fPr>
            <m:num>
              <m:sSub>
                <m:e>
                  <m:r>
                    <m:t>X</m:t>
                  </m:r>
                </m:e>
                <m:sub>
                  <m:r>
                    <m:t>i</m:t>
                  </m:r>
                  <m:r>
                    <m:rPr>
                      <m:sty m:val="p"/>
                    </m:rPr>
                    <m:t>,</m:t>
                  </m:r>
                  <m:r>
                    <m:t>m</m:t>
                  </m:r>
                  <m:r>
                    <m:rPr>
                      <m:sty m:val="p"/>
                    </m:rPr>
                    <m:t>,</m:t>
                  </m:r>
                  <m:r>
                    <m:t>s</m:t>
                  </m:r>
                </m:sub>
              </m:sSub>
            </m:num>
            <m:den>
              <m:nary>
                <m:naryPr>
                  <m:chr m:val="∑"/>
                  <m:limLoc m:val="undOvr"/>
                  <m:subHide m:val="off"/>
                  <m:supHide m:val="on"/>
                </m:naryPr>
                <m:sub>
                  <m:r>
                    <m:t>t</m:t>
                  </m:r>
                </m:sub>
                <m:sup>
                  <m:r>
                    <m:t>​</m:t>
                  </m:r>
                </m:sup>
                <m:e>
                  <m:sSubSup>
                    <m:e>
                      <m:r>
                        <m:t>X</m:t>
                      </m:r>
                    </m:e>
                    <m:sub>
                      <m:r>
                        <m:t>i</m:t>
                      </m:r>
                      <m:r>
                        <m:rPr>
                          <m:sty m:val="p"/>
                        </m:rPr>
                        <m:t>,</m:t>
                      </m:r>
                      <m:r>
                        <m:t>m</m:t>
                      </m:r>
                      <m:r>
                        <m:rPr>
                          <m:sty m:val="p"/>
                        </m:rPr>
                        <m:t>,</m:t>
                      </m:r>
                      <m:r>
                        <m:t>s</m:t>
                      </m:r>
                    </m:sub>
                    <m:sup>
                      <m:d>
                        <m:dPr>
                          <m:begChr m:val="("/>
                          <m:endChr m:val=")"/>
                          <m:sepChr m:val=""/>
                          <m:grow/>
                        </m:dPr>
                        <m:e>
                          <m:r>
                            <m:t>t</m:t>
                          </m:r>
                        </m:e>
                      </m:d>
                    </m:sup>
                  </m:sSubSup>
                </m:e>
              </m:nary>
            </m:den>
          </m:f>
        </m:oMath>
      </m:oMathPara>
    </w:p>
    <w:p>
      <w:pPr>
        <w:pStyle w:val="FirstParagraph"/>
      </w:pPr>
      <w:r>
        <w:t xml:space="preserve">isto é, o vetor intradiário normalizado cuja soma é 1. A chuva subdiária simulada no posto-alvo em um dia chuvoso</w:t>
      </w:r>
      <w:r>
        <w:t xml:space="preserve"> </w:t>
      </w:r>
      <w:r>
        <w:t xml:space="preserve">$i^\*$</w:t>
      </w:r>
      <w:r>
        <w:t xml:space="preserve"> </w:t>
      </w:r>
      <w:r>
        <w:t xml:space="preserve">resulta de</w:t>
      </w:r>
    </w:p>
    <w:p>
      <w:pPr>
        <w:pStyle w:val="BodyText"/>
      </w:pPr>
      <w:r>
        <w:t xml:space="preserve">$$
    \widehat{\mathbf{x}}_{i^\*,m}
    \;=\; P_{i^\*}\cdot \mathrm{fr}_{i^\*,m,s^\*}
    $$</w:t>
      </w:r>
    </w:p>
    <w:p>
      <w:pPr>
        <w:pStyle w:val="FirstParagraph"/>
      </w:pPr>
      <w:r>
        <w:t xml:space="preserve">onde</w:t>
      </w:r>
      <w:r>
        <w:t xml:space="preserve"> </w:t>
      </w:r>
      <w:r>
        <w:t xml:space="preserve">$P_{i^\*}$</w:t>
      </w:r>
      <w:r>
        <w:t xml:space="preserve"> </w:t>
      </w:r>
      <w:r>
        <w:t xml:space="preserve">é a chuva diária observada no alvo e</w:t>
      </w:r>
      <w:r>
        <w:t xml:space="preserve"> </w:t>
      </w:r>
      <w:r>
        <w:t xml:space="preserve">$\mathrm{fr}_{i^\*,m,s^\*}$</w:t>
      </w:r>
      <w:r>
        <w:t xml:space="preserve"> </w:t>
      </w:r>
      <w:r>
        <w:t xml:space="preserve">é um fragmento histórico selecionado.</w:t>
      </w:r>
    </w:p>
    <w:p>
      <w:pPr>
        <w:pStyle w:val="BodyText"/>
      </w:pPr>
      <w:r>
        <w:t xml:space="preserve">Sua variante KNN-MOF seleciona esses fragmentos por similaridade hidrológica (com base em atributos subdiários) e física/regional (via regressão logística em atributos fisiográficos), com tratamento explícito de dias úmidos consecutivos para dar continuidade temporal aos hietogramas. Na prática: (i) define-se, para</w:t>
      </w:r>
      <w:r>
        <w:t xml:space="preserve"> </w:t>
      </w:r>
      <m:oMath>
        <m:r>
          <m:t>m</m:t>
        </m:r>
        <m:r>
          <m:rPr>
            <m:sty m:val="p"/>
          </m:rPr>
          <m:t>∈</m:t>
        </m:r>
        <m:r>
          <m:rPr>
            <m:sty m:val="p"/>
          </m:rPr>
          <m:t>{</m:t>
        </m:r>
        <m:r>
          <m:t>60</m:t>
        </m:r>
        <m:r>
          <m:rPr>
            <m:sty m:val="p"/>
          </m:rPr>
          <m:t>,</m:t>
        </m:r>
        <m:r>
          <m:t>180</m:t>
        </m:r>
        <m:r>
          <m:rPr>
            <m:sty m:val="p"/>
          </m:rPr>
          <m:t>,</m:t>
        </m:r>
        <m:r>
          <m:t>360</m:t>
        </m:r>
        <m:r>
          <m:rPr>
            <m:sty m:val="p"/>
          </m:rPr>
          <m:t>}</m:t>
        </m:r>
      </m:oMath>
      <w:r>
        <w:t xml:space="preserve"> </w:t>
      </w:r>
      <w:r>
        <w:t xml:space="preserve">min, um conjunto de atributos que caracteriza a forma intradiária — intensidade máxima relativa, fração de zeros e instante do pico; (ii) avalia-se a similaridade hidrológica entre pares de estações por um teste KS bivariado 2D2S ao nível de 5%; (iii) modela-se a probabilidade de duas estações serem similares ($u=1$) com regressão logística em diferenças de latitude, longitude, elevação e no produto lat×lon, gerando um ranking de vizinhos por estação e por estação do ano; e (iv) executa-se o reamostrador KNN com janela sazonal móvel (±15 dias) e lógica por estados (seco/úmido em $i-1$ e</w:t>
      </w:r>
      <w:r>
        <w:t xml:space="preserve"> </w:t>
      </w:r>
      <m:oMath>
        <m:r>
          <m:t>i</m:t>
        </m:r>
        <m:r>
          <m:rPr>
            <m:sty m:val="p"/>
          </m:rPr>
          <m:t>+</m:t>
        </m:r>
        <m:r>
          <m:t>1</m:t>
        </m:r>
      </m:oMath>
      <w:r>
        <w:t xml:space="preserve">).</w:t>
      </w:r>
    </w:p>
    <w:p>
      <w:pPr>
        <w:pStyle w:val="BodyText"/>
      </w:pPr>
      <w:r>
        <w:t xml:space="preserve">A etapa de seleção condicional funciona assim: para cada dia chuvoso do alvo, coletam-se, entre os vizinhos mais prováveis, os candidatos dentro da janela ±15 dias e com o mesmo estado seco/úmido nos dias adjacentes; ranqueia-se pelos menores desvios absolutos entre os totais diários (alvo vs. candidato) e retêm-se os</w:t>
      </w:r>
      <w:r>
        <w:t xml:space="preserve"> </w:t>
      </w:r>
      <m:oMath>
        <m:r>
          <m:t>k</m:t>
        </m:r>
      </m:oMath>
      <w:r>
        <w:t xml:space="preserve"> </w:t>
      </w:r>
      <w:r>
        <w:t xml:space="preserve">mais próximos. O sorteio do fragmento dentre os</w:t>
      </w:r>
      <w:r>
        <w:t xml:space="preserve"> </w:t>
      </w:r>
      <m:oMath>
        <m:r>
          <m:t>k</m:t>
        </m:r>
      </m:oMath>
      <w:r>
        <w:t xml:space="preserve"> </w:t>
      </w:r>
      <w:r>
        <w:t xml:space="preserve">vizinhos usa pesos decrescentes com a posição no ranking:</w:t>
      </w:r>
    </w:p>
    <w:p>
      <w:pPr>
        <w:pStyle w:val="BodyText"/>
      </w:pPr>
      <m:oMathPara>
        <m:oMathParaPr>
          <m:jc m:val="center"/>
        </m:oMathParaPr>
        <m:oMath>
          <m:r>
            <m:t>P</m:t>
          </m:r>
          <m:d>
            <m:dPr>
              <m:begChr m:val="("/>
              <m:endChr m:val=")"/>
              <m:sepChr m:val=""/>
              <m:grow/>
            </m:dPr>
            <m:e>
              <m:r>
                <m:t>j</m:t>
              </m:r>
            </m:e>
          </m:d>
          <m:r>
            <m:rPr>
              <m:sty m:val="p"/>
            </m:rPr>
            <m:t>=</m:t>
          </m:r>
          <m:f>
            <m:fPr>
              <m:type m:val="bar"/>
            </m:fPr>
            <m:num>
              <m:sSup>
                <m:e>
                  <m:r>
                    <m:t>j</m:t>
                  </m:r>
                </m:e>
                <m:sup>
                  <m:r>
                    <m:rPr>
                      <m:sty m:val="p"/>
                    </m:rPr>
                    <m:t>−</m:t>
                  </m:r>
                  <m:r>
                    <m:t>1</m:t>
                  </m:r>
                </m:sup>
              </m:sSup>
            </m:num>
            <m:den>
              <m:nary>
                <m:naryPr>
                  <m:chr m:val="∑"/>
                  <m:limLoc m:val="undOvr"/>
                  <m:subHide m:val="off"/>
                  <m:supHide m:val="off"/>
                </m:naryPr>
                <m:sub>
                  <m:r>
                    <m:t>i</m:t>
                  </m:r>
                  <m:r>
                    <m:rPr>
                      <m:sty m:val="p"/>
                    </m:rPr>
                    <m:t>=</m:t>
                  </m:r>
                  <m:r>
                    <m:t>1</m:t>
                  </m:r>
                </m:sub>
                <m:sup>
                  <m:r>
                    <m:t>k</m:t>
                  </m:r>
                </m:sup>
                <m:e>
                  <m:sSup>
                    <m:e>
                      <m:r>
                        <m:t>i</m:t>
                      </m:r>
                    </m:e>
                    <m:sup>
                      <m:r>
                        <m:rPr>
                          <m:sty m:val="p"/>
                        </m:rPr>
                        <m:t>−</m:t>
                      </m:r>
                      <m:r>
                        <m:t>1</m:t>
                      </m:r>
                    </m:sup>
                  </m:sSup>
                </m:e>
              </m:nary>
            </m:den>
          </m:f>
          <m:r>
            <m:rPr>
              <m:sty m:val="p"/>
            </m:rPr>
            <m:t>,</m:t>
          </m:r>
          <m:r>
            <m:t>  </m:t>
          </m:r>
          <m:r>
            <m:t>j</m:t>
          </m:r>
          <m:r>
            <m:rPr>
              <m:sty m:val="p"/>
            </m:rPr>
            <m:t>=</m:t>
          </m:r>
          <m:r>
            <m:t>1</m:t>
          </m:r>
          <m:r>
            <m:rPr>
              <m:sty m:val="p"/>
            </m:rPr>
            <m:t>,</m:t>
          </m:r>
          <m:r>
            <m:rPr>
              <m:sty m:val="p"/>
            </m:rPr>
            <m:t>…</m:t>
          </m:r>
          <m:r>
            <m:rPr>
              <m:sty m:val="p"/>
            </m:rPr>
            <m:t>,</m:t>
          </m:r>
          <m:r>
            <m:t>k</m:t>
          </m:r>
        </m:oMath>
      </m:oMathPara>
    </w:p>
    <w:p>
      <w:pPr>
        <w:pStyle w:val="FirstParagraph"/>
      </w:pPr>
      <w:r>
        <w:t xml:space="preserve">o que privilegia eventos mais similares. Por construção, o método preserva exatamente o total diário e, ao condicionar pelos estados, melhora a coerência entre dias úmidos consecutivos. Com esse arcabouço, Aguilar &amp; Costa (2020) aplicaram o KNN-MOF em 40 estações nas bacias dos rios São Francisco e Doce, gerando séries de 60, 180 e 360 min; calibraram o número de doadoras SSS, o desvio absoluto máximo dos totais diários (adotando 10%) e mostraram que SSS ideal variou com a duração (p.ex., 15 para 60 min; 5 para 180/360 min). Em validação com 100 rodadas, os desvios médios das estatísticas-alvo (média, variância, assimetria e quantis dos máximos anuais de bloco) ficaram em torno de ±10%, com bandas de incerteza razoáveis para as durações menores. O estudo enfatiza explicitamente a similaridade regional para amostrar fragmentos de estações análogas e o tratamento de dias úmidos consecutivos, que melhora a continuidade dos hietogramas gerados. A principal limitação — comum a métodos de reamostragem — é a extrapolação de extremos raros, que tende a depender do repertório de fragmentos disponíveis</w:t>
      </w:r>
    </w:p>
    <w:p>
      <w:pPr>
        <w:pStyle w:val="BodyText"/>
      </w:pPr>
      <w:r>
        <w:t xml:space="preserve">Como complemento temporal, Papalexiou et al. (2018) propõem o DiPMaC (Disaggregation Preserving Marginals and Correlations). O DiPMaC propõe desagregar diretamente um processo na escala grossa</w:t>
      </w:r>
      <w:r>
        <w:t xml:space="preserve"> </w:t>
      </w:r>
      <m:oMath>
        <m:r>
          <m:t>k</m:t>
        </m:r>
      </m:oMath>
      <w:r>
        <w:t xml:space="preserve"> </w:t>
      </w:r>
      <w:r>
        <w:t xml:space="preserve">(p.ex., mensal) para a escala-alvo</w:t>
      </w:r>
      <w:r>
        <w:t xml:space="preserve"> </w:t>
      </w:r>
      <m:oMath>
        <m:sSub>
          <m:e>
            <m:r>
              <m:t>k</m:t>
            </m:r>
          </m:e>
          <m:sub>
            <m:r>
              <m:t>0</m:t>
            </m:r>
          </m:sub>
        </m:sSub>
      </m:oMath>
      <w:r>
        <w:t xml:space="preserve"> </w:t>
      </w:r>
      <w:r>
        <w:t xml:space="preserve">(p.ex., horária) preservando simultaneamente (i) as marginais na escala fina e (ii) a estrutura de correlação linear do processo alvo. Seja</w:t>
      </w:r>
      <w:r>
        <w:t xml:space="preserve"> </w:t>
      </w:r>
      <m:oMath>
        <m:sSubSup>
          <m:e>
            <m:r>
              <m:t>X</m:t>
            </m:r>
          </m:e>
          <m:sub>
            <m:r>
              <m:t>s</m:t>
            </m:r>
          </m:sub>
          <m:sup>
            <m:d>
              <m:dPr>
                <m:begChr m:val="("/>
                <m:endChr m:val=")"/>
                <m:sepChr m:val=""/>
                <m:grow/>
              </m:dPr>
              <m:e>
                <m:r>
                  <m:t>k</m:t>
                </m:r>
              </m:e>
            </m:d>
          </m:sup>
        </m:sSubSup>
        <m:d>
          <m:dPr>
            <m:begChr m:val="("/>
            <m:endChr m:val=")"/>
            <m:sepChr m:val=""/>
            <m:grow/>
          </m:dPr>
          <m:e>
            <m:r>
              <m:t>j</m:t>
            </m:r>
          </m:e>
        </m:d>
        <m:r>
          <m:rPr>
            <m:sty m:val="p"/>
          </m:rPr>
          <m:t>=</m:t>
        </m:r>
        <m:nary>
          <m:naryPr>
            <m:chr m:val="∑"/>
            <m:limLoc m:val="undOvr"/>
            <m:subHide m:val="off"/>
            <m:supHide m:val="off"/>
          </m:naryPr>
          <m:sub>
            <m:r>
              <m:t>t</m:t>
            </m:r>
            <m:r>
              <m:rPr>
                <m:sty m:val="p"/>
              </m:rPr>
              <m:t>=</m:t>
            </m:r>
            <m:d>
              <m:dPr>
                <m:begChr m:val="("/>
                <m:endChr m:val=")"/>
                <m:sepChr m:val=""/>
                <m:grow/>
              </m:dPr>
              <m:e>
                <m:r>
                  <m:t>j</m:t>
                </m:r>
                <m:r>
                  <m:rPr>
                    <m:sty m:val="p"/>
                  </m:rPr>
                  <m:t>−</m:t>
                </m:r>
                <m:r>
                  <m:t>1</m:t>
                </m:r>
              </m:e>
            </m:d>
            <m:r>
              <m:t>k</m:t>
            </m:r>
            <m:r>
              <m:rPr>
                <m:sty m:val="p"/>
              </m:rPr>
              <m:t>+</m:t>
            </m:r>
            <m:r>
              <m:t>1</m:t>
            </m:r>
          </m:sub>
          <m:sup>
            <m:r>
              <m:t>j</m:t>
            </m:r>
            <m:r>
              <m:t>k</m:t>
            </m:r>
          </m:sup>
          <m:e>
            <m:sSub>
              <m:e>
                <m:r>
                  <m:t>X</m:t>
                </m:r>
              </m:e>
              <m:sub>
                <m:r>
                  <m:t>s</m:t>
                </m:r>
              </m:sub>
            </m:sSub>
          </m:e>
        </m:nary>
        <m:d>
          <m:dPr>
            <m:begChr m:val="("/>
            <m:endChr m:val=")"/>
            <m:sepChr m:val=""/>
            <m:grow/>
          </m:dPr>
          <m:e>
            <m:r>
              <m:t>t</m:t>
            </m:r>
          </m:e>
        </m:d>
      </m:oMath>
      <w:r>
        <w:t xml:space="preserve"> </w:t>
      </w:r>
      <w:r>
        <w:t xml:space="preserve">o agregado de</w:t>
      </w:r>
      <w:r>
        <w:t xml:space="preserve"> </w:t>
      </w:r>
      <m:oMath>
        <m:r>
          <m:t>k</m:t>
        </m:r>
      </m:oMath>
      <w:r>
        <w:t xml:space="preserve"> </w:t>
      </w:r>
      <w:r>
        <w:t xml:space="preserve">valores do processo fino</w:t>
      </w:r>
      <w:r>
        <w:t xml:space="preserve"> </w:t>
      </w:r>
      <m:oMath>
        <m:r>
          <m:rPr>
            <m:sty m:val="p"/>
          </m:rPr>
          <m:t>{</m:t>
        </m:r>
        <m:sSub>
          <m:e>
            <m:r>
              <m:t>X</m:t>
            </m:r>
          </m:e>
          <m:sub>
            <m:r>
              <m:t>s</m:t>
            </m:r>
          </m:sub>
        </m:sSub>
        <m:d>
          <m:dPr>
            <m:begChr m:val="("/>
            <m:endChr m:val=")"/>
            <m:sepChr m:val=""/>
            <m:grow/>
          </m:dPr>
          <m:e>
            <m:r>
              <m:t>t</m:t>
            </m:r>
          </m:e>
        </m:d>
        <m:r>
          <m:rPr>
            <m:sty m:val="p"/>
          </m:rPr>
          <m:t>}</m:t>
        </m:r>
      </m:oMath>
      <w:r>
        <w:t xml:space="preserve"> </w:t>
      </w:r>
      <w:r>
        <w:t xml:space="preserve">(subperíodo</w:t>
      </w:r>
      <w:r>
        <w:t xml:space="preserve"> </w:t>
      </w:r>
      <m:oMath>
        <m:r>
          <m:t>s</m:t>
        </m:r>
      </m:oMath>
      <w:r>
        <w:t xml:space="preserve">), e</w:t>
      </w:r>
      <w:r>
        <w:t xml:space="preserve"> </w:t>
      </w:r>
      <m:oMath>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a série observada na escala</w:t>
      </w:r>
      <w:r>
        <w:t xml:space="preserve"> </w:t>
      </w:r>
      <m:oMath>
        <m:r>
          <m:t>k</m:t>
        </m:r>
      </m:oMath>
      <w:r>
        <w:t xml:space="preserve">. Busca-se gerar blocos</w:t>
      </w:r>
      <w:r>
        <w:t xml:space="preserve"> </w:t>
      </w:r>
      <m:oMath>
        <m:r>
          <m:t>k</m:t>
        </m:r>
      </m:oMath>
      <w:r>
        <w:t xml:space="preserve">-amostrais</w:t>
      </w:r>
      <w:r>
        <w:t xml:space="preserve"> </w:t>
      </w:r>
      <m:oMath>
        <m:sSub>
          <m:e>
            <m:r>
              <m:t>x</m:t>
            </m:r>
          </m:e>
          <m:sub>
            <m:r>
              <m:t>s</m:t>
            </m:r>
          </m:sub>
        </m:sSub>
        <m:d>
          <m:dPr>
            <m:begChr m:val="("/>
            <m:endChr m:val=")"/>
            <m:sepChr m:val=""/>
            <m:grow/>
          </m:dPr>
          <m:e>
            <m:r>
              <m:t>j</m:t>
            </m:r>
          </m:e>
        </m:d>
        <m:r>
          <m:rPr>
            <m:sty m:val="p"/>
          </m:rPr>
          <m:t>=</m:t>
        </m:r>
        <m:r>
          <m:rPr>
            <m:sty m:val="p"/>
          </m:rPr>
          <m:t>{</m:t>
        </m:r>
        <m:sSub>
          <m:e>
            <m:r>
              <m:t>x</m:t>
            </m:r>
          </m:e>
          <m:sub>
            <m:r>
              <m:t>s</m:t>
            </m:r>
          </m:sub>
        </m:sSub>
        <m:d>
          <m:dPr>
            <m:begChr m:val="("/>
            <m:endChr m:val=")"/>
            <m:sepChr m:val=""/>
            <m:grow/>
          </m:dPr>
          <m:e>
            <m:r>
              <m:t>t</m:t>
            </m:r>
          </m:e>
        </m:d>
        <m:sSubSup>
          <m:e>
            <m:r>
              <m:rPr>
                <m:sty m:val="p"/>
              </m:rPr>
              <m:t>}</m:t>
            </m:r>
          </m:e>
          <m:sub>
            <m:r>
              <m:t>t</m:t>
            </m:r>
            <m:r>
              <m:rPr>
                <m:sty m:val="p"/>
              </m:rPr>
              <m:t>=</m:t>
            </m:r>
            <m:d>
              <m:dPr>
                <m:begChr m:val="("/>
                <m:endChr m:val=")"/>
                <m:sepChr m:val=""/>
                <m:grow/>
              </m:dPr>
              <m:e>
                <m:r>
                  <m:t>j</m:t>
                </m:r>
                <m:r>
                  <m:rPr>
                    <m:sty m:val="p"/>
                  </m:rPr>
                  <m:t>−</m:t>
                </m:r>
                <m:r>
                  <m:t>1</m:t>
                </m:r>
              </m:e>
            </m:d>
            <m:r>
              <m:t>k</m:t>
            </m:r>
            <m:r>
              <m:rPr>
                <m:sty m:val="p"/>
              </m:rPr>
              <m:t>+</m:t>
            </m:r>
            <m:r>
              <m:t>1</m:t>
            </m:r>
          </m:sub>
          <m:sup>
            <m:r>
              <m:t>j</m:t>
            </m:r>
            <m:r>
              <m:t>k</m:t>
            </m:r>
          </m:sup>
        </m:sSubSup>
      </m:oMath>
      <w:r>
        <w:t xml:space="preserve"> </w:t>
      </w:r>
      <w:r>
        <w:t xml:space="preserve">tais que</w:t>
      </w:r>
      <w:r>
        <w:t xml:space="preserve"> </w:t>
      </w:r>
      <m:oMath>
        <m:r>
          <m:rPr>
            <m:sty m:val="p"/>
          </m:rPr>
          <m:t>∑</m:t>
        </m:r>
        <m:sSub>
          <m:e>
            <m:r>
              <m:t>x</m:t>
            </m:r>
          </m:e>
          <m:sub>
            <m:r>
              <m:t>s</m:t>
            </m:r>
          </m:sub>
        </m:sSub>
        <m:d>
          <m:dPr>
            <m:begChr m:val="("/>
            <m:endChr m:val=")"/>
            <m:sepChr m:val=""/>
            <m:grow/>
          </m:dPr>
          <m:e>
            <m:r>
              <m:t>t</m:t>
            </m:r>
          </m:e>
        </m:d>
        <m:r>
          <m:rPr>
            <m:sty m:val="p"/>
          </m:rPr>
          <m:t>=</m:t>
        </m:r>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e, no conjunto, a série resultante em</w:t>
      </w:r>
      <w:r>
        <w:t xml:space="preserve"> </w:t>
      </w:r>
      <m:oMath>
        <m:sSub>
          <m:e>
            <m:r>
              <m:t>k</m:t>
            </m:r>
          </m:e>
          <m:sub>
            <m:r>
              <m:t>0</m:t>
            </m:r>
          </m:sub>
        </m:sSub>
      </m:oMath>
      <w:r>
        <w:t xml:space="preserve"> </w:t>
      </w:r>
      <w:r>
        <w:t xml:space="preserve">reproduza as marginais e a função de autocorrelação (ACS) do processo fino.</w:t>
      </w:r>
    </w:p>
    <w:p>
      <w:pPr>
        <w:pStyle w:val="BodyText"/>
      </w:pPr>
      <w:r>
        <w:t xml:space="preserve">A geração em escala fina usa um núcleo de desagregação baseado em transformação gaussiana: simula-se um processo gaussiano</w:t>
      </w:r>
      <w:r>
        <w:t xml:space="preserve"> </w:t>
      </w:r>
      <w:r>
        <w:t xml:space="preserve">“pai”</w:t>
      </w:r>
      <w:r>
        <w:t xml:space="preserve"> </w:t>
      </w:r>
      <m:oMath>
        <m:r>
          <m:rPr>
            <m:sty m:val="p"/>
          </m:rPr>
          <m:t>{</m:t>
        </m:r>
        <m:r>
          <m:t>Z</m:t>
        </m:r>
        <m:d>
          <m:dPr>
            <m:begChr m:val="("/>
            <m:endChr m:val=")"/>
            <m:sepChr m:val=""/>
            <m:grow/>
          </m:dPr>
          <m:e>
            <m:r>
              <m:t>t</m:t>
            </m:r>
          </m:e>
        </m:d>
        <m:r>
          <m:rPr>
            <m:sty m:val="p"/>
          </m:rPr>
          <m:t>}</m:t>
        </m:r>
      </m:oMath>
      <w:r>
        <w:t xml:space="preserve"> </w:t>
      </w:r>
      <w:r>
        <w:t xml:space="preserve">com ACS</w:t>
      </w:r>
      <w:r>
        <w:t xml:space="preserve"> </w:t>
      </w:r>
      <m:oMath>
        <m:sSub>
          <m:e>
            <m:r>
              <m:t>ρ</m:t>
            </m:r>
          </m:e>
          <m:sub>
            <m:r>
              <m:t>Z</m:t>
            </m:r>
          </m:sub>
        </m:sSub>
        <m:d>
          <m:dPr>
            <m:begChr m:val="("/>
            <m:endChr m:val=")"/>
            <m:sepChr m:val=""/>
            <m:grow/>
          </m:dPr>
          <m:e>
            <m:r>
              <m:t>τ</m:t>
            </m:r>
          </m:e>
        </m:d>
      </m:oMath>
      <w:r>
        <w:t xml:space="preserve"> </w:t>
      </w:r>
      <w:r>
        <w:t xml:space="preserve">e aplica-se a retrotransformação quantílica</w:t>
      </w:r>
      <w:r>
        <w:t xml:space="preserve"> </w:t>
      </w:r>
      <m:oMath>
        <m:r>
          <m:t>X</m:t>
        </m:r>
        <m:r>
          <m:rPr>
            <m:sty m:val="p"/>
          </m:rPr>
          <m:t>=</m:t>
        </m:r>
        <m:sSub>
          <m:e>
            <m:r>
              <m:t>Q</m:t>
            </m:r>
          </m:e>
          <m:sub>
            <m:r>
              <m:t>X</m:t>
            </m:r>
          </m:sub>
        </m:sSub>
        <m:r>
          <m:t>​</m:t>
        </m:r>
        <m:d>
          <m:dPr>
            <m:begChr m:val="("/>
            <m:endChr m:val=")"/>
            <m:sepChr m:val=""/>
            <m:grow/>
          </m:dPr>
          <m:e>
            <m:sSub>
              <m:e>
                <m:r>
                  <m:t>Φ</m:t>
                </m:r>
              </m:e>
              <m:sub>
                <m:r>
                  <m:t>Z</m:t>
                </m:r>
              </m:sub>
            </m:sSub>
            <m:d>
              <m:dPr>
                <m:begChr m:val="("/>
                <m:endChr m:val=")"/>
                <m:sepChr m:val=""/>
                <m:grow/>
              </m:dPr>
              <m:e>
                <m:r>
                  <m:t>Z</m:t>
                </m:r>
              </m:e>
            </m:d>
          </m:e>
        </m:d>
      </m:oMath>
      <w:r>
        <w:t xml:space="preserve">, onde</w:t>
      </w:r>
      <w:r>
        <w:t xml:space="preserve"> </w:t>
      </w:r>
      <m:oMath>
        <m:sSub>
          <m:e>
            <m:r>
              <m:t>Q</m:t>
            </m:r>
          </m:e>
          <m:sub>
            <m:r>
              <m:t>X</m:t>
            </m:r>
          </m:sub>
        </m:sSub>
      </m:oMath>
      <w:r>
        <w:t xml:space="preserve"> </w:t>
      </w:r>
      <w:r>
        <w:t xml:space="preserve">é a quantil-função da marginal alvo</w:t>
      </w:r>
      <w:r>
        <w:t xml:space="preserve"> </w:t>
      </w:r>
      <m:oMath>
        <m:sSub>
          <m:e>
            <m:r>
              <m:t>F</m:t>
            </m:r>
          </m:e>
          <m:sub>
            <m:r>
              <m:t>X</m:t>
            </m:r>
          </m:sub>
        </m:sSub>
      </m:oMath>
      <w:r>
        <w:t xml:space="preserve">. O vínculo entre a ACS alvo</w:t>
      </w:r>
      <w:r>
        <w:t xml:space="preserve"> </w:t>
      </w:r>
      <m:oMath>
        <m:sSub>
          <m:e>
            <m:r>
              <m:t>ρ</m:t>
            </m:r>
          </m:e>
          <m:sub>
            <m:r>
              <m:t>X</m:t>
            </m:r>
          </m:sub>
        </m:sSub>
        <m:d>
          <m:dPr>
            <m:begChr m:val="("/>
            <m:endChr m:val=")"/>
            <m:sepChr m:val=""/>
            <m:grow/>
          </m:dPr>
          <m:e>
            <m:r>
              <m:t>τ</m:t>
            </m:r>
          </m:e>
        </m:d>
      </m:oMath>
      <w:r>
        <w:t xml:space="preserve"> </w:t>
      </w:r>
      <w:r>
        <w:t xml:space="preserve">e a ACS gaussiana</w:t>
      </w:r>
      <w:r>
        <w:t xml:space="preserve"> </w:t>
      </w:r>
      <m:oMath>
        <m:sSub>
          <m:e>
            <m:r>
              <m:t>ρ</m:t>
            </m:r>
          </m:e>
          <m:sub>
            <m:r>
              <m:t>Z</m:t>
            </m:r>
          </m:sub>
        </m:sSub>
        <m:d>
          <m:dPr>
            <m:begChr m:val="("/>
            <m:endChr m:val=")"/>
            <m:sepChr m:val=""/>
            <m:grow/>
          </m:dPr>
          <m:e>
            <m:r>
              <m:t>τ</m:t>
            </m:r>
          </m:e>
        </m:d>
      </m:oMath>
      <w:r>
        <w:t xml:space="preserve"> </w:t>
      </w:r>
      <w:r>
        <w:t xml:space="preserve">é dado por uma função de transformação paramétrica</w:t>
      </w:r>
    </w:p>
    <w:p>
      <w:pPr>
        <w:pStyle w:val="BodyText"/>
      </w:pPr>
      <m:oMathPara>
        <m:oMathParaPr>
          <m:jc m:val="center"/>
        </m:oMathParaPr>
        <m:oMath>
          <m:sSub>
            <m:e>
              <m:r>
                <m:t>ρ</m:t>
              </m:r>
            </m:e>
            <m:sub>
              <m:r>
                <m:t>Z</m:t>
              </m:r>
            </m:sub>
          </m:sSub>
          <m:r>
            <m:rPr>
              <m:sty m:val="p"/>
            </m:rPr>
            <m:t>=</m:t>
          </m:r>
          <m:r>
            <m:t>T</m:t>
          </m:r>
          <m:d>
            <m:dPr>
              <m:begChr m:val="("/>
              <m:endChr m:val=")"/>
              <m:sepChr m:val=""/>
              <m:grow/>
            </m:dPr>
            <m:e>
              <m:sSub>
                <m:e>
                  <m:r>
                    <m:t>ρ</m:t>
                  </m:r>
                </m:e>
                <m:sub>
                  <m:r>
                    <m:t>X</m:t>
                  </m:r>
                </m:sub>
              </m:sSub>
              <m:r>
                <m:rPr>
                  <m:sty m:val="p"/>
                </m:rPr>
                <m:t>;</m:t>
              </m:r>
              <m:r>
                <m:t>b</m:t>
              </m:r>
              <m:r>
                <m:rPr>
                  <m:sty m:val="p"/>
                </m:rPr>
                <m:t>,</m:t>
              </m:r>
              <m:r>
                <m:t>c</m:t>
              </m:r>
            </m:e>
          </m:d>
          <m:r>
            <m:rPr>
              <m:sty m:val="p"/>
            </m:rPr>
            <m:t>=</m:t>
          </m:r>
          <m:f>
            <m:fPr>
              <m:type m:val="bar"/>
            </m:fPr>
            <m:num>
              <m:sSup>
                <m:e>
                  <m:d>
                    <m:dPr>
                      <m:begChr m:val="("/>
                      <m:endChr m:val=")"/>
                      <m:sepChr m:val=""/>
                      <m:grow/>
                    </m:dPr>
                    <m:e>
                      <m:r>
                        <m:t>1</m:t>
                      </m:r>
                      <m:r>
                        <m:rPr>
                          <m:sty m:val="p"/>
                        </m:rPr>
                        <m:t>+</m:t>
                      </m:r>
                      <m:r>
                        <m:t>b</m:t>
                      </m:r>
                      <m:r>
                        <m:t> </m:t>
                      </m:r>
                      <m:sSub>
                        <m:e>
                          <m:r>
                            <m:t>ρ</m:t>
                          </m:r>
                        </m:e>
                        <m:sub>
                          <m:r>
                            <m:t>X</m:t>
                          </m:r>
                        </m:sub>
                      </m:sSub>
                    </m:e>
                  </m:d>
                </m:e>
                <m:sup>
                  <m:r>
                    <m:t> </m:t>
                  </m:r>
                  <m:r>
                    <m:t>1</m:t>
                  </m:r>
                  <m:r>
                    <m:rPr>
                      <m:sty m:val="p"/>
                    </m:rPr>
                    <m:t>−</m:t>
                  </m:r>
                  <m:r>
                    <m:t>c</m:t>
                  </m:r>
                </m:sup>
              </m:sSup>
              <m:r>
                <m:rPr>
                  <m:sty m:val="p"/>
                </m:rPr>
                <m:t>−</m:t>
              </m:r>
              <m:r>
                <m:t>1</m:t>
              </m:r>
            </m:num>
            <m:den>
              <m:sSup>
                <m:e>
                  <m:d>
                    <m:dPr>
                      <m:begChr m:val="("/>
                      <m:endChr m:val=")"/>
                      <m:sepChr m:val=""/>
                      <m:grow/>
                    </m:dPr>
                    <m:e>
                      <m:r>
                        <m:t>1</m:t>
                      </m:r>
                      <m:r>
                        <m:rPr>
                          <m:sty m:val="p"/>
                        </m:rPr>
                        <m:t>+</m:t>
                      </m:r>
                      <m:r>
                        <m:t>b</m:t>
                      </m:r>
                    </m:e>
                  </m:d>
                </m:e>
                <m:sup>
                  <m:r>
                    <m:t> </m:t>
                  </m:r>
                  <m:r>
                    <m:t>1</m:t>
                  </m:r>
                  <m:r>
                    <m:rPr>
                      <m:sty m:val="p"/>
                    </m:rPr>
                    <m:t>−</m:t>
                  </m:r>
                  <m:r>
                    <m:t>c</m:t>
                  </m:r>
                </m:sup>
              </m:sSup>
              <m:r>
                <m:rPr>
                  <m:sty m:val="p"/>
                </m:rPr>
                <m:t>−</m:t>
              </m:r>
              <m:r>
                <m:t>1</m:t>
              </m:r>
            </m:den>
          </m:f>
        </m:oMath>
      </m:oMathPara>
    </w:p>
    <w:p>
      <w:pPr>
        <w:pStyle w:val="FirstParagraph"/>
      </w:pPr>
      <w:r>
        <w:t xml:space="preserve">cujos parâmetros</w:t>
      </w:r>
      <w:r>
        <w:t xml:space="preserve"> </w:t>
      </w:r>
      <m:oMath>
        <m:d>
          <m:dPr>
            <m:begChr m:val="("/>
            <m:endChr m:val=")"/>
            <m:sepChr m:val=""/>
            <m:grow/>
          </m:dPr>
          <m:e>
            <m:r>
              <m:t>b</m:t>
            </m:r>
            <m:r>
              <m:rPr>
                <m:sty m:val="p"/>
              </m:rPr>
              <m:t>,</m:t>
            </m:r>
            <m:r>
              <m:t>c</m:t>
            </m:r>
          </m:e>
        </m:d>
      </m:oMath>
      <w:r>
        <w:t xml:space="preserve"> </w:t>
      </w:r>
      <w:r>
        <w:t xml:space="preserve">são ajustados para</w:t>
      </w:r>
      <w:r>
        <w:t xml:space="preserve"> </w:t>
      </w:r>
      <w:r>
        <w:t xml:space="preserve">“inflar”</w:t>
      </w:r>
      <w:r>
        <w:t xml:space="preserve"> </w:t>
      </w:r>
      <w:r>
        <w:t xml:space="preserve">a correlação de</w:t>
      </w:r>
      <w:r>
        <w:t xml:space="preserve"> </w:t>
      </w:r>
      <m:oMath>
        <m:r>
          <m:t>X</m:t>
        </m:r>
      </m:oMath>
      <w:r>
        <w:t xml:space="preserve"> </w:t>
      </w:r>
      <w:r>
        <w:t xml:space="preserve">no domínio gaussiano; então</w:t>
      </w:r>
      <w:r>
        <w:t xml:space="preserve"> </w:t>
      </w:r>
      <m:oMath>
        <m:r>
          <m:rPr>
            <m:sty m:val="p"/>
          </m:rPr>
          <m:t>{</m:t>
        </m:r>
        <m:r>
          <m:t>Z</m:t>
        </m:r>
        <m:d>
          <m:dPr>
            <m:begChr m:val="("/>
            <m:endChr m:val=")"/>
            <m:sepChr m:val=""/>
            <m:grow/>
          </m:dPr>
          <m:e>
            <m:r>
              <m:t>t</m:t>
            </m:r>
          </m:e>
        </m:d>
        <m:r>
          <m:rPr>
            <m:sty m:val="p"/>
          </m:rPr>
          <m:t>}</m:t>
        </m:r>
      </m:oMath>
      <w:r>
        <w:t xml:space="preserve"> </w:t>
      </w:r>
      <w:r>
        <w:t xml:space="preserve">é simulado por AR($p$) de ordem suficiente e mapeado para</w:t>
      </w:r>
      <w:r>
        <w:t xml:space="preserve"> </w:t>
      </w:r>
      <m:oMath>
        <m:r>
          <m:rPr>
            <m:sty m:val="p"/>
          </m:rPr>
          <m:t>{</m:t>
        </m:r>
        <m:r>
          <m:t>X</m:t>
        </m:r>
        <m:d>
          <m:dPr>
            <m:begChr m:val="("/>
            <m:endChr m:val=")"/>
            <m:sepChr m:val=""/>
            <m:grow/>
          </m:dPr>
          <m:e>
            <m:r>
              <m:t>t</m:t>
            </m:r>
          </m:e>
        </m:d>
        <m:r>
          <m:rPr>
            <m:sty m:val="p"/>
          </m:rPr>
          <m:t>}</m:t>
        </m:r>
      </m:oMath>
      <w:r>
        <w:t xml:space="preserve"> </w:t>
      </w:r>
      <w:r>
        <w:t xml:space="preserve">pela retrotransformação</w:t>
      </w:r>
    </w:p>
    <w:p>
      <w:pPr>
        <w:pStyle w:val="BodyText"/>
      </w:pPr>
      <w:r>
        <w:t xml:space="preserve">Para impor a consistência do total na escala</w:t>
      </w:r>
      <w:r>
        <w:t xml:space="preserve"> </w:t>
      </w:r>
      <m:oMath>
        <m:r>
          <m:t>k</m:t>
        </m:r>
      </m:oMath>
      <w:r>
        <w:t xml:space="preserve">, o DiPMaC usa um esquema de ensaios de Bernoulli. Fixado um erro relativo alvo</w:t>
      </w:r>
      <w:r>
        <w:t xml:space="preserve"> </w:t>
      </w:r>
      <m:oMath>
        <m:sSub>
          <m:e>
            <m:r>
              <m:t>p</m:t>
            </m:r>
          </m:e>
          <m:sub>
            <m:r>
              <m:t>ϵ</m:t>
            </m:r>
          </m:sub>
        </m:sSub>
      </m:oMath>
      <w:r>
        <w:t xml:space="preserve"> </w:t>
      </w:r>
      <w:r>
        <w:t xml:space="preserve">(p.ex., 5%), define-se o evento</w:t>
      </w:r>
      <w:r>
        <w:t xml:space="preserve"> </w:t>
      </w:r>
      <w:r>
        <w:t xml:space="preserve">“sucesso”</w:t>
      </w:r>
      <w:r>
        <w:t xml:space="preserve"> </w:t>
      </w:r>
      <w:r>
        <w:t xml:space="preserve">como um bloco gerado</w:t>
      </w:r>
      <w:r>
        <w:t xml:space="preserve"> </w:t>
      </w:r>
      <m:oMath>
        <m:sSup>
          <m:e>
            <m:acc>
              <m:accPr>
                <m:chr m:val="̂"/>
              </m:accPr>
              <m:e>
                <m:r>
                  <m:t>x</m:t>
                </m:r>
              </m:e>
            </m:acc>
          </m:e>
          <m:sup>
            <m:d>
              <m:dPr>
                <m:begChr m:val="("/>
                <m:endChr m:val=")"/>
                <m:sepChr m:val=""/>
                <m:grow/>
              </m:dPr>
              <m:e>
                <m:r>
                  <m:t>k</m:t>
                </m:r>
              </m:e>
            </m:d>
          </m:sup>
        </m:sSup>
      </m:oMath>
      <w:r>
        <w:t xml:space="preserve"> </w:t>
      </w:r>
      <w:r>
        <w:t xml:space="preserve">cair no intervalo de tolerância</w:t>
      </w:r>
      <w:r>
        <w:t xml:space="preserve"> </w:t>
      </w:r>
      <m:oMath>
        <m:r>
          <m:t>A</m:t>
        </m:r>
        <m:r>
          <m:rPr>
            <m:sty m:val="p"/>
          </m:rP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r>
              <m:rPr>
                <m:sty m:val="p"/>
              </m:rPr>
              <m:t>,</m:t>
            </m:r>
            <m:r>
              <m:t> </m:t>
            </m:r>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w:r>
        <w:t xml:space="preserve">. A probabilidade de sucesso é</w:t>
      </w:r>
    </w:p>
    <w:p>
      <w:pPr>
        <w:pStyle w:val="BodyText"/>
      </w:pPr>
      <m:oMathPara>
        <m:oMathParaPr>
          <m:jc m:val="center"/>
        </m:oMathParaPr>
        <m:oMath>
          <m:r>
            <m:t>u</m:t>
          </m:r>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m:oMathPara>
    </w:p>
    <w:p>
      <w:pPr>
        <w:pStyle w:val="FirstParagraph"/>
      </w:pPr>
      <w:r>
        <w:t xml:space="preserve">e o número mínimo de blocos a gerar para garantir pelo menos um sucesso com confiança</w:t>
      </w:r>
      <w:r>
        <w:t xml:space="preserve"> </w:t>
      </w:r>
      <m:oMath>
        <m:r>
          <m:t>P</m:t>
        </m:r>
      </m:oMath>
      <w:r>
        <w:t xml:space="preserve"> </w:t>
      </w:r>
      <w:r>
        <w:t xml:space="preserve">é</w:t>
      </w:r>
    </w:p>
    <w:p>
      <w:pPr>
        <w:pStyle w:val="BodyText"/>
      </w:pPr>
      <m:oMathPara>
        <m:oMathParaPr>
          <m:jc m:val="center"/>
        </m:oMathParaPr>
        <m:oMath>
          <m:r>
            <m:t>ν</m:t>
          </m:r>
          <m:r>
            <m:rPr>
              <m:sty m:val="p"/>
            </m:rPr>
            <m:t>=</m:t>
          </m:r>
          <m:f>
            <m:fPr>
              <m:type m:val="bar"/>
            </m:fPr>
            <m:num>
              <m:r>
                <m:rPr>
                  <m:sty m:val="p"/>
                </m:rPr>
                <m:t>ln</m:t>
              </m:r>
              <m:d>
                <m:dPr>
                  <m:begChr m:val="("/>
                  <m:endChr m:val=")"/>
                  <m:sepChr m:val=""/>
                  <m:grow/>
                </m:dPr>
                <m:e>
                  <m:r>
                    <m:t>1</m:t>
                  </m:r>
                  <m:r>
                    <m:rPr>
                      <m:sty m:val="p"/>
                    </m:rPr>
                    <m:t>−</m:t>
                  </m:r>
                  <m:r>
                    <m:t>P</m:t>
                  </m:r>
                </m:e>
              </m:d>
            </m:num>
            <m:den>
              <m:r>
                <m:rPr>
                  <m:sty m:val="p"/>
                </m:rPr>
                <m:t>ln</m:t>
              </m:r>
              <m:d>
                <m:dPr>
                  <m:begChr m:val="("/>
                  <m:endChr m:val=")"/>
                  <m:sepChr m:val=""/>
                  <m:grow/>
                </m:dPr>
                <m:e>
                  <m:r>
                    <m:t>1</m:t>
                  </m:r>
                  <m:r>
                    <m:rPr>
                      <m:sty m:val="p"/>
                    </m:rPr>
                    <m:t>−</m:t>
                  </m:r>
                  <m:r>
                    <m:t>u</m:t>
                  </m:r>
                </m:e>
              </m:d>
            </m:den>
          </m:f>
        </m:oMath>
      </m:oMathPara>
    </w:p>
    <w:p>
      <w:pPr>
        <w:pStyle w:val="FirstParagraph"/>
      </w:pPr>
      <w:r>
        <w:t xml:space="preserve">Na prática, consideram-se dois planos operacionais: (Método 1) gerar</w:t>
      </w:r>
      <w:r>
        <w:t xml:space="preserve"> </w:t>
      </w:r>
      <m:oMath>
        <m:r>
          <m:t>ν</m:t>
        </m:r>
      </m:oMath>
      <w:r>
        <w:t xml:space="preserve"> </w:t>
      </w:r>
      <w:r>
        <w:t xml:space="preserve">blocos e escolher o de menor erro; (Método 2) iterar até o primeiro bloco que satisfaça</w:t>
      </w:r>
      <w:r>
        <w:t xml:space="preserve"> </w:t>
      </w:r>
      <m:oMath>
        <m:sSub>
          <m:e>
            <m:r>
              <m:t>p</m:t>
            </m:r>
          </m:e>
          <m:sub>
            <m:r>
              <m:t>ε</m:t>
            </m:r>
          </m:sub>
        </m:sSub>
      </m:oMath>
      <w:r>
        <w:t xml:space="preserve"> </w:t>
      </w:r>
      <w:r>
        <w:t xml:space="preserve">(com teto</w:t>
      </w:r>
      <w:r>
        <w:t xml:space="preserve"> </w:t>
      </w:r>
      <m:oMath>
        <m:r>
          <m:t>ν</m:t>
        </m:r>
      </m:oMath>
      <w:r>
        <w:t xml:space="preserve">). Opcionalmente, aplica-se um ajuste final de soma multiplicando o bloco escolhido por</w:t>
      </w:r>
      <w:r>
        <w:t xml:space="preserve"> </w:t>
      </w:r>
      <m:oMath>
        <m:sSub>
          <m:e>
            <m:r>
              <m:t>c</m:t>
            </m:r>
          </m:e>
          <m:sub>
            <m:r>
              <m:t>ε</m:t>
            </m:r>
          </m:sub>
        </m:sSub>
        <m:r>
          <m:rPr>
            <m:sty m:val="p"/>
          </m:rPr>
          <m:t>=</m:t>
        </m:r>
        <m:r>
          <m:rPr>
            <m:sty m:val="p"/>
          </m:rPr>
          <m:t>|</m:t>
        </m:r>
        <m:sSup>
          <m:e>
            <m:r>
              <m:t>x</m:t>
            </m:r>
          </m:e>
          <m:sup>
            <m:d>
              <m:dPr>
                <m:begChr m:val="("/>
                <m:endChr m:val=")"/>
                <m:sepChr m:val=""/>
                <m:grow/>
              </m:dPr>
              <m:e>
                <m:r>
                  <m:t>k</m:t>
                </m:r>
              </m:e>
            </m:d>
          </m:sup>
        </m:sSup>
        <m:r>
          <m:rPr>
            <m:sty m:val="p"/>
          </m:rPr>
          <m:t>/</m:t>
        </m:r>
        <m:sSup>
          <m:e>
            <m:acc>
              <m:accPr>
                <m:chr m:val="̂"/>
              </m:accPr>
              <m:e>
                <m:r>
                  <m:t>x</m:t>
                </m:r>
              </m:e>
            </m:acc>
          </m:e>
          <m:sup>
            <m:d>
              <m:dPr>
                <m:begChr m:val="("/>
                <m:endChr m:val=")"/>
                <m:sepChr m:val=""/>
                <m:grow/>
              </m:dPr>
              <m:e>
                <m:r>
                  <m:t>k</m:t>
                </m:r>
              </m:e>
            </m:d>
          </m:sup>
        </m:sSup>
        <m:r>
          <m:rPr>
            <m:sty m:val="p"/>
          </m:rPr>
          <m:t>|</m:t>
        </m:r>
      </m:oMath>
      <w:r>
        <w:t xml:space="preserve"> </w:t>
      </w:r>
      <w:r>
        <w:t xml:space="preserve">para zerar o erro de fechamento. Mostra-se que, sob a restrição</w:t>
      </w:r>
      <w:r>
        <w:t xml:space="preserve"> </w:t>
      </w:r>
      <m:oMath>
        <m:r>
          <m:t>ε</m:t>
        </m:r>
        <m:r>
          <m:rPr>
            <m:sty m:val="p"/>
          </m:rPr>
          <m:t>≤</m:t>
        </m:r>
        <m:sSub>
          <m:e>
            <m:r>
              <m:t>p</m:t>
            </m:r>
          </m:e>
          <m:sub>
            <m:r>
              <m:t>ε</m:t>
            </m:r>
          </m:sub>
        </m:sSub>
        <m:d>
          <m:dPr>
            <m:begChr m:val="|"/>
            <m:endChr m:val="|"/>
            <m:sepChr m:val=""/>
            <m:grow/>
          </m:dPr>
          <m:e>
            <m:sSup>
              <m:e>
                <m:r>
                  <m:t>x</m:t>
                </m:r>
              </m:e>
              <m:sup>
                <m:d>
                  <m:dPr>
                    <m:begChr m:val="("/>
                    <m:endChr m:val=")"/>
                    <m:sepChr m:val=""/>
                    <m:grow/>
                  </m:dPr>
                  <m:e>
                    <m:r>
                      <m:t>k</m:t>
                    </m:r>
                  </m:e>
                </m:d>
              </m:sup>
            </m:sSup>
          </m:e>
        </m:d>
      </m:oMath>
      <w:r>
        <w:t xml:space="preserve">,</w:t>
      </w:r>
      <w:r>
        <w:t xml:space="preserve"> </w:t>
      </w:r>
      <m:oMath>
        <m:sSub>
          <m:e>
            <m:r>
              <m:t>c</m:t>
            </m:r>
          </m:e>
          <m:sub>
            <m:r>
              <m:t>ε</m:t>
            </m:r>
          </m:sub>
        </m:sSub>
        <m:r>
          <m:rPr>
            <m:sty m:val="p"/>
          </m:rP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r>
              <m:t> </m:t>
            </m:r>
            <m:sSup>
              <m:e>
                <m:d>
                  <m:dPr>
                    <m:begChr m:val="("/>
                    <m:endChr m:val=")"/>
                    <m:sepChr m:val=""/>
                    <m:grow/>
                  </m:dPr>
                  <m:e>
                    <m:r>
                      <m:t>1</m:t>
                    </m:r>
                    <m:r>
                      <m:rPr>
                        <m:sty m:val="p"/>
                      </m:rPr>
                      <m:t>−</m:t>
                    </m:r>
                    <m:sSub>
                      <m:e>
                        <m:r>
                          <m:t>p</m:t>
                        </m:r>
                      </m:e>
                      <m:sub>
                        <m:r>
                          <m:t>ε</m:t>
                        </m:r>
                      </m:sub>
                    </m:sSub>
                  </m:e>
                </m:d>
              </m:e>
              <m:sup>
                <m:r>
                  <m:rPr>
                    <m:sty m:val="p"/>
                  </m:rPr>
                  <m:t>−</m:t>
                </m:r>
                <m:r>
                  <m:t>1</m:t>
                </m:r>
              </m:sup>
            </m:sSup>
          </m:e>
        </m:d>
      </m:oMath>
      <w:r>
        <w:t xml:space="preserve">. Admitindo</w:t>
      </w:r>
      <w:r>
        <w:t xml:space="preserve"> </w:t>
      </w:r>
      <m:oMath>
        <m:sSub>
          <m:e>
            <m:r>
              <m:t>c</m:t>
            </m:r>
          </m:e>
          <m:sub>
            <m:r>
              <m:t>ε</m:t>
            </m:r>
          </m:sub>
        </m:sSub>
        <m:r>
          <m:rPr>
            <m:sty m:val="p"/>
          </m:rPr>
          <m:t>∼</m:t>
        </m:r>
        <m:r>
          <m:t>U</m:t>
        </m:r>
        <m: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sSup>
              <m:e>
                <m:d>
                  <m:dPr>
                    <m:begChr m:val="("/>
                    <m:endChr m:val=")"/>
                    <m:sepChr m:val=""/>
                    <m:grow/>
                  </m:dPr>
                  <m:e>
                    <m:r>
                      <m:t>1</m:t>
                    </m:r>
                    <m:r>
                      <m:rPr>
                        <m:sty m:val="p"/>
                      </m:rPr>
                      <m:t>−</m:t>
                    </m:r>
                    <m:sSub>
                      <m:e>
                        <m:r>
                          <m:t>p</m:t>
                        </m:r>
                      </m:e>
                      <m:sub>
                        <m:r>
                          <m:t>ε</m:t>
                        </m:r>
                      </m:sub>
                    </m:sSub>
                  </m:e>
                </m:d>
              </m:e>
              <m:sup>
                <m:r>
                  <m:rPr>
                    <m:sty m:val="p"/>
                  </m:rPr>
                  <m:t>−</m:t>
                </m:r>
                <m:r>
                  <m:t>1</m:t>
                </m:r>
              </m:sup>
            </m:sSup>
          </m:e>
        </m:d>
      </m:oMath>
      <w:r>
        <w:t xml:space="preserve"> </w:t>
      </w:r>
      <w:r>
        <w:t xml:space="preserve">(caso do Método 2) e independência de</w:t>
      </w:r>
      <w:r>
        <w:t xml:space="preserve"> </w:t>
      </w:r>
      <m:oMath>
        <m:r>
          <m:t>X</m:t>
        </m:r>
      </m:oMath>
      <w:r>
        <w:t xml:space="preserve">, a distribuição do produto</w:t>
      </w:r>
      <w:r>
        <w:t xml:space="preserve"> </w:t>
      </w:r>
      <m:oMath>
        <m:r>
          <m:t>W</m:t>
        </m:r>
        <m:r>
          <m:rPr>
            <m:sty m:val="p"/>
          </m:rPr>
          <m:t>=</m:t>
        </m:r>
        <m:sSub>
          <m:e>
            <m:r>
              <m:t>C</m:t>
            </m:r>
          </m:e>
          <m:sub>
            <m:r>
              <m:t>ε</m:t>
            </m:r>
          </m:sub>
        </m:sSub>
        <m:r>
          <m:t>X</m:t>
        </m:r>
      </m:oMath>
      <w:r>
        <w:t xml:space="preserve"> </w:t>
      </w:r>
      <w:r>
        <w:t xml:space="preserve">tem densidade</w:t>
      </w:r>
    </w:p>
    <w:p>
      <w:pPr>
        <w:pStyle w:val="BodyText"/>
      </w:pPr>
      <m:oMathPara>
        <m:oMathParaPr>
          <m:jc m:val="center"/>
        </m:oMathParaPr>
        <m:oMath>
          <m:sSub>
            <m:e>
              <m:r>
                <m:t>f</m:t>
              </m:r>
            </m:e>
            <m:sub>
              <m:r>
                <m:t>W</m:t>
              </m:r>
            </m:sub>
          </m:sSub>
          <m:d>
            <m:dPr>
              <m:begChr m:val="("/>
              <m:endChr m:val=")"/>
              <m:sepChr m:val=""/>
              <m:grow/>
            </m:dPr>
            <m:e>
              <m:r>
                <m:t>w</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sub>
              </m:sSub>
            </m:e>
          </m:nary>
          <m:d>
            <m:dPr>
              <m:begChr m:val="("/>
              <m:endChr m:val=")"/>
              <m:sepChr m:val=""/>
              <m:grow/>
            </m:dPr>
            <m:e>
              <m:r>
                <m:t>x</m:t>
              </m:r>
            </m:e>
          </m:d>
          <m:r>
            <m:t> </m:t>
          </m:r>
          <m:sSub>
            <m:e>
              <m:r>
                <m:t>f</m:t>
              </m:r>
            </m:e>
            <m:sub>
              <m:sSub>
                <m:e>
                  <m:r>
                    <m:t>C</m:t>
                  </m:r>
                </m:e>
                <m:sub>
                  <m:r>
                    <m:t>ε</m:t>
                  </m:r>
                </m:sub>
              </m:sSub>
            </m:sub>
          </m:sSub>
          <m:r>
            <m:t>​</m:t>
          </m:r>
          <m:d>
            <m:dPr>
              <m:begChr m:val="("/>
              <m:endChr m:val=")"/>
              <m:sepChr m:val=""/>
              <m:grow/>
            </m:dPr>
            <m:e>
              <m:f>
                <m:fPr>
                  <m:type m:val="lin"/>
                </m:fPr>
                <m:num>
                  <m:r>
                    <m:t>w</m:t>
                  </m:r>
                </m:num>
                <m:den>
                  <m:r>
                    <m:t>x</m:t>
                  </m:r>
                </m:den>
              </m:f>
            </m:e>
          </m:d>
          <m:r>
            <m:t> </m:t>
          </m:r>
          <m:f>
            <m:fPr>
              <m:type m:val="bar"/>
            </m:fPr>
            <m:num>
              <m:r>
                <m:t>1</m:t>
              </m:r>
            </m:num>
            <m:den>
              <m:d>
                <m:dPr>
                  <m:begChr m:val="|"/>
                  <m:endChr m:val="|"/>
                  <m:sepChr m:val=""/>
                  <m:grow/>
                </m:dPr>
                <m:e>
                  <m:r>
                    <m:t>x</m:t>
                  </m:r>
                </m:e>
              </m:d>
            </m:den>
          </m:f>
          <m:r>
            <m:t> </m:t>
          </m:r>
          <m:r>
            <m:t>d</m:t>
          </m:r>
          <m:r>
            <m:t>x</m:t>
          </m:r>
        </m:oMath>
      </m:oMathPara>
    </w:p>
    <w:p>
      <w:pPr>
        <w:pStyle w:val="FirstParagraph"/>
      </w:pPr>
      <w:r>
        <w:t xml:space="preserve">o que permite quantificar quão pequeno deve ser</w:t>
      </w:r>
      <w:r>
        <w:t xml:space="preserve"> </w:t>
      </w:r>
      <m:oMath>
        <m:sSub>
          <m:e>
            <m:r>
              <m:t>p</m:t>
            </m:r>
          </m:e>
          <m:sub>
            <m:r>
              <m:t>ε</m:t>
            </m:r>
          </m:sub>
        </m:sSub>
      </m:oMath>
      <w:r>
        <w:t xml:space="preserve"> </w:t>
      </w:r>
      <w:r>
        <w:t xml:space="preserve">para não distorcer as marginais. Os autores demonstram o método em precipitação mensal para horária e em séries com tendências, evidenciando desempenho e robustez. Em contextos com dados finos escassos, o DiPMaC pode ser acoplado a estruturas espaciais para produzir campos subdiários.</w:t>
      </w:r>
    </w:p>
    <w:p>
      <w:pPr>
        <w:pStyle w:val="Compact"/>
        <w:numPr>
          <w:ilvl w:val="0"/>
          <w:numId w:val="1003"/>
        </w:numPr>
      </w:pPr>
      <w:r>
        <w:rPr>
          <w:b/>
          <w:bCs/>
        </w:rPr>
        <w:t xml:space="preserve">Modelagem Hierárquica de Extremos</w:t>
      </w:r>
    </w:p>
    <w:p>
      <w:pPr>
        <w:pStyle w:val="FirstParagraph"/>
      </w:pPr>
      <w:r>
        <w:t xml:space="preserve">A modelagem hierárquica de extremos (MHE) organiza a inferência em camadas para conjugar verossimilhanças de máximos ou excedências com efeitos espaciais, temporais e entre-durações, permitindo pooling parcial entre postos, propagação explícita de incerteza e coerência nas dimensões espaço–tempo–duração. Em contextos com séries subdiárias curtas ou ausentes, a MHE</w:t>
      </w:r>
      <w:r>
        <w:t xml:space="preserve"> </w:t>
      </w:r>
      <w:r>
        <w:t xml:space="preserve">“empresta informação”</w:t>
      </w:r>
      <w:r>
        <w:t xml:space="preserve"> </w:t>
      </w:r>
      <w:r>
        <w:t xml:space="preserve">de vizinhos e de durações mais longas por meio de estruturas compartilhadas. A inferência é tipicamente bayesiana (MCMC/INLA), entregando quantis de projeto com incerteza plenamente quantificada.</w:t>
      </w:r>
    </w:p>
    <w:p>
      <w:pPr>
        <w:pStyle w:val="BodyText"/>
      </w:pPr>
      <w:r>
        <w:t xml:space="preserve">Para modelagem espacial de extremos com pooling parcial entre locais, considera-se</w:t>
      </w:r>
      <w:r>
        <w:t xml:space="preserve"> </w:t>
      </w:r>
      <m:oMath>
        <m:r>
          <m:t>Y</m:t>
        </m:r>
        <m:d>
          <m:dPr>
            <m:begChr m:val="("/>
            <m:endChr m:val=")"/>
            <m:sepChr m:val=""/>
            <m:grow/>
          </m:dPr>
          <m:e>
            <m:r>
              <m:t>s</m:t>
            </m:r>
          </m:e>
        </m:d>
      </m:oMath>
      <w:r>
        <w:t xml:space="preserve"> </w:t>
      </w:r>
      <w:r>
        <w:t xml:space="preserve">(máximos anuais para uma duração fixa) distribuído como</w:t>
      </w:r>
      <w:r>
        <w:t xml:space="preserve"> </w:t>
      </w:r>
      <m:oMath>
        <m:r>
          <m:rPr>
            <m:sty m:val="p"/>
          </m:rPr>
          <m:t>G</m:t>
        </m:r>
        <m:r>
          <m:rPr>
            <m:sty m:val="p"/>
          </m:rPr>
          <m:t>E</m:t>
        </m:r>
        <m:r>
          <m:rPr>
            <m:sty m:val="p"/>
          </m:rPr>
          <m:t>V</m:t>
        </m:r>
        <m:d>
          <m:dPr>
            <m:begChr m:val="("/>
            <m:endChr m:val=")"/>
            <m:sepChr m:val=""/>
            <m:grow/>
          </m:dPr>
          <m:e>
            <m:r>
              <m:t>μ</m:t>
            </m:r>
            <m:d>
              <m:dPr>
                <m:begChr m:val="("/>
                <m:endChr m:val=")"/>
                <m:sepChr m:val=""/>
                <m:grow/>
              </m:dPr>
              <m:e>
                <m:r>
                  <m:t>s</m:t>
                </m:r>
              </m:e>
            </m:d>
            <m:r>
              <m:rPr>
                <m:sty m:val="p"/>
              </m:rPr>
              <m:t>,</m:t>
            </m:r>
            <m:r>
              <m:t>σ</m:t>
            </m:r>
            <m:d>
              <m:dPr>
                <m:begChr m:val="("/>
                <m:endChr m:val=")"/>
                <m:sepChr m:val=""/>
                <m:grow/>
              </m:dPr>
              <m:e>
                <m:r>
                  <m:t>s</m:t>
                </m:r>
              </m:e>
            </m:d>
            <m:r>
              <m:rPr>
                <m:sty m:val="p"/>
              </m:rPr>
              <m:t>,</m:t>
            </m:r>
            <m:r>
              <m:t>ξ</m:t>
            </m:r>
            <m:d>
              <m:dPr>
                <m:begChr m:val="("/>
                <m:endChr m:val=")"/>
                <m:sepChr m:val=""/>
                <m:grow/>
              </m:dPr>
              <m:e>
                <m:r>
                  <m:t>s</m:t>
                </m:r>
              </m:e>
            </m:d>
          </m:e>
        </m:d>
      </m:oMath>
      <w:r>
        <w:t xml:space="preserve"> </w:t>
      </w:r>
      <w:r>
        <w:t xml:space="preserve">e liga-se cada parâmetro a covariáveis e a um campo latente espacial</w:t>
      </w:r>
      <m:oMath>
        <m:r>
          <m:t>θ</m:t>
        </m:r>
        <m:d>
          <m:dPr>
            <m:begChr m:val="("/>
            <m:endChr m:val=")"/>
            <m:sepChr m:val=""/>
            <m:grow/>
          </m:dPr>
          <m:e>
            <m:r>
              <m:t>s</m:t>
            </m:r>
          </m:e>
        </m:d>
        <m:r>
          <m:rPr>
            <m:sty m:val="p"/>
          </m:rPr>
          <m:t>=</m:t>
        </m:r>
        <m:r>
          <m:t>X</m:t>
        </m:r>
        <m:d>
          <m:dPr>
            <m:begChr m:val="("/>
            <m:endChr m:val=")"/>
            <m:sepChr m:val=""/>
            <m:grow/>
          </m:dPr>
          <m:e>
            <m:r>
              <m:t>s</m:t>
            </m:r>
          </m:e>
        </m:d>
        <m:r>
          <m:rPr>
            <m:sty m:val="p"/>
          </m:rPr>
          <m:t>,</m:t>
        </m:r>
        <m:r>
          <m:t>β</m:t>
        </m:r>
        <m:r>
          <m:rPr>
            <m:sty m:val="p"/>
          </m:rPr>
          <m:t>+</m:t>
        </m:r>
        <m:r>
          <m:t>δ</m:t>
        </m:r>
        <m:d>
          <m:dPr>
            <m:begChr m:val="("/>
            <m:endChr m:val=")"/>
            <m:sepChr m:val=""/>
            <m:grow/>
          </m:dPr>
          <m:e>
            <m:r>
              <m:t>s</m:t>
            </m:r>
          </m:e>
        </m:d>
      </m:oMath>
      <w:r>
        <w:t xml:space="preserve">, onde</w:t>
      </w:r>
      <w:r>
        <w:t xml:space="preserve"> </w:t>
      </w:r>
      <m:oMath>
        <m:r>
          <m:t>X</m:t>
        </m:r>
        <m:d>
          <m:dPr>
            <m:begChr m:val="("/>
            <m:endChr m:val=")"/>
            <m:sepChr m:val=""/>
            <m:grow/>
          </m:dPr>
          <m:e>
            <m:r>
              <m:t>s</m:t>
            </m:r>
          </m:e>
        </m:d>
        <m:r>
          <m:rPr>
            <m:sty m:val="p"/>
          </m:rPr>
          <m:t>)</m:t>
        </m:r>
      </m:oMath>
      <w:r>
        <w:t xml:space="preserve">são covariáveis (p.ex., altitude, distância ao mar) e</w:t>
      </w:r>
      <w:r>
        <w:t xml:space="preserve"> </w:t>
      </w:r>
      <m:oMath>
        <m:r>
          <m:t>δ</m:t>
        </m:r>
        <m:d>
          <m:dPr>
            <m:begChr m:val="("/>
            <m:endChr m:val=")"/>
            <m:sepChr m:val=""/>
            <m:grow/>
          </m:dPr>
          <m:e>
            <m:r>
              <m:t>s</m:t>
            </m:r>
          </m:e>
        </m:d>
      </m:oMath>
      <w:r>
        <w:t xml:space="preserve"> </w:t>
      </w:r>
      <w:r>
        <w:t xml:space="preserve">é um termo espacial latente que promove pooling entre locais.</w:t>
      </w:r>
    </w:p>
    <w:p>
      <w:pPr>
        <w:pStyle w:val="BodyText"/>
      </w:pPr>
      <w:r>
        <w:t xml:space="preserve">Para mudanças climáticas e IDFs não estacionárias condicionadas ao diário, Lima et al. (2016) propõem um modelo Beta Bayesiano que introduz um limite superior dinâmico igual ao máximo diário (24 h) do mesmo ano. Para cada duração</w:t>
      </w:r>
      <w:r>
        <w:t xml:space="preserve"> </w:t>
      </w:r>
      <m:oMath>
        <m:r>
          <m:t>d</m:t>
        </m:r>
        <m:r>
          <m:rPr>
            <m:sty m:val="p"/>
          </m:rPr>
          <m:t>∈</m:t>
        </m:r>
        <m:r>
          <m:rPr>
            <m:sty m:val="p"/>
          </m:rPr>
          <m:t>{</m:t>
        </m:r>
        <m:r>
          <m:t>1</m:t>
        </m:r>
        <m:r>
          <m:rPr>
            <m:sty m:val="p"/>
          </m:rPr>
          <m:t>,</m:t>
        </m:r>
        <m:r>
          <m:rPr>
            <m:sty m:val="p"/>
          </m:rPr>
          <m:t>…</m:t>
        </m:r>
        <m:r>
          <m:rPr>
            <m:sty m:val="p"/>
          </m:rPr>
          <m:t>,</m:t>
        </m:r>
        <m:r>
          <m:t>23</m:t>
        </m:r>
        <m:r>
          <m:rPr>
            <m:sty m:val="p"/>
          </m:rPr>
          <m:t>}</m:t>
        </m:r>
      </m:oMath>
      <w:r>
        <w:t xml:space="preserve"> </w:t>
      </w:r>
      <w:r>
        <w:t xml:space="preserve">h, a variável de interesse</w:t>
      </w:r>
      <w:r>
        <w:t xml:space="preserve"> </w:t>
      </w:r>
      <m:oMath>
        <m:sSub>
          <m:e>
            <m:r>
              <m:t>X</m:t>
            </m:r>
          </m:e>
          <m:sub>
            <m:r>
              <m:t>d</m:t>
            </m:r>
          </m:sub>
        </m:sSub>
      </m:oMath>
      <w:r>
        <w:t xml:space="preserve"> </w:t>
      </w:r>
      <w:r>
        <w:t xml:space="preserve">segue uma Beta de 4 parâmetros com suporte</w:t>
      </w:r>
      <w:r>
        <w:t xml:space="preserve"> </w:t>
      </w:r>
      <m:oMath>
        <m:d>
          <m:dPr>
            <m:begChr m:val="["/>
            <m:endChr m:val="]"/>
            <m:sepChr m:val=""/>
            <m:grow/>
          </m:dPr>
          <m:e>
            <m:r>
              <m:t>a</m:t>
            </m:r>
            <m:r>
              <m:rPr>
                <m:sty m:val="p"/>
              </m:rPr>
              <m:t>,</m:t>
            </m:r>
            <m:sSub>
              <m:e>
                <m:r>
                  <m:t>b</m:t>
                </m:r>
              </m:e>
              <m:sub>
                <m:r>
                  <m:t>i</m:t>
                </m:r>
              </m:sub>
            </m:sSub>
          </m:e>
        </m:d>
      </m:oMath>
      <w:r>
        <w:t xml:space="preserve">, em que</w:t>
      </w:r>
      <w:r>
        <w:t xml:space="preserve"> </w:t>
      </w:r>
      <m:oMath>
        <m:sSub>
          <m:e>
            <m:r>
              <m:t>b</m:t>
            </m:r>
          </m:e>
          <m:sub>
            <m:r>
              <m:t>i</m:t>
            </m:r>
          </m:sub>
        </m:sSub>
      </m:oMath>
      <w:r>
        <w:t xml:space="preserve"> </w:t>
      </w:r>
      <w:r>
        <w:t xml:space="preserve">é o máximo de 24 h observado/simulado no ano</w:t>
      </w:r>
      <w:r>
        <w:t xml:space="preserve"> </w:t>
      </w:r>
      <m:oMath>
        <m:r>
          <m:t>i</m:t>
        </m:r>
      </m:oMath>
      <w:r>
        <w:t xml:space="preserve">. Com parâmetros de forma</w:t>
      </w:r>
      <w:r>
        <w:t xml:space="preserve"> </w:t>
      </w:r>
      <m:oMath>
        <m:r>
          <m:t>p</m:t>
        </m:r>
        <m:r>
          <m:rPr>
            <m:sty m:val="p"/>
          </m:rPr>
          <m:t>,</m:t>
        </m:r>
        <m:r>
          <m:t>q</m:t>
        </m:r>
        <m:r>
          <m:rPr>
            <m:sty m:val="p"/>
          </m:rPr>
          <m:t>&gt;</m:t>
        </m:r>
        <m:r>
          <m:t>0</m:t>
        </m:r>
      </m:oMath>
      <w:r>
        <w:t xml:space="preserve">, limites</w:t>
      </w:r>
      <w:r>
        <w:t xml:space="preserve"> </w:t>
      </w:r>
      <m:oMath>
        <m:r>
          <m:t>a</m:t>
        </m:r>
        <m:r>
          <m:rPr>
            <m:sty m:val="p"/>
          </m:rPr>
          <m:t>&lt;</m:t>
        </m:r>
        <m:sSub>
          <m:e>
            <m:r>
              <m:t>b</m:t>
            </m:r>
          </m:e>
          <m:sub>
            <m:r>
              <m:t>i</m:t>
            </m:r>
          </m:sub>
        </m:sSub>
      </m:oMath>
      <w:r>
        <w:t xml:space="preserve">, a verossimilhança condicional aos</w:t>
      </w:r>
      <w:r>
        <w:t xml:space="preserve"> </w:t>
      </w:r>
      <m:oMath>
        <m:sSub>
          <m:e>
            <m:r>
              <m:t>b</m:t>
            </m:r>
          </m:e>
          <m:sub>
            <m:r>
              <m:t>i</m:t>
            </m:r>
          </m:sub>
        </m:sSub>
      </m:oMath>
      <w:r>
        <w:t xml:space="preserve"> </w:t>
      </w:r>
      <w:r>
        <w:t xml:space="preserve">é</w:t>
      </w:r>
    </w:p>
    <w:p>
      <w:pPr>
        <w:pStyle w:val="BodyText"/>
      </w:pPr>
      <m:oMathPara>
        <m:oMathParaPr>
          <m:jc m:val="center"/>
        </m:oMathParaPr>
        <m:oMath>
          <m:r>
            <m:rPr>
              <m:sty m:val="p"/>
              <m:scr m:val="script"/>
            </m:rPr>
            <m:t>L</m:t>
          </m:r>
          <m:d>
            <m:dPr>
              <m:begChr m:val="("/>
              <m:endChr m:val=")"/>
              <m:sepChr m:val=""/>
              <m:grow/>
            </m:dPr>
            <m:e>
              <m:r>
                <m:t>p</m:t>
              </m:r>
              <m:r>
                <m:rPr>
                  <m:sty m:val="p"/>
                </m:rPr>
                <m:t>,</m:t>
              </m:r>
              <m:r>
                <m:t>q</m:t>
              </m:r>
              <m:r>
                <m:rPr>
                  <m:sty m:val="p"/>
                </m:rPr>
                <m:t>,</m:t>
              </m:r>
              <m:r>
                <m:t>a</m:t>
              </m:r>
              <m:r>
                <m:rPr>
                  <m:sty m:val="p"/>
                </m:rPr>
                <m:t>∣</m:t>
              </m:r>
              <m:r>
                <m:rPr>
                  <m:sty m:val="p"/>
                </m:rPr>
                <m:t>{</m:t>
              </m:r>
              <m:sSub>
                <m:e>
                  <m:r>
                    <m:t>x</m:t>
                  </m:r>
                </m:e>
                <m:sub>
                  <m:r>
                    <m:t>i</m:t>
                  </m:r>
                </m:sub>
              </m:sSub>
              <m:r>
                <m:rPr>
                  <m:sty m:val="p"/>
                </m:rPr>
                <m:t>,</m:t>
              </m:r>
              <m:sSub>
                <m:e>
                  <m:r>
                    <m:t>b</m:t>
                  </m:r>
                </m:e>
                <m:sub>
                  <m:r>
                    <m:t>i</m:t>
                  </m:r>
                </m:sub>
              </m:sSub>
              <m:sSubSup>
                <m:e>
                  <m:r>
                    <m:rPr>
                      <m:sty m:val="p"/>
                    </m:rPr>
                    <m:t>}</m:t>
                  </m:r>
                </m:e>
                <m:sub>
                  <m:r>
                    <m:t>i</m:t>
                  </m:r>
                  <m:r>
                    <m:rPr>
                      <m:sty m:val="p"/>
                    </m:rPr>
                    <m:t>=</m:t>
                  </m:r>
                  <m:r>
                    <m:t>1</m:t>
                  </m:r>
                </m:sub>
                <m:sup>
                  <m:r>
                    <m:t>n</m:t>
                  </m:r>
                </m:sup>
              </m:sSubSup>
            </m:e>
          </m:d>
          <m:r>
            <m:rPr>
              <m:sty m:val="p"/>
            </m:rPr>
            <m:t>=</m:t>
          </m:r>
          <m:nary>
            <m:naryPr>
              <m:chr m:val="∏"/>
              <m:limLoc m:val="undOvr"/>
              <m:subHide m:val="off"/>
              <m:supHide m:val="off"/>
            </m:naryPr>
            <m:sub>
              <m:r>
                <m:t>i</m:t>
              </m:r>
              <m:r>
                <m:rPr>
                  <m:sty m:val="p"/>
                </m:rPr>
                <m:t>=</m:t>
              </m:r>
              <m:r>
                <m:t>1</m:t>
              </m:r>
            </m:sub>
            <m:sup>
              <m:r>
                <m:t>n</m:t>
              </m:r>
            </m:sup>
            <m:e>
              <m:f>
                <m:fPr>
                  <m:type m:val="bar"/>
                </m:fPr>
                <m:num>
                  <m:r>
                    <m:t>1</m:t>
                  </m:r>
                </m:num>
                <m:den>
                  <m:r>
                    <m:t>B</m:t>
                  </m:r>
                  <m:d>
                    <m:dPr>
                      <m:begChr m:val="("/>
                      <m:endChr m:val=")"/>
                      <m:sepChr m:val=""/>
                      <m:grow/>
                    </m:dPr>
                    <m:e>
                      <m:r>
                        <m:t>p</m:t>
                      </m:r>
                      <m:r>
                        <m:rPr>
                          <m:sty m:val="p"/>
                        </m:rPr>
                        <m:t>,</m:t>
                      </m:r>
                      <m:r>
                        <m:t>q</m:t>
                      </m:r>
                    </m:e>
                  </m:d>
                </m:den>
              </m:f>
            </m:e>
          </m:nary>
          <m:f>
            <m:fPr>
              <m:type m:val="bar"/>
            </m:fPr>
            <m:num>
              <m:sSup>
                <m:e>
                  <m:d>
                    <m:dPr>
                      <m:begChr m:val="("/>
                      <m:endChr m:val=")"/>
                      <m:sepChr m:val=""/>
                      <m:grow/>
                    </m:dPr>
                    <m:e>
                      <m:sSub>
                        <m:e>
                          <m:r>
                            <m:t>x</m:t>
                          </m:r>
                        </m:e>
                        <m:sub>
                          <m:r>
                            <m:t>i</m:t>
                          </m:r>
                        </m:sub>
                      </m:sSub>
                      <m:r>
                        <m:rPr>
                          <m:sty m:val="p"/>
                        </m:rPr>
                        <m:t>−</m:t>
                      </m:r>
                      <m:r>
                        <m:t>a</m:t>
                      </m:r>
                    </m:e>
                  </m:d>
                </m:e>
                <m:sup>
                  <m:r>
                    <m:t> </m:t>
                  </m:r>
                  <m:r>
                    <m:t>p</m:t>
                  </m:r>
                  <m:r>
                    <m:rPr>
                      <m:sty m:val="p"/>
                    </m:rPr>
                    <m:t>−</m:t>
                  </m:r>
                  <m:r>
                    <m:t>1</m:t>
                  </m:r>
                </m:sup>
              </m:sSup>
              <m:r>
                <m:t> </m:t>
              </m:r>
              <m:sSup>
                <m:e>
                  <m:d>
                    <m:dPr>
                      <m:begChr m:val="("/>
                      <m:endChr m:val=")"/>
                      <m:sepChr m:val=""/>
                      <m:grow/>
                    </m:dPr>
                    <m:e>
                      <m:sSub>
                        <m:e>
                          <m:r>
                            <m:t>b</m:t>
                          </m:r>
                        </m:e>
                        <m:sub>
                          <m:r>
                            <m:t>i</m:t>
                          </m:r>
                        </m:sub>
                      </m:sSub>
                      <m:r>
                        <m:rPr>
                          <m:sty m:val="p"/>
                        </m:rPr>
                        <m:t>−</m:t>
                      </m:r>
                      <m:sSub>
                        <m:e>
                          <m:r>
                            <m:t>x</m:t>
                          </m:r>
                        </m:e>
                        <m:sub>
                          <m:r>
                            <m:t>i</m:t>
                          </m:r>
                        </m:sub>
                      </m:sSub>
                    </m:e>
                  </m:d>
                </m:e>
                <m:sup>
                  <m:r>
                    <m:t> </m:t>
                  </m:r>
                  <m:r>
                    <m:t>q</m:t>
                  </m:r>
                  <m:r>
                    <m:rPr>
                      <m:sty m:val="p"/>
                    </m:rPr>
                    <m:t>−</m:t>
                  </m:r>
                  <m:r>
                    <m:t>1</m:t>
                  </m:r>
                </m:sup>
              </m:sSup>
            </m:num>
            <m:den>
              <m:sSup>
                <m:e>
                  <m:d>
                    <m:dPr>
                      <m:begChr m:val="("/>
                      <m:endChr m:val=")"/>
                      <m:sepChr m:val=""/>
                      <m:grow/>
                    </m:dPr>
                    <m:e>
                      <m:sSub>
                        <m:e>
                          <m:r>
                            <m:t>b</m:t>
                          </m:r>
                        </m:e>
                        <m:sub>
                          <m:r>
                            <m:t>i</m:t>
                          </m:r>
                        </m:sub>
                      </m:sSub>
                      <m:r>
                        <m:rPr>
                          <m:sty m:val="p"/>
                        </m:rPr>
                        <m:t>−</m:t>
                      </m:r>
                      <m:r>
                        <m:t>a</m:t>
                      </m:r>
                    </m:e>
                  </m:d>
                </m:e>
                <m:sup>
                  <m:r>
                    <m:t> </m:t>
                  </m:r>
                  <m:r>
                    <m:t>p</m:t>
                  </m:r>
                  <m:r>
                    <m:rPr>
                      <m:sty m:val="p"/>
                    </m:rPr>
                    <m:t>+</m:t>
                  </m:r>
                  <m:r>
                    <m:t>q</m:t>
                  </m:r>
                  <m:r>
                    <m:rPr>
                      <m:sty m:val="p"/>
                    </m:rPr>
                    <m:t>−</m:t>
                  </m:r>
                  <m:r>
                    <m:t>1</m:t>
                  </m:r>
                </m:sup>
              </m:sSup>
            </m:den>
          </m:f>
          <m:r>
            <m:rPr>
              <m:sty m:val="p"/>
            </m:rPr>
            <m:t>,</m:t>
          </m:r>
          <m:r>
            <m:t>  </m:t>
          </m:r>
          <m:r>
            <m:t>0</m:t>
          </m:r>
          <m:r>
            <m:rPr>
              <m:sty m:val="p"/>
            </m:rPr>
            <m:t>&lt;</m:t>
          </m:r>
          <m:r>
            <m:t>a</m:t>
          </m:r>
          <m:r>
            <m:rPr>
              <m:sty m:val="p"/>
            </m:rPr>
            <m:t>&lt;</m:t>
          </m:r>
          <m:r>
            <m:rPr>
              <m:sty m:val="p"/>
            </m:rPr>
            <m:t>min</m:t>
          </m:r>
          <m:sSub>
            <m:e>
              <m:r>
                <m:t>x</m:t>
              </m:r>
            </m:e>
            <m:sub>
              <m:r>
                <m:t>i</m:t>
              </m:r>
            </m:sub>
          </m:sSub>
          <m:r>
            <m:rPr>
              <m:sty m:val="p"/>
            </m:rPr>
            <m:t>&lt;</m:t>
          </m:r>
          <m:sSub>
            <m:e>
              <m:r>
                <m:t>x</m:t>
              </m:r>
            </m:e>
            <m:sub>
              <m:r>
                <m:t>i</m:t>
              </m:r>
            </m:sub>
          </m:sSub>
          <m:r>
            <m:rPr>
              <m:sty m:val="p"/>
            </m:rPr>
            <m:t>&lt;</m:t>
          </m:r>
          <m:sSub>
            <m:e>
              <m:r>
                <m:t>b</m:t>
              </m:r>
            </m:e>
            <m:sub>
              <m:r>
                <m:t>i</m:t>
              </m:r>
            </m:sub>
          </m:sSub>
        </m:oMath>
      </m:oMathPara>
    </w:p>
    <w:p>
      <w:pPr>
        <w:pStyle w:val="FirstParagraph"/>
      </w:pPr>
      <w:r>
        <w:t xml:space="preserve">onde</w:t>
      </w:r>
      <w:r>
        <w:t xml:space="preserve"> </w:t>
      </w:r>
      <m:oMath>
        <m:r>
          <m:t>B</m:t>
        </m:r>
        <m:d>
          <m:dPr>
            <m:begChr m:val="("/>
            <m:endChr m:val=")"/>
            <m:sepChr m:val=""/>
            <m:grow/>
          </m:dPr>
          <m:e>
            <m:r>
              <m:rPr>
                <m:sty m:val="p"/>
              </m:rPr>
              <m:t>⋅</m:t>
            </m:r>
            <m:r>
              <m:rPr>
                <m:sty m:val="p"/>
              </m:rPr>
              <m:t>,</m:t>
            </m:r>
            <m:r>
              <m:rPr>
                <m:sty m:val="p"/>
              </m:rPr>
              <m:t>⋅</m:t>
            </m:r>
          </m:e>
        </m:d>
      </m:oMath>
      <w:r>
        <w:t xml:space="preserve"> </w:t>
      </w:r>
      <w:r>
        <w:t xml:space="preserve">é a função beta; priors não-informativos para</w:t>
      </w:r>
      <w:r>
        <w:t xml:space="preserve"> </w:t>
      </w:r>
      <m:oMath>
        <m:r>
          <m:t>p</m:t>
        </m:r>
        <m:r>
          <m:rPr>
            <m:sty m:val="p"/>
          </m:rPr>
          <m:t>,</m:t>
        </m:r>
        <m:r>
          <m:t>q</m:t>
        </m:r>
      </m:oMath>
      <w:r>
        <w:t xml:space="preserve"> </w:t>
      </w:r>
      <w:r>
        <w:t xml:space="preserve">e um prior truncado para aaa (até</w:t>
      </w:r>
      <w:r>
        <w:t xml:space="preserve"> </w:t>
      </w:r>
      <m:oMath>
        <m:r>
          <m:rPr>
            <m:sty m:val="p"/>
          </m:rPr>
          <m:t>min</m:t>
        </m:r>
        <m:sSub>
          <m:e>
            <m:r>
              <m:t>x</m:t>
            </m:r>
          </m:e>
          <m:sub>
            <m:r>
              <m:t>i</m:t>
            </m:r>
          </m:sub>
        </m:sSub>
      </m:oMath>
      <w:r>
        <w:t xml:space="preserve">) induzem a posterior conjunta de</w:t>
      </w:r>
      <w:r>
        <w:t xml:space="preserve"> </w:t>
      </w:r>
      <m:oMath>
        <m:d>
          <m:dPr>
            <m:begChr m:val="("/>
            <m:endChr m:val=")"/>
            <m:sepChr m:val=""/>
            <m:grow/>
          </m:dPr>
          <m:e>
            <m:r>
              <m:t>p</m:t>
            </m:r>
            <m:r>
              <m:rPr>
                <m:sty m:val="p"/>
              </m:rPr>
              <m:t>,</m:t>
            </m:r>
            <m:r>
              <m:t>q</m:t>
            </m:r>
            <m:r>
              <m:rPr>
                <m:sty m:val="p"/>
              </m:rPr>
              <m:t>,</m:t>
            </m:r>
            <m:r>
              <m:t>a</m:t>
            </m:r>
          </m:e>
        </m:d>
      </m:oMath>
      <w:r>
        <w:t xml:space="preserve">, amostrada por MCMC. Para cada ano</w:t>
      </w:r>
      <w:r>
        <w:t xml:space="preserve"> </w:t>
      </w:r>
      <m:oMath>
        <m:r>
          <m:t>i</m:t>
        </m:r>
      </m:oMath>
      <w:r>
        <w:t xml:space="preserve">, amostra-se</w:t>
      </w:r>
      <w:r>
        <w:t xml:space="preserve"> </w:t>
      </w:r>
      <m:oMath>
        <m:sSub>
          <m:e>
            <m:r>
              <m:t>X</m:t>
            </m:r>
          </m:e>
          <m:sub>
            <m:r>
              <m:t>d</m:t>
            </m:r>
          </m:sub>
        </m:sSub>
      </m:oMath>
      <w:r>
        <w:t xml:space="preserve"> </w:t>
      </w:r>
      <w:r>
        <w:t xml:space="preserve">da Beta com</w:t>
      </w:r>
      <w:r>
        <w:t xml:space="preserve"> </w:t>
      </w:r>
      <m:oMath>
        <m:d>
          <m:dPr>
            <m:begChr m:val="["/>
            <m:endChr m:val="]"/>
            <m:sepChr m:val=""/>
            <m:grow/>
          </m:dPr>
          <m:e>
            <m:r>
              <m:t>a</m:t>
            </m:r>
            <m:r>
              <m:rPr>
                <m:sty m:val="p"/>
              </m:rPr>
              <m:t>,</m:t>
            </m:r>
            <m:sSub>
              <m:e>
                <m:r>
                  <m:t>b</m:t>
                </m:r>
              </m:e>
              <m:sub>
                <m:r>
                  <m:t>i</m:t>
                </m:r>
              </m:sub>
            </m:sSub>
          </m:e>
        </m:d>
      </m:oMath>
      <w:r>
        <w:t xml:space="preserve">; repetir sobre</w:t>
      </w:r>
      <w:r>
        <w:t xml:space="preserve"> </w:t>
      </w:r>
      <m:oMath>
        <m:r>
          <m:t>i</m:t>
        </m:r>
      </m:oMath>
      <w:r>
        <w:t xml:space="preserve"> </w:t>
      </w:r>
      <w:r>
        <w:t xml:space="preserve">e</w:t>
      </w:r>
      <w:r>
        <w:t xml:space="preserve"> </w:t>
      </w:r>
      <m:oMath>
        <m:r>
          <m:t>d</m:t>
        </m:r>
      </m:oMath>
      <w:r>
        <w:t xml:space="preserve"> </w:t>
      </w:r>
      <w:r>
        <w:t xml:space="preserve">fornece amostras da distribuição não estacionária de máximos por duração. As IDFs derivam dos quantis empíricos</w:t>
      </w:r>
      <w:r>
        <w:t xml:space="preserve"> </w:t>
      </w:r>
      <m:oMath>
        <m:sSub>
          <m:e>
            <m:acc>
              <m:accPr>
                <m:chr m:val="̂"/>
              </m:accPr>
              <m:e>
                <m:r>
                  <m:t>q</m:t>
                </m:r>
              </m:e>
            </m:acc>
          </m:e>
          <m:sub>
            <m:r>
              <m:t>T</m:t>
            </m:r>
          </m:sub>
        </m:sSub>
        <m:d>
          <m:dPr>
            <m:begChr m:val="("/>
            <m:endChr m:val=")"/>
            <m:sepChr m:val=""/>
            <m:grow/>
          </m:dPr>
          <m:e>
            <m:r>
              <m:t>d</m:t>
            </m:r>
          </m:e>
        </m:d>
      </m:oMath>
      <w:r>
        <w:t xml:space="preserve"> </w:t>
      </w:r>
      <w:r>
        <w:t xml:space="preserve">dessas amostras, com intensidade</w:t>
      </w:r>
      <w:r>
        <w:t xml:space="preserve"> </w:t>
      </w:r>
      <m:oMath>
        <m:sSub>
          <m:e>
            <m:r>
              <m:t>i</m:t>
            </m:r>
          </m:e>
          <m:sub>
            <m:r>
              <m:t>T</m:t>
            </m:r>
          </m:sub>
        </m:sSub>
        <m:d>
          <m:dPr>
            <m:begChr m:val="("/>
            <m:endChr m:val=")"/>
            <m:sepChr m:val=""/>
            <m:grow/>
          </m:dPr>
          <m:e>
            <m:r>
              <m:t>d</m:t>
            </m:r>
          </m:e>
        </m:d>
        <m:r>
          <m:rPr>
            <m:sty m:val="p"/>
          </m:rPr>
          <m:t>=</m:t>
        </m:r>
        <m:sSub>
          <m:e>
            <m:acc>
              <m:accPr>
                <m:chr m:val="̂"/>
              </m:accPr>
              <m:e>
                <m:r>
                  <m:t>q</m:t>
                </m:r>
              </m:e>
            </m:acc>
          </m:e>
          <m:sub>
            <m:r>
              <m:t>T</m:t>
            </m:r>
          </m:sub>
        </m:sSub>
        <m:d>
          <m:dPr>
            <m:begChr m:val="("/>
            <m:endChr m:val=")"/>
            <m:sepChr m:val=""/>
            <m:grow/>
          </m:dPr>
          <m:e>
            <m:r>
              <m:t>d</m:t>
            </m:r>
          </m:e>
        </m:d>
        <m:r>
          <m:rPr>
            <m:sty m:val="p"/>
          </m:rPr>
          <m:t>/</m:t>
        </m:r>
        <m:r>
          <m:t>d</m:t>
        </m:r>
      </m:oMath>
      <w:r>
        <w:t xml:space="preserve">. Alimentando o modelo com</w:t>
      </w:r>
      <w:r>
        <w:t xml:space="preserve"> </w:t>
      </w:r>
      <m:oMath>
        <m:sSub>
          <m:e>
            <m:r>
              <m:t>b</m:t>
            </m:r>
          </m:e>
          <m:sub>
            <m:r>
              <m:t>i</m:t>
            </m:r>
          </m:sub>
        </m:sSub>
      </m:oMath>
      <w:r>
        <w:t xml:space="preserve"> </w:t>
      </w:r>
      <w:r>
        <w:t xml:space="preserve">futuros (24 h) corrigidos de viés por RCM/GCM, obtêm-se IDFs futuras com propagação explícita da incerteza dos parâmetros e do limite superior anual — uma via direta de desagregar mudanças projetadas em 24 h para escalas horárias preservando a coerência física do suporte finito. Em aplicações conjuntas, a parte espacial hierárquica pode fornecer alvos regionais, enquanto o Beta Bayesiano condicionado ao diário propaga, no tempo, essas mudanças ao nível subdiário, resultando em IDFs espaço-temporais consistentes para avaliação de risco e projeto.</w:t>
      </w:r>
    </w:p>
    <w:p>
      <w:pPr>
        <w:pStyle w:val="BodyText"/>
      </w:pPr>
      <w:r>
        <w:t xml:space="preserve">Em Lima et al. (2018), a desagregação temporal é conduzida por invariância de escala entre durações, permitindo transferir informação de 24 h para escalas subdiárias dentro de um arcabouço Bayesiano local–regional que preserva as propriedades de uma GEV e propaga incerteza até as IDFs. A hipótese central liga as IDFs em duas durações</w:t>
      </w:r>
      <w:r>
        <w:t xml:space="preserve"> </w:t>
      </w:r>
      <m:oMath>
        <m:r>
          <m:t>d</m:t>
        </m:r>
      </m:oMath>
      <w:r>
        <w:t xml:space="preserve"> </w:t>
      </w:r>
      <w:r>
        <w:t xml:space="preserve">e</w:t>
      </w:r>
      <w:r>
        <w:t xml:space="preserve"> </w:t>
      </w:r>
      <m:oMath>
        <m:sSub>
          <m:e>
            <m:r>
              <m:t>d</m:t>
            </m:r>
          </m:e>
          <m:sub>
            <m:r>
              <m:t>0</m:t>
            </m:r>
          </m:sub>
        </m:sSub>
      </m:oMath>
      <w:r>
        <w:t xml:space="preserve"> </w:t>
      </w:r>
      <w:r>
        <w:t xml:space="preserve">por um deslocamento</w:t>
      </w:r>
      <w:r>
        <w:t xml:space="preserve"> </w:t>
      </w:r>
      <m:oMath>
        <m:r>
          <m:t>θ</m:t>
        </m:r>
        <m:r>
          <m:rPr>
            <m:sty m:val="p"/>
          </m:rPr>
          <m:t>≥</m:t>
        </m:r>
        <m:r>
          <m:t>0</m:t>
        </m:r>
      </m:oMath>
      <w:r>
        <w:t xml:space="preserve"> </w:t>
      </w:r>
      <w:r>
        <w:t xml:space="preserve">e um expoente de escala</w:t>
      </w:r>
      <w:r>
        <w:t xml:space="preserve"> </w:t>
      </w:r>
      <m:oMath>
        <m:r>
          <m:t>η</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y</m:t>
          </m:r>
          <m:d>
            <m:dPr>
              <m:begChr m:val="("/>
              <m:endChr m:val=")"/>
              <m:sepChr m:val=""/>
              <m:grow/>
            </m:dPr>
            <m:e>
              <m:r>
                <m:t>d</m:t>
              </m:r>
              <m:r>
                <m:rPr>
                  <m:sty m:val="p"/>
                </m:rPr>
                <m:t>,</m:t>
              </m:r>
              <m:r>
                <m:t>T</m:t>
              </m:r>
            </m:e>
          </m:d>
          <m:r>
            <m:rPr>
              <m:sty m:val="p"/>
            </m:rPr>
            <m:t>=</m:t>
          </m:r>
          <m:r>
            <m:t>y</m:t>
          </m:r>
          <m:d>
            <m:dPr>
              <m:begChr m:val="("/>
              <m:endChr m:val=")"/>
              <m:sepChr m:val=""/>
              <m:grow/>
            </m:dPr>
            <m:e>
              <m:sSub>
                <m:e>
                  <m:r>
                    <m:t>d</m:t>
                  </m:r>
                </m:e>
                <m:sub>
                  <m:r>
                    <m:t>0</m:t>
                  </m:r>
                </m:sub>
              </m:sSub>
              <m:r>
                <m:rPr>
                  <m:sty m:val="p"/>
                </m:rPr>
                <m:t>,</m:t>
              </m:r>
              <m:r>
                <m:t>T</m:t>
              </m:r>
            </m:e>
          </m:d>
          <m:r>
            <m:t> </m:t>
          </m:r>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t>​</m:t>
          </m:r>
        </m:oMath>
      </m:oMathPara>
    </w:p>
    <w:p>
      <w:pPr>
        <w:pStyle w:val="FirstParagraph"/>
      </w:pPr>
      <w:r>
        <w:t xml:space="preserve">e, por momentos,</w:t>
      </w:r>
    </w:p>
    <w:p>
      <w:pPr>
        <w:pStyle w:val="BodyText"/>
      </w:pPr>
      <m:oMathPara>
        <m:oMathParaPr>
          <m:jc m:val="center"/>
        </m:oMathParaPr>
        <m:oMath>
          <m:r>
            <m:rPr>
              <m:sty m:val="p"/>
              <m:scr m:val="double-struck"/>
            </m:rPr>
            <m:t>E</m:t>
          </m:r>
          <m:d>
            <m:dPr>
              <m:begChr m:val="["/>
              <m:endChr m:val="]"/>
              <m:sepChr m:val=""/>
              <m:grow/>
            </m:dPr>
            <m:e>
              <m:sSubSup>
                <m:e>
                  <m:r>
                    <m:t>Y</m:t>
                  </m:r>
                </m:e>
                <m:sub>
                  <m:r>
                    <m:t>d</m:t>
                  </m:r>
                </m:sub>
                <m:sup>
                  <m:r>
                    <m:t>q</m:t>
                  </m:r>
                </m:sup>
              </m:sSubSup>
            </m:e>
          </m:d>
          <m:r>
            <m:rPr>
              <m:sty m:val="p"/>
            </m:rPr>
            <m:t>=</m:t>
          </m:r>
          <m:r>
            <m:rPr>
              <m:sty m:val="p"/>
              <m:scr m:val="double-struck"/>
            </m:rPr>
            <m:t>E</m:t>
          </m:r>
          <m:d>
            <m:dPr>
              <m:begChr m:val="["/>
              <m:endChr m:val="]"/>
              <m:sepChr m:val=""/>
              <m:grow/>
            </m:dPr>
            <m:e>
              <m:sSubSup>
                <m:e>
                  <m:r>
                    <m:t>Y</m:t>
                  </m:r>
                </m:e>
                <m:sub>
                  <m:sSub>
                    <m:e>
                      <m:r>
                        <m:t>d</m:t>
                      </m:r>
                    </m:e>
                    <m:sub>
                      <m:r>
                        <m:t>0</m:t>
                      </m:r>
                    </m:sub>
                  </m:sSub>
                </m:sub>
                <m:sup>
                  <m:r>
                    <m:t>q</m:t>
                  </m:r>
                </m:sup>
              </m:sSubSup>
            </m:e>
          </m:d>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r>
                <m:t>q</m:t>
              </m:r>
            </m:sup>
          </m:sSup>
          <m:r>
            <m:rPr>
              <m:sty m:val="p"/>
            </m:rPr>
            <m:t>.</m:t>
          </m:r>
        </m:oMath>
      </m:oMathPara>
    </w:p>
    <w:p>
      <w:pPr>
        <w:pStyle w:val="FirstParagraph"/>
      </w:pPr>
      <w:r>
        <w:t xml:space="preserve">Sob um modelo GEV com escala invariante, os parâmetros por duração satisfazem</w:t>
      </w:r>
    </w:p>
    <w:p>
      <w:pPr>
        <w:pStyle w:val="BodyText"/>
      </w:pPr>
      <m:oMathPara>
        <m:oMathParaPr>
          <m:jc m:val="center"/>
        </m:oMathParaPr>
        <m:oMath>
          <m:sSub>
            <m:e>
              <m:r>
                <m:t>μ</m:t>
              </m:r>
            </m:e>
            <m:sub>
              <m:r>
                <m:t>d</m:t>
              </m:r>
            </m:sub>
          </m:sSub>
          <m:r>
            <m:rPr>
              <m:sty m:val="p"/>
            </m:rPr>
            <m:t>=</m:t>
          </m:r>
          <m:sSub>
            <m:e>
              <m:r>
                <m:t>μ</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σ</m:t>
              </m:r>
            </m:e>
            <m:sub>
              <m:r>
                <m:t>d</m:t>
              </m:r>
            </m:sub>
          </m:sSub>
          <m:r>
            <m:rPr>
              <m:sty m:val="p"/>
            </m:rPr>
            <m:t>=</m:t>
          </m:r>
          <m:sSub>
            <m:e>
              <m:r>
                <m:t>σ</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ξ</m:t>
              </m:r>
            </m:e>
            <m:sub>
              <m:r>
                <m:t>d</m:t>
              </m:r>
            </m:sub>
          </m:sSub>
          <m:r>
            <m:rPr>
              <m:sty m:val="p"/>
            </m:rPr>
            <m:t>=</m:t>
          </m:r>
          <m:sSub>
            <m:e>
              <m:r>
                <m:t>ξ</m:t>
              </m:r>
            </m:e>
            <m:sub>
              <m:sSub>
                <m:e>
                  <m:r>
                    <m:t>d</m:t>
                  </m:r>
                </m:e>
                <m:sub>
                  <m:r>
                    <m:t>0</m:t>
                  </m:r>
                </m:sub>
              </m:sSub>
            </m:sub>
          </m:sSub>
          <m:r>
            <m:rPr>
              <m:sty m:val="p"/>
            </m:rPr>
            <m:t>,</m:t>
          </m:r>
        </m:oMath>
      </m:oMathPara>
    </w:p>
    <w:p>
      <w:pPr>
        <w:pStyle w:val="FirstParagraph"/>
      </w:pPr>
      <w:r>
        <w:t xml:space="preserve">ou, de forma equivalente,</w:t>
      </w:r>
      <w:r>
        <w:t xml:space="preserve"> </w:t>
      </w:r>
      <m:oMath>
        <m:r>
          <m:rPr>
            <m:sty m:val="p"/>
          </m:rPr>
          <m:t>log</m:t>
        </m:r>
        <m:sSub>
          <m:e>
            <m:r>
              <m:t>μ</m:t>
            </m:r>
          </m:e>
          <m:sub>
            <m:r>
              <m:t>d</m:t>
            </m:r>
          </m:sub>
        </m:sSub>
        <m:r>
          <m:rPr>
            <m:sty m:val="p"/>
          </m:rPr>
          <m:t>=</m:t>
        </m:r>
        <m:r>
          <m:rPr>
            <m:sty m:val="p"/>
          </m:rPr>
          <m:t>log</m:t>
        </m:r>
        <m:r>
          <m:t>μ</m:t>
        </m:r>
        <m:sSub>
          <m:e>
            <m:r>
              <m:t>d</m:t>
            </m:r>
          </m:e>
          <m:sub>
            <m:r>
              <m:t>0</m:t>
            </m:r>
          </m:sub>
        </m:sSub>
        <m:r>
          <m:rPr>
            <m:sty m:val="p"/>
          </m:rPr>
          <m:t>−</m:t>
        </m:r>
        <m:r>
          <m:t>H</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w:t>
      </w:r>
      <w:r>
        <w:t xml:space="preserve">e</w:t>
      </w:r>
      <w:r>
        <w:t xml:space="preserve"> </w:t>
      </w:r>
      <m:oMath>
        <m:r>
          <m:rPr>
            <m:sty m:val="p"/>
          </m:rPr>
          <m:t>log</m:t>
        </m:r>
        <m:sSub>
          <m:e>
            <m:r>
              <m:t>σ</m:t>
            </m:r>
          </m:e>
          <m:sub>
            <m:r>
              <m:t>d</m:t>
            </m:r>
          </m:sub>
        </m:sSub>
        <m:r>
          <m:rPr>
            <m:sty m:val="p"/>
          </m:rPr>
          <m:t>=</m:t>
        </m:r>
        <m:r>
          <m:rPr>
            <m:sty m:val="p"/>
          </m:rPr>
          <m:t>log</m:t>
        </m:r>
        <m:r>
          <m:t>σ</m:t>
        </m:r>
        <m:sSub>
          <m:e>
            <m:r>
              <m:t>d</m:t>
            </m:r>
          </m:e>
          <m:sub>
            <m:r>
              <m:t>0</m:t>
            </m:r>
          </m:sub>
        </m:sSub>
        <m:r>
          <m:rPr>
            <m:sty m:val="p"/>
          </m:rPr>
          <m:t>−</m:t>
        </m:r>
        <m:r>
          <m:t>η</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Escolhe-se tipicamente</w:t>
      </w:r>
      <w:r>
        <w:t xml:space="preserve"> </w:t>
      </w:r>
      <m:oMath>
        <m:sSub>
          <m:e>
            <m:r>
              <m:t>d</m:t>
            </m:r>
          </m:e>
          <m:sub>
            <m:r>
              <m:t>0</m:t>
            </m:r>
          </m:sub>
        </m:sSub>
        <m:r>
          <m:rPr>
            <m:sty m:val="p"/>
          </m:rPr>
          <m:t>=</m:t>
        </m:r>
        <m:r>
          <m:t>24</m:t>
        </m:r>
      </m:oMath>
      <w:r>
        <w:t xml:space="preserve">h para projetar parâmetros a</w:t>
      </w:r>
      <w:r>
        <w:t xml:space="preserve"> </w:t>
      </w:r>
      <m:oMath>
        <m:r>
          <m:t>d</m:t>
        </m:r>
        <m:r>
          <m:rPr>
            <m:sty m:val="p"/>
          </m:rPr>
          <m:t>&lt;</m:t>
        </m:r>
        <m:r>
          <m:t>24</m:t>
        </m:r>
      </m:oMath>
      <w:r>
        <w:t xml:space="preserve"> </w:t>
      </w:r>
      <w:r>
        <w:t xml:space="preserve">h. O nível Bayesiano (hierárquico) local–regional impõe essas relações de escala como priors por duração</w:t>
      </w:r>
    </w:p>
    <w:p>
      <w:pPr>
        <w:pStyle w:val="BodyText"/>
      </w:pPr>
      <m:oMathPara>
        <m:oMathParaPr>
          <m:jc m:val="center"/>
        </m:oMathParaPr>
        <m:oMath>
          <m:r>
            <m:rPr>
              <m:sty m:val="p"/>
            </m:rPr>
            <m:t>log</m:t>
          </m:r>
          <m:sSub>
            <m:e>
              <m:r>
                <m:t>μ</m:t>
              </m:r>
            </m:e>
            <m:sub>
              <m:r>
                <m:t>d</m:t>
              </m:r>
            </m:sub>
          </m:sSub>
          <m:r>
            <m:rPr>
              <m:sty m:val="p"/>
            </m:rPr>
            <m:t>∼</m:t>
          </m:r>
          <m:r>
            <m:rPr>
              <m:sty m:val="p"/>
              <m:scr m:val="script"/>
            </m:rPr>
            <m:t>N</m:t>
          </m:r>
          <m:r>
            <m:t>​</m:t>
          </m:r>
          <m:d>
            <m:dPr>
              <m:begChr m:val="("/>
              <m:endChr m:val=")"/>
              <m:sepChr m:val=""/>
              <m:grow/>
            </m:dPr>
            <m:e>
              <m:r>
                <m:t>α</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μ</m:t>
                  </m:r>
                </m:sub>
                <m:sup>
                  <m:r>
                    <m:t>2</m:t>
                  </m:r>
                </m:sup>
              </m:sSubSup>
            </m:e>
          </m:d>
          <m:r>
            <m:rPr>
              <m:sty m:val="p"/>
            </m:rPr>
            <m:t>,</m:t>
          </m:r>
          <m:r>
            <m:t> </m:t>
          </m:r>
          <m:r>
            <m:rPr>
              <m:sty m:val="p"/>
            </m:rPr>
            <m:t>log</m:t>
          </m:r>
          <m:sSub>
            <m:e>
              <m:r>
                <m:t>σ</m:t>
              </m:r>
            </m:e>
            <m:sub>
              <m:r>
                <m:t>d</m:t>
              </m:r>
            </m:sub>
          </m:sSub>
          <m:r>
            <m:rPr>
              <m:sty m:val="p"/>
            </m:rPr>
            <m:t>∼</m:t>
          </m:r>
          <m:r>
            <m:rPr>
              <m:sty m:val="p"/>
              <m:scr m:val="script"/>
            </m:rPr>
            <m:t>N</m:t>
          </m:r>
          <m:r>
            <m:t>​</m:t>
          </m:r>
          <m:d>
            <m:dPr>
              <m:begChr m:val="("/>
              <m:endChr m:val=")"/>
              <m:sepChr m:val=""/>
              <m:grow/>
            </m:dPr>
            <m:e>
              <m:r>
                <m:t>β</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σ</m:t>
                  </m:r>
                </m:sub>
                <m:sup>
                  <m:r>
                    <m:t>2</m:t>
                  </m:r>
                </m:sup>
              </m:sSubSup>
            </m:e>
          </m:d>
          <m:r>
            <m:rPr>
              <m:sty m:val="p"/>
            </m:rPr>
            <m:t>,</m:t>
          </m:r>
          <m:r>
            <m:t> </m:t>
          </m:r>
          <m:sSub>
            <m:e>
              <m:r>
                <m:t>ξ</m:t>
              </m:r>
            </m:e>
            <m:sub>
              <m:r>
                <m:t>d</m:t>
              </m:r>
            </m:sub>
          </m:sSub>
          <m:r>
            <m:rPr>
              <m:sty m:val="p"/>
            </m:rPr>
            <m:t>∼</m:t>
          </m:r>
          <m:r>
            <m:rPr>
              <m:sty m:val="p"/>
              <m:scr m:val="script"/>
            </m:rPr>
            <m:t>N</m:t>
          </m:r>
          <m:d>
            <m:dPr>
              <m:begChr m:val="("/>
              <m:endChr m:val=")"/>
              <m:sepChr m:val=""/>
              <m:grow/>
            </m:dPr>
            <m:e>
              <m:r>
                <m:t>ξ</m:t>
              </m:r>
              <m:r>
                <m:rPr>
                  <m:sty m:val="p"/>
                </m:rPr>
                <m:t>,</m:t>
              </m:r>
              <m:r>
                <m:t> </m:t>
              </m:r>
              <m:sSubSup>
                <m:e>
                  <m:r>
                    <m:t>τ</m:t>
                  </m:r>
                </m:e>
                <m:sub>
                  <m:r>
                    <m:t>ξ</m:t>
                  </m:r>
                </m:sub>
                <m:sup>
                  <m:r>
                    <m:t>2</m:t>
                  </m:r>
                </m:sup>
              </m:sSubSup>
            </m:e>
          </m:d>
        </m:oMath>
      </m:oMathPara>
    </w:p>
    <w:p>
      <w:pPr>
        <w:pStyle w:val="FirstParagraph"/>
      </w:pPr>
      <w:r>
        <w:t xml:space="preserve">onde</w:t>
      </w:r>
      <w:r>
        <w:t xml:space="preserve"> </w:t>
      </w:r>
      <m:oMath>
        <m:r>
          <m:t>α</m:t>
        </m:r>
        <m:r>
          <m:rPr>
            <m:sty m:val="p"/>
          </m:rPr>
          <m:t>=</m:t>
        </m:r>
        <m:r>
          <m:rPr>
            <m:sty m:val="p"/>
          </m:rPr>
          <m:t>log</m:t>
        </m:r>
        <m:sSub>
          <m:e>
            <m:r>
              <m:t>μ</m:t>
            </m:r>
          </m:e>
          <m:sub>
            <m:r>
              <m:t>24</m:t>
            </m:r>
          </m:sub>
        </m:sSub>
      </m:oMath>
      <w:r>
        <w:t xml:space="preserve"> </w:t>
      </w:r>
      <w:r>
        <w:t xml:space="preserve">e</w:t>
      </w:r>
      <w:r>
        <w:t xml:space="preserve"> </w:t>
      </w:r>
      <m:oMath>
        <m:r>
          <m:t>β</m:t>
        </m:r>
        <m:r>
          <m:rPr>
            <m:sty m:val="p"/>
          </m:rPr>
          <m:t>=</m:t>
        </m:r>
        <m:r>
          <m:rPr>
            <m:sty m:val="p"/>
          </m:rPr>
          <m:t>log</m:t>
        </m:r>
        <m:sSub>
          <m:e>
            <m:r>
              <m:t>σ</m:t>
            </m:r>
          </m:e>
          <m:sub>
            <m:r>
              <m:t>24</m:t>
            </m:r>
          </m:sub>
        </m:sSub>
      </m:oMath>
      <w:r>
        <w:t xml:space="preserve">. Os hiperpriors adotados são fracos:</w:t>
      </w:r>
      <w:r>
        <w:t xml:space="preserve"> </w:t>
      </w:r>
      <m:oMath>
        <m:r>
          <m:t>α</m:t>
        </m:r>
        <m:r>
          <m:rPr>
            <m:sty m:val="p"/>
          </m:rPr>
          <m:t>,</m:t>
        </m:r>
        <m:r>
          <m:t>β</m:t>
        </m:r>
        <m:r>
          <m:rPr>
            <m:sty m:val="p"/>
          </m:rPr>
          <m:t>∼</m:t>
        </m:r>
        <m:r>
          <m:rPr>
            <m:sty m:val="p"/>
            <m:scr m:val="script"/>
          </m:rPr>
          <m:t>N</m:t>
        </m:r>
        <m:d>
          <m:dPr>
            <m:begChr m:val="("/>
            <m:endChr m:val=")"/>
            <m:sepChr m:val=""/>
            <m:grow/>
          </m:dPr>
          <m:e>
            <m:r>
              <m:t>0</m:t>
            </m:r>
            <m:r>
              <m:rPr>
                <m:sty m:val="p"/>
              </m:rPr>
              <m:t>,</m:t>
            </m:r>
            <m:sSup>
              <m:e>
                <m:r>
                  <m:t>10</m:t>
                </m:r>
              </m:e>
              <m:sup>
                <m:r>
                  <m:t>6</m:t>
                </m:r>
              </m:sup>
            </m:sSup>
          </m:e>
        </m:d>
      </m:oMath>
      <w:r>
        <w:t xml:space="preserve">;</w:t>
      </w:r>
      <w:r>
        <w:t xml:space="preserve"> </w:t>
      </w:r>
      <m:oMath>
        <m:r>
          <m:t>H</m:t>
        </m:r>
        <m:r>
          <m:rPr>
            <m:sty m:val="p"/>
          </m:rPr>
          <m:t>∼</m:t>
        </m:r>
        <m:r>
          <m:rPr>
            <m:nor/>
            <m:sty m:val="p"/>
          </m:rPr>
          <m:t>Beta</m:t>
        </m:r>
        <m:d>
          <m:dPr>
            <m:begChr m:val="("/>
            <m:endChr m:val=")"/>
            <m:sepChr m:val=""/>
            <m:grow/>
          </m:dPr>
          <m:e>
            <m:r>
              <m:t>1</m:t>
            </m:r>
            <m:r>
              <m:rPr>
                <m:sty m:val="p"/>
              </m:rPr>
              <m:t>,</m:t>
            </m:r>
            <m:r>
              <m:t>1</m:t>
            </m:r>
          </m:e>
        </m:d>
      </m:oMath>
      <w:r>
        <w:t xml:space="preserve"> </w:t>
      </w:r>
      <w:r>
        <w:t xml:space="preserve">em [0,1];</w:t>
      </w:r>
      <w:r>
        <w:t xml:space="preserve"> </w:t>
      </w:r>
      <m:oMath>
        <m:r>
          <m:t>θ</m:t>
        </m:r>
        <m:r>
          <m:rPr>
            <m:sty m:val="p"/>
          </m:rPr>
          <m:t>∼</m:t>
        </m:r>
        <m:r>
          <m:rPr>
            <m:sty m:val="p"/>
            <m:scr m:val="script"/>
          </m:rPr>
          <m:t>U</m:t>
        </m:r>
        <m:d>
          <m:dPr>
            <m:begChr m:val="("/>
            <m:endChr m:val=")"/>
            <m:sepChr m:val=""/>
            <m:grow/>
          </m:dPr>
          <m:e>
            <m:r>
              <m:t>0</m:t>
            </m:r>
            <m:r>
              <m:rPr>
                <m:sty m:val="p"/>
              </m:rPr>
              <m:t>,</m:t>
            </m:r>
            <m:r>
              <m:t>10</m:t>
            </m:r>
          </m:e>
        </m:d>
      </m:oMath>
      <w:r>
        <w:t xml:space="preserve">;</w:t>
      </w:r>
      <w:r>
        <w:t xml:space="preserve"> </w:t>
      </w:r>
      <m:oMath>
        <m:r>
          <m:t>ξ</m:t>
        </m:r>
        <m:r>
          <m:rPr>
            <m:sty m:val="p"/>
          </m:rPr>
          <m:t>∼</m:t>
        </m:r>
        <m:r>
          <m:rPr>
            <m:nor/>
            <m:sty m:val="p"/>
          </m:rPr>
          <m:t>Beta</m:t>
        </m:r>
        <m:d>
          <m:dPr>
            <m:begChr m:val="("/>
            <m:endChr m:val=")"/>
            <m:sepChr m:val=""/>
            <m:grow/>
          </m:dPr>
          <m:e>
            <m:r>
              <m:t>9</m:t>
            </m:r>
            <m:r>
              <m:rPr>
                <m:sty m:val="p"/>
              </m:rPr>
              <m:t>,</m:t>
            </m:r>
            <m:r>
              <m:t>6</m:t>
            </m:r>
          </m:e>
        </m:d>
      </m:oMath>
      <w:r>
        <w:t xml:space="preserve"> </w:t>
      </w:r>
      <w:r>
        <w:t xml:space="preserve">com suporte [−0.5,0.5]; e</w:t>
      </w:r>
      <w:r>
        <w:t xml:space="preserve"> </w:t>
      </w:r>
      <m:oMath>
        <m:sSubSup>
          <m:e>
            <m:r>
              <m:t>τ</m:t>
            </m:r>
          </m:e>
          <m:sub>
            <m:r>
              <m:t>μ</m:t>
            </m:r>
          </m:sub>
          <m:sup>
            <m:r>
              <m:t>2</m:t>
            </m:r>
          </m:sup>
        </m:sSubSup>
        <m:r>
          <m:rPr>
            <m:sty m:val="p"/>
          </m:rPr>
          <m:t>,</m:t>
        </m:r>
        <m:sSubSup>
          <m:e>
            <m:r>
              <m:t>τ</m:t>
            </m:r>
          </m:e>
          <m:sub>
            <m:r>
              <m:t>σ</m:t>
            </m:r>
          </m:sub>
          <m:sup>
            <m:r>
              <m:t>2</m:t>
            </m:r>
          </m:sup>
        </m:sSubSup>
        <m:r>
          <m:rPr>
            <m:sty m:val="p"/>
          </m:rPr>
          <m:t>,</m:t>
        </m:r>
        <m:sSubSup>
          <m:e>
            <m:r>
              <m:t>τ</m:t>
            </m:r>
          </m:e>
          <m:sub>
            <m:r>
              <m:t>ξ</m:t>
            </m:r>
          </m:sub>
          <m:sup>
            <m:r>
              <m:t>2</m:t>
            </m:r>
          </m:sup>
        </m:sSubSup>
        <m:r>
          <m:rPr>
            <m:sty m:val="p"/>
          </m:rPr>
          <m:t>∼</m:t>
        </m:r>
        <m:r>
          <m:rPr>
            <m:nor/>
            <m:sty m:val="p"/>
          </m:rPr>
          <m:t>Inv-Gamma</m:t>
        </m:r>
        <m:d>
          <m:dPr>
            <m:begChr m:val="("/>
            <m:endChr m:val=")"/>
            <m:sepChr m:val=""/>
            <m:grow/>
          </m:dPr>
          <m:e>
            <m:r>
              <m:t>0.01</m:t>
            </m:r>
            <m:r>
              <m:rPr>
                <m:sty m:val="p"/>
              </m:rPr>
              <m:t>,</m:t>
            </m:r>
            <m:r>
              <m:t>0.01</m:t>
            </m:r>
          </m:e>
        </m:d>
      </m:oMath>
      <w:r>
        <w:t xml:space="preserve">.</w:t>
      </w:r>
    </w:p>
    <w:p>
      <w:pPr>
        <w:pStyle w:val="BodyText"/>
      </w:pPr>
      <w:r>
        <w:t xml:space="preserve">Quando é necessário modelar explicitamente a dependência espacial dos extremos, os processos max-estáveis são uma alternativa, pois dispensam a suposição de independência condicional dos dados. Stephenson et al. (2016) realizaram um acoplamento entre durações dentro do ajuste de extremos, de modo a inferir quantis/IDFs em escalas finas a partir de informação conjunta em múltiplas janelas de acumulação. A suposição central é que, para um sítio</w:t>
      </w:r>
      <w:r>
        <w:t xml:space="preserve"> </w:t>
      </w:r>
      <m:oMath>
        <m:r>
          <m:t>s</m:t>
        </m:r>
      </m:oMath>
      <w:r>
        <w:t xml:space="preserve">, a localização reduzida μ~(s) e a forma</w:t>
      </w:r>
      <w:r>
        <w:t xml:space="preserve"> </w:t>
      </w:r>
      <m:oMath>
        <m:r>
          <m:t>ξ</m:t>
        </m:r>
        <m:d>
          <m:dPr>
            <m:begChr m:val="("/>
            <m:endChr m:val=")"/>
            <m:sepChr m:val=""/>
            <m:grow/>
          </m:dPr>
          <m:e>
            <m:r>
              <m:t>s</m:t>
            </m:r>
          </m:e>
        </m:d>
      </m:oMath>
      <w:r>
        <w:t xml:space="preserve"> </w:t>
      </w:r>
      <w:r>
        <w:t xml:space="preserve">não variam com a duração, e toda a variação temporal entra via escala</w:t>
      </w:r>
      <w:r>
        <w:t xml:space="preserve"> </w:t>
      </w:r>
      <m:oMath>
        <m:sSub>
          <m:e>
            <m:r>
              <m:t>σ</m:t>
            </m:r>
          </m:e>
          <m:sub>
            <m:r>
              <m:t>d</m:t>
            </m:r>
          </m:sub>
        </m:sSub>
        <m:d>
          <m:dPr>
            <m:begChr m:val="("/>
            <m:endChr m:val=")"/>
            <m:sepChr m:val=""/>
            <m:grow/>
          </m:dPr>
          <m:e>
            <m:r>
              <m:t>s</m:t>
            </m:r>
          </m:e>
        </m:d>
      </m:oMath>
      <w:r>
        <w:t xml:space="preserve">. Define-se a relação de duração (em horas)</w:t>
      </w:r>
      <w:r>
        <w:t xml:space="preserve"> </w:t>
      </w:r>
      <m:oMath>
        <m:sSub>
          <m:e>
            <m:r>
              <m:t>ρ</m:t>
            </m:r>
          </m:e>
          <m:sub>
            <m:r>
              <m:t>d</m:t>
            </m:r>
          </m:sub>
        </m:sSub>
      </m:oMath>
      <w:r>
        <w:t xml:space="preserve"> </w:t>
      </w:r>
      <w:r>
        <w:t xml:space="preserve">com dois parâmetros de duração, offset</w:t>
      </w:r>
      <w:r>
        <w:t xml:space="preserve"> </w:t>
      </w:r>
      <m:oMath>
        <m:r>
          <m:t>κ</m:t>
        </m:r>
        <m:d>
          <m:dPr>
            <m:begChr m:val="("/>
            <m:endChr m:val=")"/>
            <m:sepChr m:val=""/>
            <m:grow/>
          </m:dPr>
          <m:e>
            <m:r>
              <m:t>s</m:t>
            </m:r>
          </m:e>
        </m:d>
        <m:r>
          <m:rPr>
            <m:sty m:val="p"/>
          </m:rPr>
          <m:t>&gt;</m:t>
        </m:r>
        <m:r>
          <m:t>0</m:t>
        </m:r>
      </m:oMath>
      <w:r>
        <w:t xml:space="preserve"> </w:t>
      </w:r>
      <w:r>
        <w:t xml:space="preserve">e expoente</w:t>
      </w:r>
      <w:r>
        <w:t xml:space="preserve"> </w:t>
      </w:r>
      <m:oMath>
        <m:r>
          <m:t>0</m:t>
        </m:r>
        <m:r>
          <m:rPr>
            <m:sty m:val="p"/>
          </m:rPr>
          <m:t>&lt;</m:t>
        </m:r>
        <m:r>
          <m:t>η</m:t>
        </m:r>
        <m:d>
          <m:dPr>
            <m:begChr m:val="("/>
            <m:endChr m:val=")"/>
            <m:sepChr m:val=""/>
            <m:grow/>
          </m:dPr>
          <m:e>
            <m:r>
              <m:t>s</m:t>
            </m:r>
          </m:e>
        </m:d>
        <m:r>
          <m:rPr>
            <m:sty m:val="p"/>
          </m:rPr>
          <m:t>≤</m:t>
        </m:r>
        <m:r>
          <m:t>1</m:t>
        </m:r>
      </m:oMath>
      <w:r>
        <w:t xml:space="preserve">, impondo a monotonicidade física dos quantis com</w:t>
      </w:r>
      <w:r>
        <w:t xml:space="preserve"> </w:t>
      </w:r>
      <m:oMath>
        <m:r>
          <m:t>d</m:t>
        </m:r>
      </m:oMath>
      <w:r>
        <w:t xml:space="preserve">:</w:t>
      </w:r>
    </w:p>
    <w:p>
      <w:pPr>
        <w:pStyle w:val="BodyText"/>
      </w:pPr>
      <m:oMathPara>
        <m:oMathParaPr>
          <m:jc m:val="center"/>
        </m:oMathParaPr>
        <m:oMath>
          <m:sSub>
            <m:e>
              <m:r>
                <m:t>σ</m:t>
              </m:r>
            </m:e>
            <m:sub>
              <m:r>
                <m:t>d</m:t>
              </m:r>
            </m:sub>
          </m:sSub>
          <m:d>
            <m:dPr>
              <m:begChr m:val="("/>
              <m:endChr m:val=")"/>
              <m:sepChr m:val=""/>
              <m:grow/>
            </m:dPr>
            <m:e>
              <m:r>
                <m:t>s</m:t>
              </m:r>
            </m:e>
          </m:d>
          <m:r>
            <m:t> </m:t>
          </m:r>
          <m:r>
            <m:rPr>
              <m:sty m:val="p"/>
            </m:rPr>
            <m:t>=</m:t>
          </m:r>
          <m:r>
            <m:t> </m:t>
          </m:r>
          <m:sSub>
            <m:e>
              <m:r>
                <m:t>ρ</m:t>
              </m:r>
            </m:e>
            <m:sub>
              <m:r>
                <m:t>d</m:t>
              </m:r>
            </m:sub>
          </m:sSub>
          <m:r>
            <m:t> </m:t>
          </m:r>
          <m:r>
            <m:t>σ</m:t>
          </m:r>
          <m:d>
            <m:dPr>
              <m:begChr m:val="("/>
              <m:endChr m:val=")"/>
              <m:sepChr m:val=""/>
              <m:grow/>
            </m:dPr>
            <m:e>
              <m:r>
                <m:t>s</m:t>
              </m:r>
            </m:e>
          </m:d>
          <m:r>
            <m:t> </m:t>
          </m:r>
          <m:r>
            <m:rPr>
              <m:sty m:val="p"/>
            </m:rPr>
            <m:t>{</m:t>
          </m:r>
          <m:sSub>
            <m:e>
              <m:r>
                <m:t>ρ</m:t>
              </m:r>
            </m:e>
            <m:sub>
              <m:r>
                <m:t>d</m:t>
              </m:r>
            </m:sub>
          </m:sSub>
          <m:r>
            <m:rPr>
              <m:sty m:val="p"/>
            </m:rPr>
            <m:t>+</m:t>
          </m:r>
          <m:r>
            <m:t>κ</m:t>
          </m:r>
          <m:d>
            <m:dPr>
              <m:begChr m:val="("/>
              <m:endChr m:val=")"/>
              <m:sepChr m:val=""/>
              <m:grow/>
            </m:dPr>
            <m:e>
              <m:r>
                <m:t>s</m:t>
              </m:r>
            </m:e>
          </m:d>
          <m:sSup>
            <m:e>
              <m:r>
                <m:rPr>
                  <m:sty m:val="p"/>
                </m:rPr>
                <m:t>}</m:t>
              </m:r>
            </m:e>
            <m:sup>
              <m:r>
                <m:rPr>
                  <m:sty m:val="p"/>
                </m:rPr>
                <m:t>−</m:t>
              </m:r>
              <m:r>
                <m:t>η</m:t>
              </m:r>
              <m:d>
                <m:dPr>
                  <m:begChr m:val="("/>
                  <m:endChr m:val=")"/>
                  <m:sepChr m:val=""/>
                  <m:grow/>
                </m:dPr>
                <m:e>
                  <m:r>
                    <m:t>s</m:t>
                  </m:r>
                </m:e>
              </m:d>
            </m:sup>
          </m:sSup>
          <m:r>
            <m:t> </m:t>
          </m:r>
          <m:r>
            <m:rPr>
              <m:sty m:val="p"/>
            </m:rPr>
            <m:t>,</m:t>
          </m:r>
          <m:r>
            <m:t>  </m:t>
          </m:r>
          <m:sSub>
            <m:e>
              <m:acc>
                <m:accPr>
                  <m:chr m:val="̃"/>
                </m:accPr>
                <m:e>
                  <m:r>
                    <m:t>μ</m:t>
                  </m:r>
                </m:e>
              </m:acc>
            </m:e>
            <m:sub>
              <m:r>
                <m:t>d</m:t>
              </m:r>
            </m:sub>
          </m:sSub>
          <m:d>
            <m:dPr>
              <m:begChr m:val="("/>
              <m:endChr m:val=")"/>
              <m:sepChr m:val=""/>
              <m:grow/>
            </m:dPr>
            <m:e>
              <m:r>
                <m:t>s</m:t>
              </m:r>
            </m:e>
          </m:d>
          <m:r>
            <m:rPr>
              <m:sty m:val="p"/>
            </m:rPr>
            <m:t>=</m:t>
          </m:r>
          <m:acc>
            <m:accPr>
              <m:chr m:val="̃"/>
            </m:accPr>
            <m:e>
              <m:r>
                <m:t>μ</m:t>
              </m:r>
            </m:e>
          </m:acc>
          <m:d>
            <m:dPr>
              <m:begChr m:val="("/>
              <m:endChr m:val=")"/>
              <m:sepChr m:val=""/>
              <m:grow/>
            </m:dPr>
            <m:e>
              <m:r>
                <m:t>s</m:t>
              </m:r>
            </m:e>
          </m:d>
          <m:r>
            <m:rPr>
              <m:sty m:val="p"/>
            </m:rPr>
            <m:t>,</m:t>
          </m:r>
          <m:r>
            <m:t> </m:t>
          </m:r>
          <m:r>
            <m:t> </m:t>
          </m:r>
          <m:sSub>
            <m:e>
              <m:r>
                <m:t>ξ</m:t>
              </m:r>
            </m:e>
            <m:sub>
              <m:r>
                <m:t>d</m:t>
              </m:r>
            </m:sub>
          </m:sSub>
          <m:d>
            <m:dPr>
              <m:begChr m:val="("/>
              <m:endChr m:val=")"/>
              <m:sepChr m:val=""/>
              <m:grow/>
            </m:dPr>
            <m:e>
              <m:r>
                <m:t>s</m:t>
              </m:r>
            </m:e>
          </m:d>
          <m:r>
            <m:rPr>
              <m:sty m:val="p"/>
            </m:rPr>
            <m:t>=</m:t>
          </m:r>
          <m:r>
            <m:t>ξ</m:t>
          </m:r>
          <m:d>
            <m:dPr>
              <m:begChr m:val="("/>
              <m:endChr m:val=")"/>
              <m:sepChr m:val=""/>
              <m:grow/>
            </m:dPr>
            <m:e>
              <m:r>
                <m:t>s</m:t>
              </m:r>
            </m:e>
          </m:d>
          <m:r>
            <m:rPr>
              <m:sty m:val="p"/>
            </m:rPr>
            <m:t>.</m:t>
          </m:r>
        </m:oMath>
      </m:oMathPara>
    </w:p>
    <w:p>
      <w:pPr>
        <w:pStyle w:val="FirstParagraph"/>
      </w:pPr>
      <w:r>
        <w:t xml:space="preserve">Essa parametrização transfere informação entre durações curtas e longas</w:t>
      </w:r>
      <w:r>
        <w:t xml:space="preserve"> </w:t>
      </w:r>
      <w:r>
        <w:t xml:space="preserve">“amarrando”</w:t>
      </w:r>
      <w:r>
        <w:t xml:space="preserve"> </w:t>
      </w:r>
      <w:r>
        <w:t xml:space="preserve">os GEVs por</w:t>
      </w:r>
      <w:r>
        <w:t xml:space="preserve"> </w:t>
      </w:r>
      <m:oMath>
        <m:r>
          <m:t>d</m:t>
        </m:r>
      </m:oMath>
      <w:r>
        <w:t xml:space="preserve"> </w:t>
      </w:r>
      <w:r>
        <w:t xml:space="preserve">e, na prática, desagrega ao permitir estimar quantis em durações não (ou pouco) observadas a partir das demais. Para acomodar dependência espacial mantendo o foco no acoplamento entre durações, os dados são padronizados para resíduos Fréchet padrão</w:t>
      </w:r>
    </w:p>
    <w:p>
      <w:pPr>
        <w:pStyle w:val="BodyText"/>
      </w:pPr>
      <m:oMathPara>
        <m:oMathParaPr>
          <m:jc m:val="center"/>
        </m:oMathParaPr>
        <m:oMath>
          <m:sSub>
            <m:e>
              <m:r>
                <m:t>X</m:t>
              </m:r>
            </m:e>
            <m:sub>
              <m:r>
                <m:t>t</m:t>
              </m:r>
              <m:r>
                <m:rPr>
                  <m:sty m:val="p"/>
                </m:rPr>
                <m:t>,</m:t>
              </m:r>
              <m:r>
                <m:t>d</m:t>
              </m:r>
            </m:sub>
          </m:sSub>
          <m:d>
            <m:dPr>
              <m:begChr m:val="("/>
              <m:endChr m:val=")"/>
              <m:sepChr m:val=""/>
              <m:grow/>
            </m:dPr>
            <m:e>
              <m:r>
                <m:t>s</m:t>
              </m:r>
            </m:e>
          </m:d>
          <m:r>
            <m:rPr>
              <m:sty m:val="p"/>
            </m:rPr>
            <m:t>=</m:t>
          </m:r>
          <m:r>
            <m:rPr>
              <m:sty m:val="p"/>
            </m:rPr>
            <m:t>{</m:t>
          </m:r>
          <m:r>
            <m:t>1</m:t>
          </m:r>
          <m:r>
            <m:rPr>
              <m:sty m:val="p"/>
            </m:rPr>
            <m:t>+</m:t>
          </m:r>
          <m:r>
            <m:t>ξ</m:t>
          </m:r>
          <m:d>
            <m:dPr>
              <m:begChr m:val="("/>
              <m:endChr m:val=")"/>
              <m:sepChr m:val=""/>
              <m:grow/>
            </m:dPr>
            <m:e>
              <m:r>
                <m:t>s</m:t>
              </m:r>
            </m:e>
          </m:d>
          <m:r>
            <m:t> </m:t>
          </m:r>
          <m:f>
            <m:fPr>
              <m:type m:val="bar"/>
            </m:fPr>
            <m:num>
              <m:sSub>
                <m:e>
                  <m:r>
                    <m:t>Y</m:t>
                  </m:r>
                </m:e>
                <m:sub>
                  <m:r>
                    <m:t>t</m:t>
                  </m:r>
                  <m:r>
                    <m:rPr>
                      <m:sty m:val="p"/>
                    </m:rPr>
                    <m:t>,</m:t>
                  </m:r>
                  <m:r>
                    <m:t>d</m:t>
                  </m:r>
                </m:sub>
              </m:sSub>
              <m:d>
                <m:dPr>
                  <m:begChr m:val="("/>
                  <m:endChr m:val=")"/>
                  <m:sepChr m:val=""/>
                  <m:grow/>
                </m:dPr>
                <m:e>
                  <m:r>
                    <m:t>s</m:t>
                  </m:r>
                </m:e>
              </m:d>
              <m:r>
                <m:rPr>
                  <m:sty m:val="p"/>
                </m:rPr>
                <m:t>−</m:t>
              </m:r>
              <m:acc>
                <m:accPr>
                  <m:chr m:val="̃"/>
                </m:accPr>
                <m:e>
                  <m:r>
                    <m:t>μ</m:t>
                  </m:r>
                </m:e>
              </m:acc>
              <m:d>
                <m:dPr>
                  <m:begChr m:val="("/>
                  <m:endChr m:val=")"/>
                  <m:sepChr m:val=""/>
                  <m:grow/>
                </m:dPr>
                <m:e>
                  <m:r>
                    <m:t>s</m:t>
                  </m:r>
                </m:e>
              </m:d>
            </m:num>
            <m:den>
              <m:sSub>
                <m:e>
                  <m:r>
                    <m:t>σ</m:t>
                  </m:r>
                </m:e>
                <m:sub>
                  <m:r>
                    <m:t>d</m:t>
                  </m:r>
                </m:sub>
              </m:sSub>
              <m:d>
                <m:dPr>
                  <m:begChr m:val="("/>
                  <m:endChr m:val=")"/>
                  <m:sepChr m:val=""/>
                  <m:grow/>
                </m:dPr>
                <m:e>
                  <m:r>
                    <m:t>s</m:t>
                  </m:r>
                </m:e>
              </m:d>
            </m:den>
          </m:f>
          <m:sSubSup>
            <m:e>
              <m:r>
                <m:rPr>
                  <m:sty m:val="p"/>
                </m:rPr>
                <m:t>}</m:t>
              </m:r>
            </m:e>
            <m:sub>
              <m:r>
                <m:rPr>
                  <m:sty m:val="p"/>
                </m:rPr>
                <m:t>+</m:t>
              </m:r>
            </m:sub>
            <m:sup>
              <m:r>
                <m:t>1</m:t>
              </m:r>
              <m:r>
                <m:rPr>
                  <m:sty m:val="p"/>
                </m:rPr>
                <m:t>/</m:t>
              </m:r>
              <m:r>
                <m:t>ξ</m:t>
              </m:r>
              <m:d>
                <m:dPr>
                  <m:begChr m:val="("/>
                  <m:endChr m:val=")"/>
                  <m:sepChr m:val=""/>
                  <m:grow/>
                </m:dPr>
                <m:e>
                  <m:r>
                    <m:t>s</m:t>
                  </m:r>
                </m:e>
              </m:d>
            </m:sup>
          </m:sSubSup>
        </m:oMath>
      </m:oMathPara>
    </w:p>
    <w:p>
      <w:pPr>
        <w:pStyle w:val="FirstParagraph"/>
      </w:pPr>
      <w:r>
        <w:t xml:space="preserve">e a dependência conjunta é modelada por um processo max-estável tipo Reich–Shaby, cuja FDC é</w:t>
      </w:r>
    </w:p>
    <w:p>
      <w:pPr>
        <w:pStyle w:val="BodyText"/>
      </w:pPr>
      <m:oMathPara>
        <m:oMathParaPr>
          <m:jc m:val="center"/>
        </m:oMathParaPr>
        <m:oMath>
          <m:r>
            <m:rPr>
              <m:sty m:val="p"/>
            </m:rPr>
            <m:t>Pr</m:t>
          </m:r>
          <m:r>
            <m:rPr>
              <m:sty m:val="p"/>
            </m:rPr>
            <m:t>{</m:t>
          </m:r>
          <m:sSub>
            <m:e>
              <m:r>
                <m:t>X</m:t>
              </m:r>
            </m:e>
            <m:sub>
              <m:r>
                <m:t>t</m:t>
              </m:r>
              <m:r>
                <m:rPr>
                  <m:sty m:val="p"/>
                </m:rPr>
                <m:t>,</m:t>
              </m:r>
              <m:r>
                <m:t>d</m:t>
              </m:r>
            </m:sub>
          </m:sSub>
          <m:d>
            <m:dPr>
              <m:begChr m:val="("/>
              <m:endChr m:val=")"/>
              <m:sepChr m:val=""/>
              <m:grow/>
            </m:dPr>
            <m:e>
              <m:sSub>
                <m:e>
                  <m:r>
                    <m:t>s</m:t>
                  </m:r>
                </m:e>
                <m:sub>
                  <m:r>
                    <m:t>i</m:t>
                  </m:r>
                </m:sub>
              </m:sSub>
            </m:e>
          </m:d>
          <m:r>
            <m:rPr>
              <m:sty m:val="p"/>
            </m:rPr>
            <m:t>&lt;</m:t>
          </m:r>
          <m:sSub>
            <m:e>
              <m:r>
                <m:t>x</m:t>
              </m:r>
            </m:e>
            <m:sub>
              <m:r>
                <m:t>i</m:t>
              </m:r>
            </m:sub>
          </m:sSub>
          <m:r>
            <m:rPr>
              <m:sty m:val="p"/>
            </m:rPr>
            <m:t>,</m:t>
          </m:r>
          <m:r>
            <m:t> </m:t>
          </m:r>
          <m:r>
            <m:t>i</m:t>
          </m:r>
          <m:r>
            <m:rPr>
              <m:sty m:val="p"/>
            </m:rPr>
            <m:t>=</m:t>
          </m:r>
          <m:r>
            <m:t>1</m:t>
          </m:r>
          <m:r>
            <m:rPr>
              <m:sty m:val="p"/>
            </m:rPr>
            <m:t>,</m:t>
          </m:r>
          <m:r>
            <m:rPr>
              <m:sty m:val="p"/>
            </m:rPr>
            <m:t>…</m:t>
          </m:r>
          <m:r>
            <m:rPr>
              <m:sty m:val="p"/>
            </m:rPr>
            <m:t>,</m:t>
          </m:r>
          <m:r>
            <m:t>N</m:t>
          </m:r>
          <m:r>
            <m:rPr>
              <m:sty m:val="p"/>
            </m:rPr>
            <m:t>}</m:t>
          </m:r>
          <m:r>
            <m:rPr>
              <m:sty m:val="p"/>
            </m:rPr>
            <m:t>=</m:t>
          </m:r>
          <m:r>
            <m:rPr>
              <m:sty m:val="p"/>
            </m:rPr>
            <m:t>exp</m:t>
          </m:r>
          <m:r>
            <m:t>​</m:t>
          </m:r>
          <m:d>
            <m:dPr>
              <m:begChr m:val="("/>
              <m:endChr m:val=")"/>
              <m:sepChr m:val=""/>
              <m:grow/>
            </m:dPr>
            <m:e>
              <m:r>
                <m:rPr>
                  <m:sty m:val="p"/>
                </m:rPr>
                <m:t>−</m:t>
              </m:r>
              <m:nary>
                <m:naryPr>
                  <m:chr m:val="∑"/>
                  <m:limLoc m:val="undOvr"/>
                  <m:subHide m:val="off"/>
                  <m:supHide m:val="off"/>
                </m:naryPr>
                <m:sub>
                  <m:r>
                    <m:t>k</m:t>
                  </m:r>
                  <m:r>
                    <m:rPr>
                      <m:sty m:val="p"/>
                    </m:rPr>
                    <m:t>=</m:t>
                  </m:r>
                  <m:r>
                    <m:t>1</m:t>
                  </m:r>
                </m:sub>
                <m:sup>
                  <m:r>
                    <m:t>K</m:t>
                  </m:r>
                </m:sup>
                <m:e>
                  <m:r>
                    <m:rPr>
                      <m:sty m:val="p"/>
                    </m:rPr>
                    <m:t>[</m:t>
                  </m:r>
                </m:e>
              </m:nary>
              <m:nary>
                <m:naryPr>
                  <m:chr m:val="∑"/>
                  <m:limLoc m:val="undOvr"/>
                  <m:subHide m:val="off"/>
                  <m:supHide m:val="off"/>
                </m:naryPr>
                <m:sub>
                  <m:r>
                    <m:t>i</m:t>
                  </m:r>
                  <m:r>
                    <m:rPr>
                      <m:sty m:val="p"/>
                    </m:rPr>
                    <m:t>=</m:t>
                  </m:r>
                  <m:r>
                    <m:t>1</m:t>
                  </m:r>
                </m:sub>
                <m:sup>
                  <m:r>
                    <m:t>N</m:t>
                  </m:r>
                </m:sup>
                <m:e>
                  <m:sSub>
                    <m:e>
                      <m:r>
                        <m:t>w</m:t>
                      </m:r>
                    </m:e>
                    <m:sub>
                      <m:r>
                        <m:t>k</m:t>
                      </m:r>
                    </m:sub>
                  </m:sSub>
                </m:e>
              </m:nary>
              <m:d>
                <m:dPr>
                  <m:begChr m:val="("/>
                  <m:endChr m:val=")"/>
                  <m:sepChr m:val=""/>
                  <m:grow/>
                </m:dPr>
                <m:e>
                  <m:sSub>
                    <m:e>
                      <m:r>
                        <m:t>s</m:t>
                      </m:r>
                    </m:e>
                    <m:sub>
                      <m:r>
                        <m:t>i</m:t>
                      </m:r>
                    </m:sub>
                  </m:sSub>
                </m:e>
              </m:d>
              <m:r>
                <m:t> </m:t>
              </m:r>
              <m:sSubSup>
                <m:e>
                  <m:r>
                    <m:t>x</m:t>
                  </m:r>
                </m:e>
                <m:sub>
                  <m:r>
                    <m:t>i</m:t>
                  </m:r>
                </m:sub>
                <m:sup>
                  <m:r>
                    <m:rPr>
                      <m:sty m:val="p"/>
                    </m:rPr>
                    <m:t>−</m:t>
                  </m:r>
                  <m:r>
                    <m:t>1</m:t>
                  </m:r>
                  <m:r>
                    <m:rPr>
                      <m:sty m:val="p"/>
                    </m:rPr>
                    <m:t>/</m:t>
                  </m:r>
                  <m:r>
                    <m:t>α</m:t>
                  </m:r>
                </m:sup>
              </m:sSubSup>
              <m:sSup>
                <m:e>
                  <m:r>
                    <m:rPr>
                      <m:sty m:val="p"/>
                    </m:rPr>
                    <m:t>]</m:t>
                  </m:r>
                </m:e>
                <m:sup>
                  <m:r>
                    <m:t>α</m:t>
                  </m:r>
                </m:sup>
              </m:sSup>
            </m:e>
          </m:d>
        </m:oMath>
      </m:oMathPara>
    </w:p>
    <w:p>
      <w:pPr>
        <w:pStyle w:val="FirstParagraph"/>
      </w:pPr>
      <w:r>
        <w:t xml:space="preserve">com</w:t>
      </w:r>
      <w:r>
        <w:t xml:space="preserve"> </w:t>
      </w:r>
      <m:oMath>
        <m:r>
          <m:t>α</m:t>
        </m:r>
        <m:r>
          <m:rPr>
            <m:sty m:val="p"/>
          </m:rPr>
          <m:t>∈</m:t>
        </m:r>
        <m:d>
          <m:dPr>
            <m:begChr m:val="("/>
            <m:endChr m:val=")"/>
            <m:sepChr m:val=""/>
            <m:grow/>
          </m:dPr>
          <m:e>
            <m:r>
              <m:t>0</m:t>
            </m:r>
            <m:r>
              <m:rPr>
                <m:sty m:val="p"/>
              </m:rPr>
              <m:t>,</m:t>
            </m:r>
            <m:r>
              <m:t>1</m:t>
            </m:r>
          </m:e>
        </m:d>
      </m:oMath>
      <w:r>
        <w:t xml:space="preserve"> </w:t>
      </w:r>
      <w:r>
        <w:t xml:space="preserve">e pesos espaciais</w:t>
      </w:r>
      <w:r>
        <w:t xml:space="preserve"> </w:t>
      </w:r>
      <m:oMath>
        <m:sSub>
          <m:e>
            <m:r>
              <m:t>w</m:t>
            </m:r>
          </m:e>
          <m:sub>
            <m:r>
              <m:t>k</m:t>
            </m:r>
          </m:sub>
        </m:sSub>
        <m:d>
          <m:dPr>
            <m:begChr m:val="("/>
            <m:endChr m:val=")"/>
            <m:sepChr m:val=""/>
            <m:grow/>
          </m:dPr>
          <m:e>
            <m:r>
              <m:t>s</m:t>
            </m:r>
          </m:e>
        </m:d>
      </m:oMath>
      <w:r>
        <w:t xml:space="preserve"> </w:t>
      </w:r>
      <w:r>
        <w:t xml:space="preserve">definidos por kernels (normalizados para</w:t>
      </w:r>
      <w:r>
        <w:t xml:space="preserve"> </w:t>
      </w:r>
      <m:oMath>
        <m:nary>
          <m:naryPr>
            <m:chr m:val="∑"/>
            <m:limLoc m:val="undOvr"/>
            <m:subHide m:val="off"/>
            <m:supHide m:val="on"/>
          </m:naryPr>
          <m:sub>
            <m:r>
              <m:t>k</m:t>
            </m:r>
          </m:sub>
          <m:sup>
            <m:r>
              <m:t>​</m:t>
            </m:r>
          </m:sup>
          <m:e>
            <m:sSub>
              <m:e>
                <m:r>
                  <m:t>w</m:t>
                </m:r>
              </m:e>
              <m:sub>
                <m:r>
                  <m:t>k</m:t>
                </m:r>
              </m:sub>
            </m:sSub>
          </m:e>
        </m:nary>
        <m:d>
          <m:dPr>
            <m:begChr m:val="("/>
            <m:endChr m:val=")"/>
            <m:sepChr m:val=""/>
            <m:grow/>
          </m:dPr>
          <m:e>
            <m:r>
              <m:t>s</m:t>
            </m:r>
          </m:e>
        </m:d>
        <m:r>
          <m:rPr>
            <m:sty m:val="p"/>
          </m:rPr>
          <m:t>=</m:t>
        </m:r>
        <m:r>
          <m:t>1</m:t>
        </m:r>
      </m:oMath>
      <w:r>
        <w:t xml:space="preserve">. A inferência é plenamente bayesiana: introduzem-se variáveis estáveis positivas</w:t>
      </w:r>
      <w:r>
        <w:t xml:space="preserve"> </w:t>
      </w:r>
      <m:oMath>
        <m:sSub>
          <m:e>
            <m:r>
              <m:t>A</m:t>
            </m:r>
          </m:e>
          <m:sub>
            <m:r>
              <m:t>t</m:t>
            </m:r>
            <m:r>
              <m:rPr>
                <m:sty m:val="p"/>
              </m:rPr>
              <m:t>,</m:t>
            </m:r>
            <m:r>
              <m:t>k</m:t>
            </m:r>
          </m:sub>
        </m:sSub>
      </m:oMath>
      <w:r>
        <w:t xml:space="preserve"> </w:t>
      </w:r>
      <w:r>
        <w:t xml:space="preserve">e um campo latente</w:t>
      </w:r>
      <w:r>
        <w:t xml:space="preserve"> </w:t>
      </w:r>
      <m:oMath>
        <m:sSub>
          <m:e>
            <m:r>
              <m:t>θ</m:t>
            </m:r>
          </m:e>
          <m:sub>
            <m:r>
              <m:t>t</m:t>
            </m:r>
          </m:sub>
        </m:sSub>
        <m:d>
          <m:dPr>
            <m:begChr m:val="("/>
            <m:endChr m:val=")"/>
            <m:sepChr m:val=""/>
            <m:grow/>
          </m:dPr>
          <m:e>
            <m:r>
              <m:t>s</m:t>
            </m:r>
          </m:e>
        </m:d>
        <m:r>
          <m:rPr>
            <m:sty m:val="p"/>
          </m:rPr>
          <m:t>=</m:t>
        </m:r>
        <m:r>
          <m:rPr>
            <m:sty m:val="p"/>
          </m:rPr>
          <m:t>(</m:t>
        </m:r>
        <m:nary>
          <m:naryPr>
            <m:chr m:val="∑"/>
            <m:limLoc m:val="undOvr"/>
            <m:subHide m:val="off"/>
            <m:supHide m:val="on"/>
          </m:naryPr>
          <m:sub>
            <m:r>
              <m:t>k</m:t>
            </m:r>
          </m:sub>
          <m:sup>
            <m:r>
              <m:t>​</m:t>
            </m:r>
          </m:sup>
          <m:e>
            <m:sSub>
              <m:e>
                <m:r>
                  <m:t>A</m:t>
                </m:r>
              </m:e>
              <m:sub>
                <m:r>
                  <m:t>t</m:t>
                </m:r>
                <m:r>
                  <m:rPr>
                    <m:sty m:val="p"/>
                  </m:rPr>
                  <m:t>,</m:t>
                </m:r>
                <m:r>
                  <m:t>k</m:t>
                </m:r>
              </m:sub>
            </m:sSub>
          </m:e>
        </m:nary>
        <m:r>
          <m:t> </m:t>
        </m:r>
        <m:sSub>
          <m:e>
            <m:r>
              <m:t>w</m:t>
            </m:r>
          </m:e>
          <m:sub>
            <m:r>
              <m:t>k</m:t>
            </m:r>
          </m:sub>
        </m:sSub>
        <m:sSup>
          <m:e>
            <m:d>
              <m:dPr>
                <m:begChr m:val="("/>
                <m:endChr m:val=")"/>
                <m:sepChr m:val=""/>
                <m:grow/>
              </m:dPr>
              <m:e>
                <m:r>
                  <m:t>s</m:t>
                </m:r>
              </m:e>
            </m:d>
          </m:e>
          <m:sup>
            <m:r>
              <m:t>1</m:t>
            </m:r>
            <m:r>
              <m:rPr>
                <m:sty m:val="p"/>
              </m:rPr>
              <m:t>/</m:t>
            </m:r>
            <m:r>
              <m:t>α</m:t>
            </m:r>
          </m:sup>
        </m:sSup>
        <m:sSup>
          <m:e>
            <m:r>
              <m:rPr>
                <m:sty m:val="p"/>
              </m:rPr>
              <m:t>)</m:t>
            </m:r>
          </m:e>
          <m:sup>
            <m:r>
              <m:t>α</m:t>
            </m:r>
          </m:sup>
        </m:sSup>
      </m:oMath>
      <w:r>
        <w:t xml:space="preserve"> </w:t>
      </w:r>
      <w:r>
        <w:t xml:space="preserve">que torna as observações condicionalmente independentes, viabilizando MCMC exato.</w:t>
      </w:r>
      <w:r>
        <w:t xml:space="preserve"> </w:t>
      </w:r>
    </w:p>
    <w:p>
      <w:pPr>
        <w:pStyle w:val="BodyText"/>
      </w:pPr>
      <w:r>
        <w:t xml:space="preserve">Van de Vyver (2018) propõe um modelo IDF fundado em multiescalonamento dos máximos anuais, estendendo a</w:t>
      </w:r>
      <w:r>
        <w:t xml:space="preserve"> </w:t>
      </w:r>
      <w:r>
        <w:t xml:space="preserve">“escala simples + GEV”</w:t>
      </w:r>
      <w:r>
        <w:t xml:space="preserve"> </w:t>
      </w:r>
      <w:r>
        <w:t xml:space="preserve">clássico. Em vez de impor separabilidade</w:t>
      </w:r>
      <w:r>
        <w:t xml:space="preserve"> </w:t>
      </w:r>
      <m:oMath>
        <m:sSub>
          <m:e>
            <m:r>
              <m:t>i</m:t>
            </m:r>
          </m:e>
          <m:sub>
            <m:r>
              <m:t>T</m:t>
            </m:r>
          </m:sub>
        </m:sSub>
        <m:d>
          <m:dPr>
            <m:begChr m:val="("/>
            <m:endChr m:val=")"/>
            <m:sepChr m:val=""/>
            <m:grow/>
          </m:dPr>
          <m:e>
            <m:r>
              <m:t>d</m:t>
            </m:r>
          </m:e>
        </m:d>
        <m:r>
          <m:rPr>
            <m:sty m:val="p"/>
          </m:rPr>
          <m:t>=</m:t>
        </m:r>
        <m:r>
          <m:t>a</m:t>
        </m:r>
        <m:d>
          <m:dPr>
            <m:begChr m:val="("/>
            <m:endChr m:val=")"/>
            <m:sepChr m:val=""/>
            <m:grow/>
          </m:dPr>
          <m:e>
            <m:r>
              <m:t>T</m:t>
            </m:r>
          </m:e>
        </m:d>
        <m:r>
          <m:t> </m:t>
        </m:r>
        <m:r>
          <m:t>b</m:t>
        </m:r>
        <m:d>
          <m:dPr>
            <m:begChr m:val="("/>
            <m:endChr m:val=")"/>
            <m:sepChr m:val=""/>
            <m:grow/>
          </m:dPr>
          <m:e>
            <m:r>
              <m:t>d</m:t>
            </m:r>
          </m:e>
        </m:d>
      </m:oMath>
      <w:r>
        <w:t xml:space="preserve">, o autor assume que, para a GEV dos máximos de duração</w:t>
      </w:r>
      <w:r>
        <w:t xml:space="preserve"> </w:t>
      </w:r>
      <m:oMath>
        <m:r>
          <m:t>d</m:t>
        </m:r>
      </m:oMath>
      <w:r>
        <w:t xml:space="preserve">, os parâmetros localização e escala têm expoentes de escala distintos:</w:t>
      </w:r>
    </w:p>
    <w:p>
      <w:pPr>
        <w:pStyle w:val="BodyText"/>
      </w:pPr>
      <m:oMathPara>
        <m:oMathParaPr>
          <m:jc m:val="center"/>
        </m:oMathParaPr>
        <m:oMath>
          <m:r>
            <m:t>μ</m:t>
          </m:r>
          <m:d>
            <m:dPr>
              <m:begChr m:val="("/>
              <m:endChr m:val=")"/>
              <m:sepChr m:val=""/>
              <m:grow/>
            </m:dPr>
            <m:e>
              <m:r>
                <m:t>d</m:t>
              </m:r>
            </m:e>
          </m:d>
          <m:r>
            <m:rPr>
              <m:sty m:val="p"/>
            </m:rPr>
            <m:t>=</m:t>
          </m:r>
          <m:sSup>
            <m:e>
              <m:r>
                <m:t>d</m:t>
              </m:r>
            </m:e>
            <m:sup>
              <m:r>
                <m:rPr>
                  <m:sty m:val="p"/>
                </m:rPr>
                <m:t>−</m:t>
              </m:r>
              <m:sSub>
                <m:e>
                  <m:r>
                    <m:t>η</m:t>
                  </m:r>
                </m:e>
                <m:sub>
                  <m:r>
                    <m:t>1</m:t>
                  </m:r>
                </m:sub>
              </m:sSub>
            </m:sup>
          </m:sSup>
          <m:r>
            <m:t> </m:t>
          </m:r>
          <m:r>
            <m:t>μ</m:t>
          </m:r>
          <m:r>
            <m:rPr>
              <m:sty m:val="p"/>
            </m:rPr>
            <m:t>,</m:t>
          </m:r>
          <m:r>
            <m:t>  </m:t>
          </m:r>
          <m:r>
            <m:t>σ</m:t>
          </m:r>
          <m:d>
            <m:dPr>
              <m:begChr m:val="("/>
              <m:endChr m:val=")"/>
              <m:sepChr m:val=""/>
              <m:grow/>
            </m:dPr>
            <m:e>
              <m:r>
                <m:t>d</m:t>
              </m:r>
            </m:e>
          </m:d>
          <m:r>
            <m:rPr>
              <m:sty m:val="p"/>
            </m:rPr>
            <m:t>=</m:t>
          </m:r>
          <m:sSup>
            <m:e>
              <m:r>
                <m:t>d</m:t>
              </m:r>
            </m:e>
            <m:sup>
              <m:r>
                <m:rPr>
                  <m:sty m:val="p"/>
                </m:rPr>
                <m:t>−</m:t>
              </m:r>
              <m:sSub>
                <m:e>
                  <m:r>
                    <m:t>η</m:t>
                  </m:r>
                </m:e>
                <m:sub>
                  <m:r>
                    <m:t>2</m:t>
                  </m:r>
                </m:sub>
              </m:sSub>
            </m:sup>
          </m:sSup>
          <m:r>
            <m:t> </m:t>
          </m:r>
          <m:r>
            <m:t>σ</m:t>
          </m:r>
          <m:r>
            <m:rPr>
              <m:sty m:val="p"/>
            </m:rPr>
            <m:t>,</m:t>
          </m:r>
          <m:r>
            <m:t>  </m:t>
          </m:r>
          <m:r>
            <m:t>ξ</m:t>
          </m:r>
          <m:r>
            <m:rPr>
              <m:sty m:val="p"/>
            </m:rPr>
            <m:t>=</m:t>
          </m:r>
          <m:r>
            <m:rPr>
              <m:nor/>
              <m:sty m:val="p"/>
            </m:rPr>
            <m:t>constante</m:t>
          </m:r>
          <m:r>
            <m:rPr>
              <m:sty m:val="p"/>
            </m:rPr>
            <m:t>,</m:t>
          </m:r>
          <m:r>
            <m:t> </m:t>
          </m:r>
          <m:r>
            <m:t> </m:t>
          </m:r>
          <m:r>
            <m:t>0</m:t>
          </m:r>
          <m:r>
            <m:rPr>
              <m:sty m:val="p"/>
            </m:rPr>
            <m:t>&lt;</m:t>
          </m:r>
          <m:sSub>
            <m:e>
              <m:r>
                <m:t>η</m:t>
              </m:r>
            </m:e>
            <m:sub>
              <m:r>
                <m:t>1</m:t>
              </m:r>
            </m:sub>
          </m:sSub>
          <m:r>
            <m:rPr>
              <m:sty m:val="p"/>
            </m:rPr>
            <m:t>≤</m:t>
          </m:r>
          <m:sSub>
            <m:e>
              <m:r>
                <m:t>η</m:t>
              </m:r>
            </m:e>
            <m:sub>
              <m:r>
                <m:t>2</m:t>
              </m:r>
            </m:sub>
          </m:sSub>
        </m:oMath>
      </m:oMathPara>
    </w:p>
    <w:p>
      <w:pPr>
        <w:pStyle w:val="FirstParagraph"/>
      </w:pPr>
      <w:r>
        <w:t xml:space="preserve">o que leva a uma IDF não separável em</w:t>
      </w:r>
      <w:r>
        <w:t xml:space="preserve"> </w:t>
      </w:r>
      <m:oMath>
        <m:r>
          <m:t>d</m:t>
        </m:r>
      </m:oMath>
      <w:r>
        <w:t xml:space="preserve"> </w:t>
      </w:r>
      <w:r>
        <w:t xml:space="preserve">e</w:t>
      </w:r>
      <w:r>
        <w:t xml:space="preserve"> </w:t>
      </w:r>
      <m:oMath>
        <m:r>
          <m:t>T</m:t>
        </m:r>
      </m:oMath>
      <w:r>
        <w:t xml:space="preserve">:</w:t>
      </w:r>
    </w:p>
    <w:p>
      <w:pPr>
        <w:pStyle w:val="BodyText"/>
      </w:pPr>
      <m:oMathPara>
        <m:oMathParaPr>
          <m:jc m:val="center"/>
        </m:oMathParaPr>
        <m:oMath>
          <m:sSub>
            <m:e>
              <m:r>
                <m:t>i</m:t>
              </m:r>
            </m:e>
            <m:sub>
              <m:r>
                <m:t>T</m:t>
              </m:r>
            </m:sub>
          </m:sSub>
          <m:d>
            <m:dPr>
              <m:begChr m:val="("/>
              <m:endChr m:val=")"/>
              <m:sepChr m:val=""/>
              <m:grow/>
            </m:dPr>
            <m:e>
              <m:r>
                <m:t>d</m:t>
              </m:r>
            </m:e>
          </m:d>
          <m:r>
            <m:rPr>
              <m:sty m:val="p"/>
            </m:rPr>
            <m:t>=</m:t>
          </m:r>
          <m:sSup>
            <m:e>
              <m:r>
                <m:t>d</m:t>
              </m:r>
            </m:e>
            <m:sup>
              <m:r>
                <m:rPr>
                  <m:sty m:val="p"/>
                </m:rPr>
                <m:t>−</m:t>
              </m:r>
              <m:sSub>
                <m:e>
                  <m:r>
                    <m:t>η</m:t>
                  </m:r>
                </m:e>
                <m:sub>
                  <m:r>
                    <m:t>1</m:t>
                  </m:r>
                </m:sub>
              </m:sSub>
            </m:sup>
          </m:sSup>
          <m:r>
            <m:t>​</m:t>
          </m:r>
          <m:d>
            <m:dPr>
              <m:begChr m:val="["/>
              <m:endChr m:val="]"/>
              <m:sepChr m:val=""/>
              <m:grow/>
            </m:dPr>
            <m:e>
              <m:r>
                <m:t>μ</m:t>
              </m:r>
              <m:r>
                <m:rPr>
                  <m:sty m:val="p"/>
                </m:rPr>
                <m:t>−</m:t>
              </m:r>
              <m:f>
                <m:fPr>
                  <m:type m:val="bar"/>
                </m:fPr>
                <m:num>
                  <m:sSup>
                    <m:e>
                      <m:r>
                        <m:t>d</m:t>
                      </m:r>
                    </m:e>
                    <m:sup>
                      <m:r>
                        <m:rPr>
                          <m:sty m:val="p"/>
                        </m:rPr>
                        <m:t>−</m:t>
                      </m:r>
                      <m:sSub>
                        <m:e>
                          <m:r>
                            <m:t>η</m:t>
                          </m:r>
                        </m:e>
                        <m:sub>
                          <m:r>
                            <m:t>2</m:t>
                          </m:r>
                        </m:sub>
                      </m:sSub>
                    </m:sup>
                  </m:sSup>
                  <m:r>
                    <m:t>σ</m:t>
                  </m:r>
                </m:num>
                <m:den>
                  <m:r>
                    <m:t>ξ</m:t>
                  </m:r>
                </m:den>
              </m:f>
              <m:r>
                <m:rPr>
                  <m:sty m:val="p"/>
                </m:rPr>
                <m:t>{</m:t>
              </m:r>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e>
          </m:d>
        </m:oMath>
      </m:oMathPara>
    </w:p>
    <w:p>
      <w:pPr>
        <w:pStyle w:val="FirstParagraph"/>
      </w:pPr>
      <w:r>
        <w:t xml:space="preserve">No limite da escala simples, recupera-se</w:t>
      </w:r>
      <w:r>
        <w:t xml:space="preserve"> </w:t>
      </w:r>
      <m:oMath>
        <m:sSub>
          <m:e>
            <m:r>
              <m:t>η</m:t>
            </m:r>
          </m:e>
          <m:sub>
            <m:r>
              <m:t>1</m:t>
            </m:r>
          </m:sub>
        </m:sSub>
        <m:r>
          <m:rPr>
            <m:sty m:val="p"/>
          </m:rPr>
          <m:t>=</m:t>
        </m:r>
        <m:sSub>
          <m:e>
            <m:r>
              <m:t>η</m:t>
            </m:r>
          </m:e>
          <m:sub>
            <m:r>
              <m:t>2</m:t>
            </m:r>
          </m:sub>
        </m:sSub>
        <m:r>
          <m:rPr>
            <m:sty m:val="p"/>
          </m:rPr>
          <m:t>=</m:t>
        </m:r>
        <m:r>
          <m:t>η</m:t>
        </m:r>
      </m:oMath>
      <w:r>
        <w:t xml:space="preserve"> </w:t>
      </w:r>
      <w:r>
        <w:t xml:space="preserve">e a forma separável usual. A estimação é feita em um framework Bayesiano, com critérios de comparação que indicam melhor desempenho e controle de complexidade (sem</w:t>
      </w:r>
      <w:r>
        <w:t xml:space="preserve"> </w:t>
      </w:r>
      <w:r>
        <w:rPr>
          <w:i/>
          <w:iCs/>
        </w:rPr>
        <w:t xml:space="preserve">overfitting</w:t>
      </w:r>
      <w:r>
        <w:t xml:space="preserve">) em relação a formulação de escala simples quando os dados sugerem comportamento multiescala.</w:t>
      </w:r>
    </w:p>
    <w:p>
      <w:pPr>
        <w:pStyle w:val="BodyText"/>
      </w:pPr>
      <w:r>
        <w:t xml:space="preserve">Cannon &amp; Innocenti (2018) avaliam mudanças projetadas em IDFs na América do Norte usando com base em dados subdiários e diários de simulações de modelos climáticos</w:t>
      </w:r>
      <w:r>
        <w:t xml:space="preserve"> </w:t>
      </w:r>
      <w:r>
        <w:rPr>
          <w:i/>
          <w:iCs/>
        </w:rPr>
        <w:t xml:space="preserve">convection-permitting</w:t>
      </w:r>
      <w:r>
        <w:t xml:space="preserve"> </w:t>
      </w:r>
      <w:r>
        <w:t xml:space="preserve">sob pseudo-aquecimento global para os períodos histórico e final do século XXI. Para contornar integrações curtas, aplicam um modelo GEV</w:t>
      </w:r>
      <w:r>
        <w:t xml:space="preserve"> </w:t>
      </w:r>
      <m:oMath>
        <m:d>
          <m:dPr>
            <m:begChr m:val="("/>
            <m:endChr m:val=")"/>
            <m:sepChr m:val=""/>
            <m:grow/>
          </m:dPr>
          <m:e>
            <m:sSub>
              <m:e>
                <m:r>
                  <m:t>μ</m:t>
                </m:r>
              </m:e>
              <m:sub>
                <m:r>
                  <m:t>0</m:t>
                </m:r>
              </m:sub>
            </m:sSub>
            <m:r>
              <m:rPr>
                <m:sty m:val="p"/>
              </m:rPr>
              <m:t>,</m:t>
            </m:r>
            <m:sSub>
              <m:e>
                <m:r>
                  <m:t>σ</m:t>
                </m:r>
              </m:e>
              <m:sub>
                <m:r>
                  <m:t>0</m:t>
                </m:r>
              </m:sub>
            </m:sSub>
            <m:r>
              <m:rPr>
                <m:sty m:val="p"/>
              </m:rPr>
              <m:t>,</m:t>
            </m:r>
            <m:r>
              <m:t>ξ</m:t>
            </m:r>
          </m:e>
        </m:d>
      </m:oMath>
      <w:r>
        <w:t xml:space="preserve">; com escala simples, os parâmetros para qualquer</w:t>
      </w:r>
      <w:r>
        <w:t xml:space="preserve"> </w:t>
      </w:r>
      <m:oMath>
        <m:r>
          <m:t>D</m:t>
        </m:r>
        <m:r>
          <m:rPr>
            <m:sty m:val="p"/>
          </m:rPr>
          <m:t>∈</m:t>
        </m:r>
        <m:d>
          <m:dPr>
            <m:begChr m:val="["/>
            <m:endChr m:val="]"/>
            <m:sepChr m:val=""/>
            <m:grow/>
          </m:dPr>
          <m:e>
            <m:r>
              <m:t>1</m:t>
            </m:r>
            <m:r>
              <m:rPr>
                <m:sty m:val="p"/>
              </m:rPr>
              <m:t>,</m:t>
            </m:r>
            <m:r>
              <m:t>24</m:t>
            </m:r>
          </m:e>
        </m:d>
      </m:oMath>
      <w:r>
        <w:t xml:space="preserve"> </w:t>
      </w:r>
      <w:r>
        <w:t xml:space="preserve">h obedecem</w:t>
      </w:r>
      <w:r>
        <w:t xml:space="preserve"> </w:t>
      </w:r>
      <m:oMath>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r>
              <m:t>0</m:t>
            </m:r>
          </m:sub>
        </m:sSub>
      </m:oMath>
      <w:r>
        <w:t xml:space="preserve">,</w:t>
      </w:r>
      <w:r>
        <w:t xml:space="preserve"> </w:t>
      </w:r>
      <m:oMath>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r>
              <m:t>0</m:t>
            </m:r>
          </m:sub>
        </m:sSub>
      </m:oMath>
      <w:r>
        <w:t xml:space="preserve"> </w:t>
      </w:r>
      <w:r>
        <w:t xml:space="preserve">e</w:t>
      </w:r>
      <w:r>
        <w:t xml:space="preserve"> </w:t>
      </w:r>
      <m:oMath>
        <m:sSub>
          <m:e>
            <m:r>
              <m:t>ξ</m:t>
            </m:r>
          </m:e>
          <m:sub>
            <m:r>
              <m:t>D</m:t>
            </m:r>
          </m:sub>
        </m:sSub>
        <m:r>
          <m:rPr>
            <m:sty m:val="p"/>
          </m:rPr>
          <m:t>=</m:t>
        </m:r>
        <m:r>
          <m:t>ξ</m:t>
        </m:r>
      </m:oMath>
      <w:r>
        <w:t xml:space="preserve">, produzindo a IDF</w:t>
      </w:r>
    </w:p>
    <w:p>
      <w:pPr>
        <w:pStyle w:val="BodyText"/>
      </w:pPr>
      <m:oMathPara>
        <m:oMathParaPr>
          <m:jc m:val="center"/>
        </m:oMathParaPr>
        <m:oMath>
          <m:sSub>
            <m:e>
              <m:r>
                <m:t>i</m:t>
              </m:r>
            </m:e>
            <m:sub>
              <m:r>
                <m:t>D</m:t>
              </m:r>
              <m:r>
                <m:rPr>
                  <m:sty m:val="p"/>
                </m:rPr>
                <m:t>,</m:t>
              </m:r>
              <m:r>
                <m:t>T</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m:t>
          </m:r>
          <m:d>
            <m:dPr>
              <m:begChr m:val="{"/>
              <m:endChr m:val="}"/>
              <m:sepChr m:val=""/>
              <m:grow/>
            </m:dPr>
            <m:e>
              <m:sSub>
                <m:e>
                  <m:r>
                    <m:t>μ</m:t>
                  </m:r>
                </m:e>
                <m:sub>
                  <m:r>
                    <m:t>0</m:t>
                  </m:r>
                </m:sub>
              </m:sSub>
              <m:r>
                <m:rPr>
                  <m:sty m:val="p"/>
                </m:rPr>
                <m:t>−</m:t>
              </m:r>
              <m:f>
                <m:fPr>
                  <m:type m:val="bar"/>
                </m:fPr>
                <m:num>
                  <m:sSub>
                    <m:e>
                      <m:r>
                        <m:t>σ</m:t>
                      </m:r>
                    </m:e>
                    <m:sub>
                      <m:r>
                        <m:t>0</m:t>
                      </m:r>
                    </m:sub>
                  </m:sSub>
                </m:num>
                <m:den>
                  <m:r>
                    <m:t>ξ</m:t>
                  </m:r>
                </m:den>
              </m:f>
              <m:d>
                <m:dPr>
                  <m:begChr m:val="["/>
                  <m:endChr m:val="]"/>
                  <m:sepChr m:val=""/>
                  <m:grow/>
                </m:dPr>
                <m:e>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e>
              </m:d>
            </m:e>
          </m:d>
        </m:oMath>
      </m:oMathPara>
    </w:p>
    <w:p>
      <w:pPr>
        <w:pStyle w:val="FirstParagraph"/>
      </w:pPr>
      <w:r>
        <w:t xml:space="preserve">Aqui,</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controlam o</w:t>
      </w:r>
      <w:r>
        <w:t xml:space="preserve"> </w:t>
      </w:r>
      <w:r>
        <w:t xml:space="preserve">“deslocamento”</w:t>
      </w:r>
      <w:r>
        <w:t xml:space="preserve"> </w:t>
      </w:r>
      <w:r>
        <w:t xml:space="preserve">vertical das IDFs,</w:t>
      </w:r>
      <w:r>
        <w:t xml:space="preserve"> </w:t>
      </w:r>
      <m:oMath>
        <m:r>
          <m:t>ξ</m:t>
        </m:r>
      </m:oMath>
      <w:r>
        <w:t xml:space="preserve"> </w:t>
      </w:r>
      <w:r>
        <w:t xml:space="preserve">a cauda, e</w:t>
      </w:r>
      <w:r>
        <w:t xml:space="preserve"> </w:t>
      </w:r>
      <m:oMath>
        <m:r>
          <m:t>η</m:t>
        </m:r>
      </m:oMath>
      <w:r>
        <w:t xml:space="preserve"> </w:t>
      </w:r>
      <w:r>
        <w:t xml:space="preserve">a inclinação comum em log–log;</w:t>
      </w:r>
      <w:r>
        <w:t xml:space="preserve"> </w:t>
      </w:r>
      <m:oMath>
        <m:r>
          <m:t>T</m:t>
        </m:r>
      </m:oMath>
      <w:r>
        <w:t xml:space="preserve"> </w:t>
      </w:r>
      <w:r>
        <w:t xml:space="preserve">é o período de retorno. A inferência é Bayesiana (MCMC) com seleção de mudanças via False Discovery Rate Bayesiano, e o ajuste é avaliado contra IDFs observadas (ECCC) e grades observacionais (CMORPH/MSWEP). O modelo mostrou boa confiabilidade para ≥10–15 min e permite extrapolar de 1 h a sub-horas com cautela. Encontram aumentos significativos e extensos na localização (&gt;99% dos pontos), escala (&gt;88%) e no expoente de escala (&gt;39%), resultando em IDFs mais altas e, em geral, mais íngremes (maiores ganhos em durações curtas; exceções relativas no leste dos EUA).</w:t>
      </w:r>
    </w:p>
    <w:p>
      <w:pPr>
        <w:pStyle w:val="BodyText"/>
      </w:pPr>
      <w:r>
        <w:t xml:space="preserve">Le et al. (2018) propõem um modelo de valores extremos espacial que combina a variabilidade de chuva extrema em múltiplas durações com a teoria de processos max-estáveis, visando estimar probabilidades condicionais de cheias entre bacias com tempos de resposta distintos. O artigo define um conjunto comum de parâmetros marginais (para a GEV) entre durações seguindo a formulação de Koutsoyiannis et al. (1998) que permite a reparametrização da distribuição GEV para ligá-la entre múltiplas durações. Em cada posto</w:t>
      </w:r>
      <w:r>
        <w:t xml:space="preserve"> </w:t>
      </w:r>
      <m:oMath>
        <m:r>
          <m:t>i</m:t>
        </m:r>
      </m:oMath>
      <w:r>
        <w:t xml:space="preserve">, as AMAX de duração</w:t>
      </w:r>
      <w:r>
        <w:t xml:space="preserve"> </w:t>
      </w:r>
      <m:oMath>
        <m:r>
          <m:t>d</m:t>
        </m:r>
        <m:r>
          <m:rPr>
            <m:sty m:val="p"/>
          </m:rPr>
          <m:t>∈</m:t>
        </m:r>
        <m:r>
          <m:t>1</m:t>
        </m:r>
        <m:r>
          <m:rPr>
            <m:sty m:val="p"/>
          </m:rPr>
          <m:t>,</m:t>
        </m:r>
        <m:r>
          <m:t>2</m:t>
        </m:r>
        <m:r>
          <m:rPr>
            <m:sty m:val="p"/>
          </m:rPr>
          <m:t>,</m:t>
        </m:r>
        <m:r>
          <m:t>3</m:t>
        </m:r>
        <m:r>
          <m:rPr>
            <m:sty m:val="p"/>
          </m:rPr>
          <m:t>,</m:t>
        </m:r>
        <m:r>
          <m:t>6</m:t>
        </m:r>
        <m:r>
          <m:rPr>
            <m:sty m:val="p"/>
          </m:rPr>
          <m:t>,</m:t>
        </m:r>
        <m:r>
          <m:t>12</m:t>
        </m:r>
        <m:r>
          <m:rPr>
            <m:sty m:val="p"/>
          </m:rPr>
          <m:t>,</m:t>
        </m:r>
        <m:r>
          <m:t>24</m:t>
        </m:r>
        <m:r>
          <m:rPr>
            <m:sty m:val="p"/>
          </m:rPr>
          <m:t>,</m:t>
        </m:r>
        <m:r>
          <m:rPr>
            <m:nor/>
            <m:sty m:val="p"/>
          </m:rPr>
          <m:t>h</m:t>
        </m:r>
      </m:oMath>
      <w:r>
        <w:t xml:space="preserve"> </w:t>
      </w:r>
      <w:r>
        <w:t xml:space="preserve">são descritas por um mesmo conjunto de parâmetros, mantendo constantes na duração a localização reduzida e na forma, enquanto toda a variação com</w:t>
      </w:r>
      <w:r>
        <w:t xml:space="preserve"> </w:t>
      </w:r>
      <m:oMath>
        <m:r>
          <m:t>d</m:t>
        </m:r>
      </m:oMath>
      <w:r>
        <w:t xml:space="preserve"> </w:t>
      </w:r>
      <w:r>
        <w:t xml:space="preserve">é empurrada para o parâmetro de escala por meio de dois termos de curvatura de curta duração. Assim, o problema cai de</w:t>
      </w:r>
      <w:r>
        <w:t xml:space="preserve"> </w:t>
      </w:r>
      <w:r>
        <w:t xml:space="preserve">“3 parâmetros × número de durações”</w:t>
      </w:r>
      <w:r>
        <w:t xml:space="preserve"> </w:t>
      </w:r>
      <w:r>
        <w:t xml:space="preserve">para cinco parâmetros por posto, o que viabiliza desagregar temporalmente, isto é, inferir quantis em durações pouco ou não observadas (p.ex., 1–3 h) a partir das demais (p.ex., 12–24 h), preservando a coerência entre janelas.</w:t>
      </w:r>
    </w:p>
    <w:p>
      <w:pPr>
        <w:pStyle w:val="BodyText"/>
      </w:pPr>
      <w:r>
        <w:t xml:space="preserve">Na prática, a calibração procede em camadas, com ênfase operacional na desagregação: (i) ajustam-se independentemente, em cada posto, as marginais GEV</w:t>
      </w:r>
      <w:r>
        <w:t xml:space="preserve"> </w:t>
      </w:r>
      <w:r>
        <w:t xml:space="preserve">“ligadas”</w:t>
      </w:r>
      <w:r>
        <w:t xml:space="preserve"> </w:t>
      </w:r>
      <w:r>
        <w:t xml:space="preserve">entre durações para obter os parametros; (ii) esses cinco parâmetros são espacializados (p.ex., thin-plate splines), gerando superfícies contínuas que permitem prever os parâmetros GEV em locais sem dados subdiários; (iii) usando as marginais, todas as séries (e durações) são transformadas para Fréchet padrão, o que coloca as durações numa base comum e facilita comparar/extender informação entre janelas; (iv) ajusta-se então um processo max-estável Brown–Resnick à dependência espacial/entre-durações, com um</w:t>
      </w:r>
      <w:r>
        <w:t xml:space="preserve"> </w:t>
      </w:r>
      <w:r>
        <w:t xml:space="preserve">“nugget de duração”</w:t>
      </w:r>
      <w:r>
        <w:t xml:space="preserve"> </w:t>
      </w:r>
      <w:r>
        <w:t xml:space="preserve">que enfraquece, de forma realista, a ligação entre extremos de janelas muito diferentes (p.ex., 24 h vs 1 h); (v) por fim, calculam-se probabilidades condicionais e níveis de retorno condicionais: dado um extremo observado ou projetado numa duração (ou bacia) mais bem monitorada, obtêm-se mapas e quantis compatíveis para outras durações e postos com pouca ou nenhuma observação de alta frequência.</w:t>
      </w:r>
    </w:p>
    <w:p>
      <w:pPr>
        <w:pStyle w:val="BodyText"/>
      </w:pPr>
      <w:r>
        <w:t xml:space="preserve">Na China, Gu et al. (2022) apresentam uma síntese abrangente de métodos e aplicações (AM, POT, PMP, não-estacionariedade, IDFs, incerteza e variabilidade espacial), útil como guia metodológico por região/clima.</w:t>
      </w:r>
    </w:p>
    <w:bookmarkEnd w:id="25"/>
    <w:bookmarkEnd w:id="26"/>
    <w:bookmarkStart w:id="125" w:name="noção-de-invariância-de-escala"/>
    <w:p>
      <w:pPr>
        <w:pStyle w:val="Heading2"/>
      </w:pPr>
      <w:r>
        <w:t xml:space="preserve">2 Noção de invariância de escala</w:t>
      </w:r>
    </w:p>
    <w:p>
      <w:pPr>
        <w:pStyle w:val="FirstParagraph"/>
      </w:pPr>
      <w:r>
        <w:t xml:space="preserve">Uma função qualquer</w:t>
      </w:r>
      <w:r>
        <w:t xml:space="preserve"> </w:t>
      </w:r>
      <m:oMath>
        <m:r>
          <m:t>f</m:t>
        </m:r>
        <m:d>
          <m:dPr>
            <m:begChr m:val="("/>
            <m:endChr m:val=")"/>
            <m:sepChr m:val=""/>
            <m:grow/>
          </m:dPr>
          <m:e>
            <m:r>
              <m:t>x</m:t>
            </m:r>
          </m:e>
        </m:d>
      </m:oMath>
      <w:r>
        <w:t xml:space="preserve"> </w:t>
      </w:r>
      <w:r>
        <w:t xml:space="preserve">possui a propiedade de ser invariante de escala se ela for proporcional a</w:t>
      </w:r>
      <w:r>
        <w:t xml:space="preserve"> </w:t>
      </w:r>
      <m:oMath>
        <m:r>
          <m:t>f</m:t>
        </m:r>
        <m:d>
          <m:dPr>
            <m:begChr m:val="("/>
            <m:endChr m:val=")"/>
            <m:sepChr m:val=""/>
            <m:grow/>
          </m:dPr>
          <m:e>
            <m:r>
              <m:t>λ</m:t>
            </m:r>
            <m:r>
              <m:t>x</m:t>
            </m:r>
          </m:e>
        </m:d>
      </m:oMath>
      <w:r>
        <w:t xml:space="preserve">, ou seja</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f</m:t>
          </m:r>
          <m:d>
            <m:dPr>
              <m:begChr m:val="("/>
              <m:endChr m:val=")"/>
              <m:sepChr m:val=""/>
              <m:grow/>
            </m:dPr>
            <m:e>
              <m:r>
                <m:t>λ</m:t>
              </m:r>
              <m:r>
                <m:t>x</m:t>
              </m:r>
            </m:e>
          </m:d>
        </m:oMath>
      </m:oMathPara>
    </w:p>
    <w:p>
      <w:pPr>
        <w:pStyle w:val="FirstParagraph"/>
      </w:pPr>
      <w:r>
        <w:t xml:space="preserve">em que</w:t>
      </w:r>
      <w:r>
        <w:t xml:space="preserve"> </w:t>
      </w:r>
      <m:oMath>
        <m:r>
          <m:t>C</m:t>
        </m:r>
        <m:d>
          <m:dPr>
            <m:begChr m:val="("/>
            <m:endChr m:val=")"/>
            <m:sepChr m:val=""/>
            <m:grow/>
          </m:dPr>
          <m:e>
            <m:r>
              <m:t>λ</m:t>
            </m:r>
          </m:e>
        </m:d>
      </m:oMath>
      <w:r>
        <w:t xml:space="preserve"> </w:t>
      </w:r>
      <w:r>
        <w:t xml:space="preserve">é uma constante de proporcionalidade que depende apenas do fator de escala</w:t>
      </w:r>
      <w:r>
        <w:t xml:space="preserve"> </w:t>
      </w:r>
      <m:oMath>
        <m:r>
          <m:t>λ</m:t>
        </m:r>
      </m:oMath>
      <w:r>
        <w:t xml:space="preserve">.</w:t>
      </w:r>
    </w:p>
    <w:bookmarkStart w:id="124" w:name="refs"/>
    <w:bookmarkStart w:id="28" w:name="ref-Abreu.2022"/>
    <w:p>
      <w:pPr>
        <w:pStyle w:val="Bibliography"/>
      </w:pPr>
      <w:r>
        <w:t xml:space="preserve">Abreu, Marcel Carvalho, Roberto Avelino Cecílio, Fernando Falco Pruski, Laura Thebit de Almeida, Gérson Rodrigues dos Santos, Sidney Sara Zanetti, Silvio Bueno Pereira, and Demetrius David da Silva. 2022.</w:t>
      </w:r>
      <w:r>
        <w:t xml:space="preserve"> </w:t>
      </w:r>
      <w:r>
        <w:t xml:space="preserve">“</w:t>
      </w:r>
      <w:r>
        <w:t xml:space="preserve">Daily Rainfall Disaggregation to Estimate the Intensity-Duration-Frequency Relationship in Minas Gerais State, Brazil</w:t>
      </w:r>
      <w:r>
        <w:t xml:space="preserve">.”</w:t>
      </w:r>
      <w:r>
        <w:t xml:space="preserve"> </w:t>
      </w:r>
      <w:r>
        <w:rPr>
          <w:i/>
          <w:iCs/>
        </w:rPr>
        <w:t xml:space="preserve">Brazilian Archives of Biology and Technology</w:t>
      </w:r>
      <w:r>
        <w:t xml:space="preserve"> </w:t>
      </w:r>
      <w:r>
        <w:t xml:space="preserve">65: e20210694.</w:t>
      </w:r>
      <w:r>
        <w:t xml:space="preserve"> </w:t>
      </w:r>
      <w:hyperlink r:id="rId27">
        <w:r>
          <w:rPr>
            <w:rStyle w:val="Hyperlink"/>
          </w:rPr>
          <w:t xml:space="preserve">https://doi.org/10.1590/1678-4324-2022210694</w:t>
        </w:r>
      </w:hyperlink>
      <w:r>
        <w:t xml:space="preserve">.</w:t>
      </w:r>
    </w:p>
    <w:bookmarkEnd w:id="28"/>
    <w:bookmarkStart w:id="30" w:name="ref-Aguilar.2020"/>
    <w:p>
      <w:pPr>
        <w:pStyle w:val="Bibliography"/>
      </w:pPr>
      <w:r>
        <w:t xml:space="preserve">Aguilar, Milena Guerra de, and Veber Afonso Figueiredo Costa. 2020.</w:t>
      </w:r>
      <w:r>
        <w:t xml:space="preserve"> </w:t>
      </w:r>
      <w:r>
        <w:t xml:space="preserve">“</w:t>
      </w:r>
      <w:r>
        <w:t xml:space="preserve">A regional similarity-based approach for sub-daily rainfall nonparametric generation</w:t>
      </w:r>
      <w:r>
        <w:t xml:space="preserve">.”</w:t>
      </w:r>
      <w:r>
        <w:t xml:space="preserve"> </w:t>
      </w:r>
      <w:r>
        <w:rPr>
          <w:i/>
          <w:iCs/>
        </w:rPr>
        <w:t xml:space="preserve">RBRH</w:t>
      </w:r>
      <w:r>
        <w:t xml:space="preserve"> </w:t>
      </w:r>
      <w:r>
        <w:t xml:space="preserve">25: e5.</w:t>
      </w:r>
      <w:r>
        <w:t xml:space="preserve"> </w:t>
      </w:r>
      <w:hyperlink r:id="rId29">
        <w:r>
          <w:rPr>
            <w:rStyle w:val="Hyperlink"/>
          </w:rPr>
          <w:t xml:space="preserve">https://doi.org/10.1590/2318-0331.252020190054</w:t>
        </w:r>
      </w:hyperlink>
      <w:r>
        <w:t xml:space="preserve">.</w:t>
      </w:r>
    </w:p>
    <w:bookmarkEnd w:id="30"/>
    <w:bookmarkStart w:id="32" w:name="ref-Baldassarre.2006"/>
    <w:p>
      <w:pPr>
        <w:pStyle w:val="Bibliography"/>
      </w:pPr>
      <w:r>
        <w:t xml:space="preserve">Baldassarre, G. Di, A. Brath, and A. Montanari. 2006.</w:t>
      </w:r>
      <w:r>
        <w:t xml:space="preserve"> </w:t>
      </w:r>
      <w:r>
        <w:t xml:space="preserve">“</w:t>
      </w:r>
      <w:r>
        <w:t xml:space="preserve">Reliability of different depth‐duration‐frequency equations for estimating short‐duration design storms</w:t>
      </w:r>
      <w:r>
        <w:t xml:space="preserve">.”</w:t>
      </w:r>
      <w:r>
        <w:t xml:space="preserve"> </w:t>
      </w:r>
      <w:r>
        <w:rPr>
          <w:i/>
          <w:iCs/>
        </w:rPr>
        <w:t xml:space="preserve">Water Resources Research</w:t>
      </w:r>
      <w:r>
        <w:t xml:space="preserve"> </w:t>
      </w:r>
      <w:r>
        <w:t xml:space="preserve">42 (12).</w:t>
      </w:r>
      <w:r>
        <w:t xml:space="preserve"> </w:t>
      </w:r>
      <w:hyperlink r:id="rId31">
        <w:r>
          <w:rPr>
            <w:rStyle w:val="Hyperlink"/>
          </w:rPr>
          <w:t xml:space="preserve">https://doi.org/10.1029/2006wr004911</w:t>
        </w:r>
      </w:hyperlink>
      <w:r>
        <w:t xml:space="preserve">.</w:t>
      </w:r>
    </w:p>
    <w:bookmarkEnd w:id="32"/>
    <w:bookmarkStart w:id="34" w:name="ref-Barbosa.2023gyg"/>
    <w:p>
      <w:pPr>
        <w:pStyle w:val="Bibliography"/>
      </w:pPr>
      <w:r>
        <w:t xml:space="preserve">Barbosa, Alan de Gois, and Veber A. F. Costa. 2023b.</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
          <w:iCs/>
        </w:rPr>
        <w:t xml:space="preserve">Stochastic Environmental Research and Risk Assessment</w:t>
      </w:r>
      <w:r>
        <w:t xml:space="preserve"> </w:t>
      </w:r>
      <w:r>
        <w:t xml:space="preserve">37 (12): 4541–53.</w:t>
      </w:r>
      <w:r>
        <w:t xml:space="preserve"> </w:t>
      </w:r>
      <w:hyperlink r:id="rId33">
        <w:r>
          <w:rPr>
            <w:rStyle w:val="Hyperlink"/>
          </w:rPr>
          <w:t xml:space="preserve">https://doi.org/10.1007/s00477-023-02546-6</w:t>
        </w:r>
      </w:hyperlink>
      <w:r>
        <w:t xml:space="preserve">.</w:t>
      </w:r>
    </w:p>
    <w:bookmarkEnd w:id="34"/>
    <w:bookmarkStart w:id="35" w:name="ref-Barbosa.2023"/>
    <w:p>
      <w:pPr>
        <w:pStyle w:val="Bibliography"/>
      </w:pPr>
      <w:r>
        <w:t xml:space="preserve">———. 2023a.</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
          <w:iCs/>
        </w:rPr>
        <w:t xml:space="preserve">Stochastic Environmental Research and Risk Assessment</w:t>
      </w:r>
      <w:r>
        <w:t xml:space="preserve"> </w:t>
      </w:r>
      <w:r>
        <w:t xml:space="preserve">37 (12): 4541–53.</w:t>
      </w:r>
      <w:r>
        <w:t xml:space="preserve"> </w:t>
      </w:r>
      <w:hyperlink r:id="rId33">
        <w:r>
          <w:rPr>
            <w:rStyle w:val="Hyperlink"/>
          </w:rPr>
          <w:t xml:space="preserve">https://doi.org/10.1007/s00477-023-02546-6</w:t>
        </w:r>
      </w:hyperlink>
      <w:r>
        <w:t xml:space="preserve">.</w:t>
      </w:r>
    </w:p>
    <w:bookmarkEnd w:id="35"/>
    <w:bookmarkStart w:id="37" w:name="ref-Basso.2016"/>
    <w:p>
      <w:pPr>
        <w:pStyle w:val="Bibliography"/>
      </w:pPr>
      <w:r>
        <w:t xml:space="preserve">Basso, Raviel Eurico, Daniel Gustavo Allasia, Rutinéia Tassi, and Karine Pickbrenner. 2016.</w:t>
      </w:r>
      <w:r>
        <w:t xml:space="preserve"> </w:t>
      </w:r>
      <w:r>
        <w:t xml:space="preserve">“</w:t>
      </w:r>
      <w:r>
        <w:t xml:space="preserve">Review of the high intensity rainfall zones of Brazil</w:t>
      </w:r>
      <w:r>
        <w:t xml:space="preserve">.”</w:t>
      </w:r>
      <w:r>
        <w:t xml:space="preserve"> </w:t>
      </w:r>
      <w:r>
        <w:rPr>
          <w:i/>
          <w:iCs/>
        </w:rPr>
        <w:t xml:space="preserve">Engenharia Sanitaria e Ambiental</w:t>
      </w:r>
      <w:r>
        <w:t xml:space="preserve"> </w:t>
      </w:r>
      <w:r>
        <w:t xml:space="preserve">21 (04): 635–41.</w:t>
      </w:r>
      <w:r>
        <w:t xml:space="preserve"> </w:t>
      </w:r>
      <w:hyperlink r:id="rId36">
        <w:r>
          <w:rPr>
            <w:rStyle w:val="Hyperlink"/>
          </w:rPr>
          <w:t xml:space="preserve">https://doi.org/10.1590/s1413-41522016133691</w:t>
        </w:r>
      </w:hyperlink>
      <w:r>
        <w:t xml:space="preserve">.</w:t>
      </w:r>
    </w:p>
    <w:bookmarkEnd w:id="37"/>
    <w:bookmarkStart w:id="39" w:name="ref-Benestad.2021"/>
    <w:p>
      <w:pPr>
        <w:pStyle w:val="Bibliography"/>
      </w:pPr>
      <w:r>
        <w:t xml:space="preserve">Benestad, Rasmus E, Julia Lutz, Anita Verpe Dyrrdal, Jan Erik Haugen, Kajsa M Parding, and Andreas Dobler. 2021.</w:t>
      </w:r>
      <w:r>
        <w:t xml:space="preserve"> </w:t>
      </w:r>
      <w:r>
        <w:t xml:space="preserve">“</w:t>
      </w:r>
      <w:r>
        <w:t xml:space="preserve">Testing a simple formula for calculating approximate intensity-duration-frequency curves</w:t>
      </w:r>
      <w:r>
        <w:t xml:space="preserve">.”</w:t>
      </w:r>
      <w:r>
        <w:t xml:space="preserve"> </w:t>
      </w:r>
      <w:r>
        <w:rPr>
          <w:i/>
          <w:iCs/>
        </w:rPr>
        <w:t xml:space="preserve">Environmental Research Letters</w:t>
      </w:r>
      <w:r>
        <w:t xml:space="preserve"> </w:t>
      </w:r>
      <w:r>
        <w:t xml:space="preserve">16 (4): 044009.</w:t>
      </w:r>
      <w:r>
        <w:t xml:space="preserve"> </w:t>
      </w:r>
      <w:hyperlink r:id="rId38">
        <w:r>
          <w:rPr>
            <w:rStyle w:val="Hyperlink"/>
          </w:rPr>
          <w:t xml:space="preserve">https://doi.org/10.1088/1748-9326/abd4ab</w:t>
        </w:r>
      </w:hyperlink>
      <w:r>
        <w:t xml:space="preserve">.</w:t>
      </w:r>
    </w:p>
    <w:bookmarkEnd w:id="39"/>
    <w:bookmarkStart w:id="41" w:name="ref-Blancheti5"/>
    <w:p>
      <w:pPr>
        <w:pStyle w:val="Bibliography"/>
      </w:pPr>
      <w:r>
        <w:t xml:space="preserve">Blanchet, J., D. Ceresetti, G. Molinié, and J.-D. Creutin. 2016.</w:t>
      </w:r>
      <w:r>
        <w:t xml:space="preserve"> </w:t>
      </w:r>
      <w:r>
        <w:t xml:space="preserve">“</w:t>
      </w:r>
      <w:r>
        <w:t xml:space="preserve">A regional GEV scale-invariant framework for Intensity–Duration–Frequency analysis</w:t>
      </w:r>
      <w:r>
        <w:t xml:space="preserve">.”</w:t>
      </w:r>
      <w:r>
        <w:t xml:space="preserve"> </w:t>
      </w:r>
      <w:r>
        <w:rPr>
          <w:i/>
          <w:iCs/>
        </w:rPr>
        <w:t xml:space="preserve">Journal of Hydrology</w:t>
      </w:r>
      <w:r>
        <w:t xml:space="preserve"> </w:t>
      </w:r>
      <w:r>
        <w:t xml:space="preserve">540: 82–95.</w:t>
      </w:r>
      <w:r>
        <w:t xml:space="preserve"> </w:t>
      </w:r>
      <w:hyperlink r:id="rId40">
        <w:r>
          <w:rPr>
            <w:rStyle w:val="Hyperlink"/>
          </w:rPr>
          <w:t xml:space="preserve">https://doi.org/10.1016/j.jhydrol.2016.06.007</w:t>
        </w:r>
      </w:hyperlink>
      <w:r>
        <w:t xml:space="preserve">.</w:t>
      </w:r>
    </w:p>
    <w:bookmarkEnd w:id="41"/>
    <w:bookmarkStart w:id="43" w:name="ref-Bonaccorso.2020"/>
    <w:p>
      <w:pPr>
        <w:pStyle w:val="Bibliography"/>
      </w:pPr>
      <w:r>
        <w:t xml:space="preserve">Bonaccorso, Brunella, Giuseppina Brigandì, and Giuseppe T. Aronica. 2020.</w:t>
      </w:r>
      <w:r>
        <w:t xml:space="preserve"> </w:t>
      </w:r>
      <w:r>
        <w:t xml:space="preserve">“</w:t>
      </w:r>
      <w:r>
        <w:t xml:space="preserve">Regional sub-hourly extreme rainfall estimates in Sicily under a scale invariance framework</w:t>
      </w:r>
      <w:r>
        <w:t xml:space="preserve">.”</w:t>
      </w:r>
      <w:r>
        <w:t xml:space="preserve"> </w:t>
      </w:r>
      <w:r>
        <w:rPr>
          <w:i/>
          <w:iCs/>
        </w:rPr>
        <w:t xml:space="preserve">Water Resources Management</w:t>
      </w:r>
      <w:r>
        <w:t xml:space="preserve"> </w:t>
      </w:r>
      <w:r>
        <w:t xml:space="preserve">34 (14): 4363–80.</w:t>
      </w:r>
      <w:r>
        <w:t xml:space="preserve"> </w:t>
      </w:r>
      <w:hyperlink r:id="rId42">
        <w:r>
          <w:rPr>
            <w:rStyle w:val="Hyperlink"/>
          </w:rPr>
          <w:t xml:space="preserve">https://doi.org/10.1007/s11269-020-02667-5</w:t>
        </w:r>
      </w:hyperlink>
      <w:r>
        <w:t xml:space="preserve">.</w:t>
      </w:r>
    </w:p>
    <w:bookmarkEnd w:id="43"/>
    <w:bookmarkStart w:id="45" w:name="ref-Borga.2005"/>
    <w:p>
      <w:pPr>
        <w:pStyle w:val="Bibliography"/>
      </w:pPr>
      <w:r>
        <w:t xml:space="preserve">Borga, Marco, Claudia Vezzani, and Giancarlo Dalla Fontana. 2005.</w:t>
      </w:r>
      <w:r>
        <w:t xml:space="preserve"> </w:t>
      </w:r>
      <w:r>
        <w:t xml:space="preserve">“</w:t>
      </w:r>
      <w:r>
        <w:t xml:space="preserve">Regional Rainfall Depth–Duration–Frequency Equations for an Alpine Region</w:t>
      </w:r>
      <w:r>
        <w:t xml:space="preserve">.”</w:t>
      </w:r>
      <w:r>
        <w:t xml:space="preserve"> </w:t>
      </w:r>
      <w:r>
        <w:rPr>
          <w:i/>
          <w:iCs/>
        </w:rPr>
        <w:t xml:space="preserve">Natural Hazards</w:t>
      </w:r>
      <w:r>
        <w:t xml:space="preserve"> </w:t>
      </w:r>
      <w:r>
        <w:t xml:space="preserve">36 (1-2): 221–35.</w:t>
      </w:r>
      <w:r>
        <w:t xml:space="preserve"> </w:t>
      </w:r>
      <w:hyperlink r:id="rId44">
        <w:r>
          <w:rPr>
            <w:rStyle w:val="Hyperlink"/>
          </w:rPr>
          <w:t xml:space="preserve">https://doi.org/10.1007/s11069-004-4550-y</w:t>
        </w:r>
      </w:hyperlink>
      <w:r>
        <w:t xml:space="preserve">.</w:t>
      </w:r>
    </w:p>
    <w:bookmarkEnd w:id="45"/>
    <w:bookmarkStart w:id="47" w:name="ref-Burlando.1996"/>
    <w:p>
      <w:pPr>
        <w:pStyle w:val="Bibliography"/>
      </w:pPr>
      <w:r>
        <w:t xml:space="preserve">Burlando, Paolo, and Renzo Rosso. 1996.</w:t>
      </w:r>
      <w:r>
        <w:t xml:space="preserve"> </w:t>
      </w:r>
      <w:r>
        <w:t xml:space="preserve">“</w:t>
      </w:r>
      <w:r>
        <w:t xml:space="preserve">Scaling and muitiscaling models of depth-duration-frequency curves for storm precipitation</w:t>
      </w:r>
      <w:r>
        <w:t xml:space="preserve">.”</w:t>
      </w:r>
      <w:r>
        <w:t xml:space="preserve"> </w:t>
      </w:r>
      <w:r>
        <w:rPr>
          <w:i/>
          <w:iCs/>
        </w:rPr>
        <w:t xml:space="preserve">Journal of Hydrology</w:t>
      </w:r>
      <w:r>
        <w:t xml:space="preserve"> </w:t>
      </w:r>
      <w:r>
        <w:t xml:space="preserve">187 (1-2): 45–64.</w:t>
      </w:r>
      <w:r>
        <w:t xml:space="preserve"> </w:t>
      </w:r>
      <w:hyperlink r:id="rId46">
        <w:r>
          <w:rPr>
            <w:rStyle w:val="Hyperlink"/>
          </w:rPr>
          <w:t xml:space="preserve">https://doi.org/10.1016/s0022-1694(96)03086-7</w:t>
        </w:r>
      </w:hyperlink>
      <w:r>
        <w:t xml:space="preserve">.</w:t>
      </w:r>
    </w:p>
    <w:bookmarkEnd w:id="47"/>
    <w:bookmarkStart w:id="49" w:name="ref-Cannon.2018"/>
    <w:p>
      <w:pPr>
        <w:pStyle w:val="Bibliography"/>
      </w:pPr>
      <w:r>
        <w:t xml:space="preserve">Cannon, Alex J, and Silvia Innocenti. 2018.</w:t>
      </w:r>
      <w:r>
        <w:t xml:space="preserve"> </w:t>
      </w:r>
      <w:r>
        <w:t xml:space="preserve">“</w:t>
      </w:r>
      <w:r>
        <w:t xml:space="preserve">Projected intensification of sub-daily and daily rainfall extremes in convection-permitting climate model simulations over North America: Implications for future Intensity–Duration–Frequency curves</w:t>
      </w:r>
      <w:r>
        <w:t xml:space="preserve">.”</w:t>
      </w:r>
      <w:r>
        <w:t xml:space="preserve"> </w:t>
      </w:r>
      <w:hyperlink r:id="rId48">
        <w:r>
          <w:rPr>
            <w:rStyle w:val="Hyperlink"/>
          </w:rPr>
          <w:t xml:space="preserve">https://doi.org/10.5194/nhess-2018-290</w:t>
        </w:r>
      </w:hyperlink>
      <w:r>
        <w:t xml:space="preserve">.</w:t>
      </w:r>
    </w:p>
    <w:bookmarkEnd w:id="49"/>
    <w:bookmarkStart w:id="51" w:name="ref-Cooley.2010"/>
    <w:p>
      <w:pPr>
        <w:pStyle w:val="Bibliography"/>
      </w:pPr>
      <w:r>
        <w:t xml:space="preserve">Cooley, Daniel, and Stephan R. Sain. 2010.</w:t>
      </w:r>
      <w:r>
        <w:t xml:space="preserve"> </w:t>
      </w:r>
      <w:r>
        <w:t xml:space="preserve">“</w:t>
      </w:r>
      <w:r>
        <w:t xml:space="preserve">Spatial Hierarchical Modeling of Precipitation Extremes From a Regional Climate Model</w:t>
      </w:r>
      <w:r>
        <w:t xml:space="preserve">.”</w:t>
      </w:r>
      <w:r>
        <w:t xml:space="preserve"> </w:t>
      </w:r>
      <w:r>
        <w:rPr>
          <w:i/>
          <w:iCs/>
        </w:rPr>
        <w:t xml:space="preserve">Journal of Agricultural, Biological, and Environmental Statistics</w:t>
      </w:r>
      <w:r>
        <w:t xml:space="preserve"> </w:t>
      </w:r>
      <w:r>
        <w:t xml:space="preserve">15 (3): 381–402.</w:t>
      </w:r>
      <w:r>
        <w:t xml:space="preserve"> </w:t>
      </w:r>
      <w:hyperlink r:id="rId50">
        <w:r>
          <w:rPr>
            <w:rStyle w:val="Hyperlink"/>
          </w:rPr>
          <w:t xml:space="preserve">https://doi.org/10.1007/s13253-010-0023-9</w:t>
        </w:r>
      </w:hyperlink>
      <w:r>
        <w:t xml:space="preserve">.</w:t>
      </w:r>
    </w:p>
    <w:bookmarkEnd w:id="51"/>
    <w:bookmarkStart w:id="53" w:name="ref-Courty.2019"/>
    <w:p>
      <w:pPr>
        <w:pStyle w:val="Bibliography"/>
      </w:pPr>
      <w:r>
        <w:t xml:space="preserve">Courty, Laurent G, Robert L Wilby, John K Hillier, and Louise J Slater. 2019.</w:t>
      </w:r>
      <w:r>
        <w:t xml:space="preserve"> </w:t>
      </w:r>
      <w:r>
        <w:t xml:space="preserve">“</w:t>
      </w:r>
      <w:r>
        <w:t xml:space="preserve">Intensity-duration-frequency curves at the global scale</w:t>
      </w:r>
      <w:r>
        <w:t xml:space="preserve">.”</w:t>
      </w:r>
      <w:r>
        <w:t xml:space="preserve"> </w:t>
      </w:r>
      <w:r>
        <w:rPr>
          <w:i/>
          <w:iCs/>
        </w:rPr>
        <w:t xml:space="preserve">Environmental Research Letters</w:t>
      </w:r>
      <w:r>
        <w:t xml:space="preserve"> </w:t>
      </w:r>
      <w:r>
        <w:t xml:space="preserve">14 (8): 084045.</w:t>
      </w:r>
      <w:r>
        <w:t xml:space="preserve"> </w:t>
      </w:r>
      <w:hyperlink r:id="rId52">
        <w:r>
          <w:rPr>
            <w:rStyle w:val="Hyperlink"/>
          </w:rPr>
          <w:t xml:space="preserve">https://doi.org/10.1088/1748-9326/ab370a</w:t>
        </w:r>
      </w:hyperlink>
      <w:r>
        <w:t xml:space="preserve">.</w:t>
      </w:r>
    </w:p>
    <w:bookmarkEnd w:id="53"/>
    <w:bookmarkStart w:id="55" w:name="ref-Creaco.2024"/>
    <w:p>
      <w:pPr>
        <w:pStyle w:val="Bibliography"/>
      </w:pPr>
      <w:r>
        <w:t xml:space="preserve">Creaco, Enrico. 2024.</w:t>
      </w:r>
      <w:r>
        <w:t xml:space="preserve"> </w:t>
      </w:r>
      <w:r>
        <w:t xml:space="preserve">“</w:t>
      </w:r>
      <w:r>
        <w:t xml:space="preserve">Scaling models of intensity–duration–frequency (IDF) curves based on adjusted design event durations</w:t>
      </w:r>
      <w:r>
        <w:t xml:space="preserve">.”</w:t>
      </w:r>
      <w:r>
        <w:t xml:space="preserve"> </w:t>
      </w:r>
      <w:r>
        <w:rPr>
          <w:i/>
          <w:iCs/>
        </w:rPr>
        <w:t xml:space="preserve">Journal of Hydrology</w:t>
      </w:r>
      <w:r>
        <w:t xml:space="preserve"> </w:t>
      </w:r>
      <w:r>
        <w:t xml:space="preserve">632: 130847.</w:t>
      </w:r>
      <w:r>
        <w:t xml:space="preserve"> </w:t>
      </w:r>
      <w:hyperlink r:id="rId54">
        <w:r>
          <w:rPr>
            <w:rStyle w:val="Hyperlink"/>
          </w:rPr>
          <w:t xml:space="preserve">https://doi.org/10.1016/j.jhydrol.2024.130847</w:t>
        </w:r>
      </w:hyperlink>
      <w:r>
        <w:t xml:space="preserve">.</w:t>
      </w:r>
    </w:p>
    <w:bookmarkEnd w:id="55"/>
    <w:bookmarkStart w:id="57" w:name="ref-Fowler.2024"/>
    <w:p>
      <w:pPr>
        <w:pStyle w:val="Bibliography"/>
      </w:pPr>
      <w:r>
        <w:t xml:space="preserve">Fowler, Hayley, Amy Green, Elizabeth Lewis, David Pritchard, Stephen Blenkinsop, Luis Patino Velasquez, and Anna Whitford. 2024.</w:t>
      </w:r>
      <w:r>
        <w:t xml:space="preserve"> </w:t>
      </w:r>
      <w:r>
        <w:t xml:space="preserve">“</w:t>
      </w:r>
      <w:r>
        <w:t xml:space="preserve">Unveiling global sub-daily precipitation extremes: Insights and development of the INTENSE Project&amp;#160;</w:t>
      </w:r>
      <w:r>
        <w:t xml:space="preserve">”</w:t>
      </w:r>
      <w:r>
        <w:t xml:space="preserve"> </w:t>
      </w:r>
      <w:hyperlink r:id="rId56">
        <w:r>
          <w:rPr>
            <w:rStyle w:val="Hyperlink"/>
          </w:rPr>
          <w:t xml:space="preserve">https://doi.org/10.5194/egusphere-egu24-19552</w:t>
        </w:r>
      </w:hyperlink>
      <w:r>
        <w:t xml:space="preserve">.</w:t>
      </w:r>
    </w:p>
    <w:bookmarkEnd w:id="57"/>
    <w:bookmarkStart w:id="59" w:name="ref-Ghanmi.2016"/>
    <w:p>
      <w:pPr>
        <w:pStyle w:val="Bibliography"/>
      </w:pPr>
      <w:r>
        <w:t xml:space="preserve">Ghanmi, Hanen, Zoubeida Bargaoui, and Cécile Mallet. 2016.</w:t>
      </w:r>
      <w:r>
        <w:t xml:space="preserve"> </w:t>
      </w:r>
      <w:r>
        <w:t xml:space="preserve">“</w:t>
      </w:r>
      <w:r>
        <w:t xml:space="preserve">Estimation of intensity-duration-frequency relationships according to the property of scale invariance and regionalization analysis in a Mediterranean coastal area</w:t>
      </w:r>
      <w:r>
        <w:t xml:space="preserve">.”</w:t>
      </w:r>
      <w:r>
        <w:t xml:space="preserve"> </w:t>
      </w:r>
      <w:r>
        <w:rPr>
          <w:i/>
          <w:iCs/>
        </w:rPr>
        <w:t xml:space="preserve">Journal of Hydrology</w:t>
      </w:r>
      <w:r>
        <w:t xml:space="preserve"> </w:t>
      </w:r>
      <w:r>
        <w:t xml:space="preserve">541: 38–49.</w:t>
      </w:r>
      <w:r>
        <w:t xml:space="preserve"> </w:t>
      </w:r>
      <w:hyperlink r:id="rId58">
        <w:r>
          <w:rPr>
            <w:rStyle w:val="Hyperlink"/>
          </w:rPr>
          <w:t xml:space="preserve">https://doi.org/10.1016/j.jhydrol.2016.07.002</w:t>
        </w:r>
      </w:hyperlink>
      <w:r>
        <w:t xml:space="preserve">.</w:t>
      </w:r>
    </w:p>
    <w:bookmarkEnd w:id="59"/>
    <w:bookmarkStart w:id="61" w:name="ref-Gnecco.2023"/>
    <w:p>
      <w:pPr>
        <w:pStyle w:val="Bibliography"/>
      </w:pPr>
      <w:r>
        <w:t xml:space="preserve">Gnecco, Ilaria, Anna Palla, Paolo La Barbera, Giorgio Roth, and Francesca Giannoni. 2023.</w:t>
      </w:r>
      <w:r>
        <w:t xml:space="preserve"> </w:t>
      </w:r>
      <w:r>
        <w:t xml:space="preserve">“</w:t>
      </w:r>
      <w:r>
        <w:t xml:space="preserve">Defining intensity–duration–frequency curves at short durations: a methodological framework</w:t>
      </w:r>
      <w:r>
        <w:t xml:space="preserve">.”</w:t>
      </w:r>
      <w:r>
        <w:t xml:space="preserve"> </w:t>
      </w:r>
      <w:r>
        <w:rPr>
          <w:i/>
          <w:iCs/>
        </w:rPr>
        <w:t xml:space="preserve">Hydrological Sciences Journal</w:t>
      </w:r>
      <w:r>
        <w:t xml:space="preserve"> </w:t>
      </w:r>
      <w:r>
        <w:t xml:space="preserve">68 (11): 1499–1512.</w:t>
      </w:r>
      <w:r>
        <w:t xml:space="preserve"> </w:t>
      </w:r>
      <w:hyperlink r:id="rId60">
        <w:r>
          <w:rPr>
            <w:rStyle w:val="Hyperlink"/>
          </w:rPr>
          <w:t xml:space="preserve">https://doi.org/10.1080/02626667.2023.2224002</w:t>
        </w:r>
      </w:hyperlink>
      <w:r>
        <w:t xml:space="preserve">.</w:t>
      </w:r>
    </w:p>
    <w:bookmarkEnd w:id="61"/>
    <w:bookmarkStart w:id="63" w:name="ref-Gu.2022"/>
    <w:p>
      <w:pPr>
        <w:pStyle w:val="Bibliography"/>
      </w:pPr>
      <w:r>
        <w:t xml:space="preserve">Gu, Xuezhi, Lei Ye, Qian Xin, Chi Zhang, Fanzhang Zeng, Sofia D. Nerantzaki, and Simon Michael Papalexiou. 2022.</w:t>
      </w:r>
      <w:r>
        <w:t xml:space="preserve"> </w:t>
      </w:r>
      <w:r>
        <w:t xml:space="preserve">“</w:t>
      </w:r>
      <w:r>
        <w:t xml:space="preserve">Extreme Precipitation in China: A Review on Statistical Methods and Applications</w:t>
      </w:r>
      <w:r>
        <w:t xml:space="preserve">.”</w:t>
      </w:r>
      <w:r>
        <w:t xml:space="preserve"> </w:t>
      </w:r>
      <w:r>
        <w:rPr>
          <w:i/>
          <w:iCs/>
        </w:rPr>
        <w:t xml:space="preserve">Advances in Water Resources</w:t>
      </w:r>
      <w:r>
        <w:t xml:space="preserve"> </w:t>
      </w:r>
      <w:r>
        <w:t xml:space="preserve">163: 104144.</w:t>
      </w:r>
      <w:r>
        <w:t xml:space="preserve"> </w:t>
      </w:r>
      <w:hyperlink r:id="rId62">
        <w:r>
          <w:rPr>
            <w:rStyle w:val="Hyperlink"/>
          </w:rPr>
          <w:t xml:space="preserve">https://doi.org/10.1016/j.advwatres.2022.104144</w:t>
        </w:r>
      </w:hyperlink>
      <w:r>
        <w:t xml:space="preserve">.</w:t>
      </w:r>
    </w:p>
    <w:bookmarkEnd w:id="63"/>
    <w:bookmarkStart w:id="65" w:name="ref-Guerreiro.2024ji"/>
    <w:p>
      <w:pPr>
        <w:pStyle w:val="Bibliography"/>
      </w:pPr>
      <w:r>
        <w:t xml:space="preserve">Guerreiro, Selma B., Stephen Blenkinsop, Elizabeth Lewis, David Pritchard, Amy Green, and Hayley J. Fowler. 2024.</w:t>
      </w:r>
      <w:r>
        <w:t xml:space="preserve"> </w:t>
      </w:r>
      <w:r>
        <w:t xml:space="preserve">“</w:t>
      </w:r>
      <w:r>
        <w:t xml:space="preserve">Unravelling the complex interplay between daily and sub-daily rainfall extremes in different climates</w:t>
      </w:r>
      <w:r>
        <w:t xml:space="preserve">.”</w:t>
      </w:r>
      <w:r>
        <w:t xml:space="preserve"> </w:t>
      </w:r>
      <w:r>
        <w:rPr>
          <w:i/>
          <w:iCs/>
        </w:rPr>
        <w:t xml:space="preserve">Weather and Climate Extremes</w:t>
      </w:r>
      <w:r>
        <w:t xml:space="preserve"> </w:t>
      </w:r>
      <w:r>
        <w:t xml:space="preserve">46: 100735.</w:t>
      </w:r>
      <w:r>
        <w:t xml:space="preserve"> </w:t>
      </w:r>
      <w:hyperlink r:id="rId64">
        <w:r>
          <w:rPr>
            <w:rStyle w:val="Hyperlink"/>
          </w:rPr>
          <w:t xml:space="preserve">https://doi.org/10.1016/j.wace.2024.100735</w:t>
        </w:r>
      </w:hyperlink>
      <w:r>
        <w:t xml:space="preserve">.</w:t>
      </w:r>
    </w:p>
    <w:bookmarkEnd w:id="65"/>
    <w:bookmarkStart w:id="67" w:name="ref-Guerreiro.2024"/>
    <w:p>
      <w:pPr>
        <w:pStyle w:val="Bibliography"/>
      </w:pPr>
      <w:r>
        <w:t xml:space="preserve">Guerreiro, Selma de Brito, Stephen Blenkinsop, Elizabeth Lewis, David Pritchard, Amy Charlotte Green, and Hayley J Fowler. 2024.</w:t>
      </w:r>
      <w:r>
        <w:t xml:space="preserve"> </w:t>
      </w:r>
      <w:r>
        <w:t xml:space="preserve">“</w:t>
      </w:r>
      <w:r>
        <w:t xml:space="preserve">Unravelling the Complex Interplay between Daily and Sub-Daily Rainfall Extremes in Different Climates</w:t>
      </w:r>
      <w:r>
        <w:t xml:space="preserve">.”</w:t>
      </w:r>
      <w:r>
        <w:t xml:space="preserve"> </w:t>
      </w:r>
      <w:hyperlink r:id="rId66">
        <w:r>
          <w:rPr>
            <w:rStyle w:val="Hyperlink"/>
          </w:rPr>
          <w:t xml:space="preserve">https://doi.org/10.2139/ssrn.4749709</w:t>
        </w:r>
      </w:hyperlink>
      <w:r>
        <w:t xml:space="preserve">.</w:t>
      </w:r>
    </w:p>
    <w:bookmarkEnd w:id="67"/>
    <w:bookmarkStart w:id="69" w:name="ref-Gupta.1990"/>
    <w:p>
      <w:pPr>
        <w:pStyle w:val="Bibliography"/>
      </w:pPr>
      <w:r>
        <w:t xml:space="preserve">Gupta, Vijay K., and Ed Waymire. 1990.</w:t>
      </w:r>
      <w:r>
        <w:t xml:space="preserve"> </w:t>
      </w:r>
      <w:r>
        <w:t xml:space="preserve">“</w:t>
      </w:r>
      <w:r>
        <w:t xml:space="preserve">Multiscaling properties of spatial rainfall and river flow distributions</w:t>
      </w:r>
      <w:r>
        <w:t xml:space="preserve">.”</w:t>
      </w:r>
      <w:r>
        <w:t xml:space="preserve"> </w:t>
      </w:r>
      <w:r>
        <w:rPr>
          <w:i/>
          <w:iCs/>
        </w:rPr>
        <w:t xml:space="preserve">Journal of Geophysical Research: Atmospheres</w:t>
      </w:r>
      <w:r>
        <w:t xml:space="preserve"> </w:t>
      </w:r>
      <w:r>
        <w:t xml:space="preserve">95 (D3): 1999–2009.</w:t>
      </w:r>
      <w:r>
        <w:t xml:space="preserve"> </w:t>
      </w:r>
      <w:hyperlink r:id="rId68">
        <w:r>
          <w:rPr>
            <w:rStyle w:val="Hyperlink"/>
          </w:rPr>
          <w:t xml:space="preserve">https://doi.org/10.1029/jd095id03p01999</w:t>
        </w:r>
      </w:hyperlink>
      <w:r>
        <w:t xml:space="preserve">.</w:t>
      </w:r>
    </w:p>
    <w:bookmarkEnd w:id="69"/>
    <w:bookmarkStart w:id="71" w:name="ref-Innocenti.2017"/>
    <w:p>
      <w:pPr>
        <w:pStyle w:val="Bibliography"/>
      </w:pPr>
      <w:r>
        <w:t xml:space="preserve">Innocenti, Silvia, Alain Mailhot, and Anne Frigon. 2017.</w:t>
      </w:r>
      <w:r>
        <w:t xml:space="preserve"> </w:t>
      </w:r>
      <w:r>
        <w:t xml:space="preserve">“</w:t>
      </w:r>
      <w:r>
        <w:t xml:space="preserve">Simple scaling of extreme precipitation in North America</w:t>
      </w:r>
      <w:r>
        <w:t xml:space="preserve">.”</w:t>
      </w:r>
      <w:r>
        <w:t xml:space="preserve"> </w:t>
      </w:r>
      <w:r>
        <w:rPr>
          <w:i/>
          <w:iCs/>
        </w:rPr>
        <w:t xml:space="preserve">Hydrology and Earth System Sciences</w:t>
      </w:r>
      <w:r>
        <w:t xml:space="preserve"> </w:t>
      </w:r>
      <w:r>
        <w:t xml:space="preserve">21 (11): 5823–46.</w:t>
      </w:r>
      <w:r>
        <w:t xml:space="preserve"> </w:t>
      </w:r>
      <w:hyperlink r:id="rId70">
        <w:r>
          <w:rPr>
            <w:rStyle w:val="Hyperlink"/>
          </w:rPr>
          <w:t xml:space="preserve">https://doi.org/10.5194/hess-21-5823-2017</w:t>
        </w:r>
      </w:hyperlink>
      <w:r>
        <w:t xml:space="preserve">.</w:t>
      </w:r>
    </w:p>
    <w:bookmarkEnd w:id="71"/>
    <w:bookmarkStart w:id="73" w:name="ref-Koutsoyiannis.1993"/>
    <w:p>
      <w:pPr>
        <w:pStyle w:val="Bibliography"/>
      </w:pPr>
      <w:r>
        <w:t xml:space="preserve">Koutsoyiannis, Demetris, and Efi Foufoula‐Georgiou. 1993.</w:t>
      </w:r>
      <w:r>
        <w:t xml:space="preserve"> </w:t>
      </w:r>
      <w:r>
        <w:t xml:space="preserve">“</w:t>
      </w:r>
      <w:r>
        <w:t xml:space="preserve">A scaling model of a storm hyetograph</w:t>
      </w:r>
      <w:r>
        <w:t xml:space="preserve">.”</w:t>
      </w:r>
      <w:r>
        <w:t xml:space="preserve"> </w:t>
      </w:r>
      <w:r>
        <w:rPr>
          <w:i/>
          <w:iCs/>
        </w:rPr>
        <w:t xml:space="preserve">Water Resources Research</w:t>
      </w:r>
      <w:r>
        <w:t xml:space="preserve"> </w:t>
      </w:r>
      <w:r>
        <w:t xml:space="preserve">29 (7): 2345–61.</w:t>
      </w:r>
      <w:r>
        <w:t xml:space="preserve"> </w:t>
      </w:r>
      <w:hyperlink r:id="rId72">
        <w:r>
          <w:rPr>
            <w:rStyle w:val="Hyperlink"/>
          </w:rPr>
          <w:t xml:space="preserve">https://doi.org/10.1029/93wr00395</w:t>
        </w:r>
      </w:hyperlink>
      <w:r>
        <w:t xml:space="preserve">.</w:t>
      </w:r>
    </w:p>
    <w:bookmarkEnd w:id="73"/>
    <w:bookmarkStart w:id="75" w:name="ref-Langousis.2007"/>
    <w:p>
      <w:pPr>
        <w:pStyle w:val="Bibliography"/>
      </w:pPr>
      <w:r>
        <w:t xml:space="preserve">Langousis, Andreas, and Daniele Veneziano. 2007.</w:t>
      </w:r>
      <w:r>
        <w:t xml:space="preserve"> </w:t>
      </w:r>
      <w:r>
        <w:t xml:space="preserve">“</w:t>
      </w:r>
      <w:r>
        <w:t xml:space="preserve">Intensity‐duration‐frequency curves from scaling representations of rainfall</w:t>
      </w:r>
      <w:r>
        <w:t xml:space="preserve">.”</w:t>
      </w:r>
      <w:r>
        <w:t xml:space="preserve"> </w:t>
      </w:r>
      <w:r>
        <w:rPr>
          <w:i/>
          <w:iCs/>
        </w:rPr>
        <w:t xml:space="preserve">Water Resources Research</w:t>
      </w:r>
      <w:r>
        <w:t xml:space="preserve"> </w:t>
      </w:r>
      <w:r>
        <w:t xml:space="preserve">43 (2).</w:t>
      </w:r>
      <w:r>
        <w:t xml:space="preserve"> </w:t>
      </w:r>
      <w:hyperlink r:id="rId74">
        <w:r>
          <w:rPr>
            <w:rStyle w:val="Hyperlink"/>
          </w:rPr>
          <w:t xml:space="preserve">https://doi.org/10.1029/2006wr005245</w:t>
        </w:r>
      </w:hyperlink>
      <w:r>
        <w:t xml:space="preserve">.</w:t>
      </w:r>
    </w:p>
    <w:bookmarkEnd w:id="75"/>
    <w:bookmarkStart w:id="77" w:name="ref-Le.2018"/>
    <w:p>
      <w:pPr>
        <w:pStyle w:val="Bibliography"/>
      </w:pPr>
      <w:r>
        <w:t xml:space="preserve">Le, Phuong Dong, Michael Leonard, and Seth Westra. 2018.</w:t>
      </w:r>
      <w:r>
        <w:t xml:space="preserve"> </w:t>
      </w:r>
      <w:r>
        <w:t xml:space="preserve">“</w:t>
      </w:r>
      <w:r>
        <w:t xml:space="preserve">Modeling Spatial Dependence of Rainfall Extremes Across Multiple Durations</w:t>
      </w:r>
      <w:r>
        <w:t xml:space="preserve">.”</w:t>
      </w:r>
      <w:r>
        <w:t xml:space="preserve"> </w:t>
      </w:r>
      <w:r>
        <w:rPr>
          <w:i/>
          <w:iCs/>
        </w:rPr>
        <w:t xml:space="preserve">Water Resources Research</w:t>
      </w:r>
      <w:r>
        <w:t xml:space="preserve"> </w:t>
      </w:r>
      <w:r>
        <w:t xml:space="preserve">54 (3): 2233–48.</w:t>
      </w:r>
      <w:r>
        <w:t xml:space="preserve"> </w:t>
      </w:r>
      <w:hyperlink r:id="rId76">
        <w:r>
          <w:rPr>
            <w:rStyle w:val="Hyperlink"/>
          </w:rPr>
          <w:t xml:space="preserve">https://doi.org/10.1002/2017wr022231</w:t>
        </w:r>
      </w:hyperlink>
      <w:r>
        <w:t xml:space="preserve">.</w:t>
      </w:r>
    </w:p>
    <w:bookmarkEnd w:id="77"/>
    <w:bookmarkStart w:id="79" w:name="ref-Le.2019"/>
    <w:p>
      <w:pPr>
        <w:pStyle w:val="Bibliography"/>
      </w:pPr>
      <w:r>
        <w:t xml:space="preserve">———. 2019.</w:t>
      </w:r>
      <w:r>
        <w:t xml:space="preserve"> </w:t>
      </w:r>
      <w:r>
        <w:t xml:space="preserve">“</w:t>
      </w:r>
      <w:r>
        <w:t xml:space="preserve">Spatially dependent flood probabilities to support the design of civil infrastructure systems</w:t>
      </w:r>
      <w:r>
        <w:t xml:space="preserve">.”</w:t>
      </w:r>
      <w:r>
        <w:t xml:space="preserve"> </w:t>
      </w:r>
      <w:r>
        <w:rPr>
          <w:i/>
          <w:iCs/>
        </w:rPr>
        <w:t xml:space="preserve">Hydrology and Earth System Sciences</w:t>
      </w:r>
      <w:r>
        <w:t xml:space="preserve"> </w:t>
      </w:r>
      <w:r>
        <w:t xml:space="preserve">23 (11): 4851–67.</w:t>
      </w:r>
      <w:r>
        <w:t xml:space="preserve"> </w:t>
      </w:r>
      <w:hyperlink r:id="rId78">
        <w:r>
          <w:rPr>
            <w:rStyle w:val="Hyperlink"/>
          </w:rPr>
          <w:t xml:space="preserve">https://doi.org/10.5194/hess-23-4851-2019</w:t>
        </w:r>
      </w:hyperlink>
      <w:r>
        <w:t xml:space="preserve">.</w:t>
      </w:r>
    </w:p>
    <w:bookmarkEnd w:id="79"/>
    <w:bookmarkStart w:id="81" w:name="ref-Lima.2018"/>
    <w:p>
      <w:pPr>
        <w:pStyle w:val="Bibliography"/>
      </w:pPr>
      <w:r>
        <w:t xml:space="preserve">Lima, Carlos H. R., Hyun-Han Kwon, and Yong-Tak Kim. 2018.</w:t>
      </w:r>
      <w:r>
        <w:t xml:space="preserve"> </w:t>
      </w:r>
      <w:r>
        <w:t xml:space="preserve">“</w:t>
      </w:r>
      <w:r>
        <w:t xml:space="preserve">A local-regional scaling-invariant Bayesian GEV model for estimating rainfall IDF curves in a future climate</w:t>
      </w:r>
      <w:r>
        <w:t xml:space="preserve">.”</w:t>
      </w:r>
      <w:r>
        <w:t xml:space="preserve"> </w:t>
      </w:r>
      <w:r>
        <w:rPr>
          <w:i/>
          <w:iCs/>
        </w:rPr>
        <w:t xml:space="preserve">Journal of Hydrology</w:t>
      </w:r>
      <w:r>
        <w:t xml:space="preserve"> </w:t>
      </w:r>
      <w:r>
        <w:t xml:space="preserve">566: 73–88.</w:t>
      </w:r>
      <w:r>
        <w:t xml:space="preserve"> </w:t>
      </w:r>
      <w:hyperlink r:id="rId80">
        <w:r>
          <w:rPr>
            <w:rStyle w:val="Hyperlink"/>
          </w:rPr>
          <w:t xml:space="preserve">https://doi.org/10.1016/j.jhydrol.2018.08.075</w:t>
        </w:r>
      </w:hyperlink>
      <w:r>
        <w:t xml:space="preserve">.</w:t>
      </w:r>
    </w:p>
    <w:bookmarkEnd w:id="81"/>
    <w:bookmarkStart w:id="83" w:name="ref-Lovejoy.1985"/>
    <w:p>
      <w:pPr>
        <w:pStyle w:val="Bibliography"/>
      </w:pPr>
      <w:r>
        <w:t xml:space="preserve">Lovejoy, S., and D. Schertzer. 1985.</w:t>
      </w:r>
      <w:r>
        <w:t xml:space="preserve"> </w:t>
      </w:r>
      <w:r>
        <w:t xml:space="preserve">“</w:t>
      </w:r>
      <w:r>
        <w:t xml:space="preserve">Generalized Scale Invariance in the Atmosphere and Fractal Models of Rain</w:t>
      </w:r>
      <w:r>
        <w:t xml:space="preserve">.”</w:t>
      </w:r>
      <w:r>
        <w:t xml:space="preserve"> </w:t>
      </w:r>
      <w:r>
        <w:rPr>
          <w:i/>
          <w:iCs/>
        </w:rPr>
        <w:t xml:space="preserve">Water Resources Research</w:t>
      </w:r>
      <w:r>
        <w:t xml:space="preserve"> </w:t>
      </w:r>
      <w:r>
        <w:t xml:space="preserve">21 (8): 1233–50.</w:t>
      </w:r>
      <w:r>
        <w:t xml:space="preserve"> </w:t>
      </w:r>
      <w:hyperlink r:id="rId82">
        <w:r>
          <w:rPr>
            <w:rStyle w:val="Hyperlink"/>
          </w:rPr>
          <w:t xml:space="preserve">https://doi.org/10.1029/wr021i008p01233</w:t>
        </w:r>
      </w:hyperlink>
      <w:r>
        <w:t xml:space="preserve">.</w:t>
      </w:r>
    </w:p>
    <w:bookmarkEnd w:id="83"/>
    <w:bookmarkStart w:id="85" w:name="ref-Lovejoy.1986"/>
    <w:p>
      <w:pPr>
        <w:pStyle w:val="Bibliography"/>
      </w:pPr>
      <w:r>
        <w:t xml:space="preserve">———. 1986.</w:t>
      </w:r>
      <w:r>
        <w:t xml:space="preserve"> </w:t>
      </w:r>
      <w:r>
        <w:t xml:space="preserve">“</w:t>
      </w:r>
      <w:r>
        <w:t xml:space="preserve">Scale Invariance, Symmetries, Fractals, and Stochastic Simulations of Atmospheric Phenomena</w:t>
      </w:r>
      <w:r>
        <w:t xml:space="preserve">.”</w:t>
      </w:r>
      <w:r>
        <w:t xml:space="preserve"> </w:t>
      </w:r>
      <w:r>
        <w:rPr>
          <w:i/>
          <w:iCs/>
        </w:rPr>
        <w:t xml:space="preserve">Bulletin of the American Meteorological Society</w:t>
      </w:r>
      <w:r>
        <w:t xml:space="preserve"> </w:t>
      </w:r>
      <w:r>
        <w:t xml:space="preserve">67 (1): 21–32.</w:t>
      </w:r>
      <w:r>
        <w:t xml:space="preserve"> </w:t>
      </w:r>
      <w:hyperlink r:id="rId84">
        <w:r>
          <w:rPr>
            <w:rStyle w:val="Hyperlink"/>
          </w:rPr>
          <w:t xml:space="preserve">https://doi.org/10.1175/1520-0477(1986)067&lt;0021:sisfas&gt;2.0.co;2</w:t>
        </w:r>
      </w:hyperlink>
      <w:r>
        <w:t xml:space="preserve">.</w:t>
      </w:r>
    </w:p>
    <w:bookmarkEnd w:id="85"/>
    <w:bookmarkStart w:id="87" w:name="ref-Mandelbrot.1968"/>
    <w:p>
      <w:pPr>
        <w:pStyle w:val="Bibliography"/>
      </w:pPr>
      <w:r>
        <w:t xml:space="preserve">Mandelbrot, Benoit B., and James R. Wallis. 1968.</w:t>
      </w:r>
      <w:r>
        <w:t xml:space="preserve"> </w:t>
      </w:r>
      <w:r>
        <w:t xml:space="preserve">“</w:t>
      </w:r>
      <w:r>
        <w:t xml:space="preserve">Noah, Joseph, and Operational Hydrology</w:t>
      </w:r>
      <w:r>
        <w:t xml:space="preserve">.”</w:t>
      </w:r>
      <w:r>
        <w:t xml:space="preserve"> </w:t>
      </w:r>
      <w:r>
        <w:rPr>
          <w:i/>
          <w:iCs/>
        </w:rPr>
        <w:t xml:space="preserve">Water Resources Research</w:t>
      </w:r>
      <w:r>
        <w:t xml:space="preserve"> </w:t>
      </w:r>
      <w:r>
        <w:t xml:space="preserve">4 (5): 909–18.</w:t>
      </w:r>
      <w:r>
        <w:t xml:space="preserve"> </w:t>
      </w:r>
      <w:hyperlink r:id="rId86">
        <w:r>
          <w:rPr>
            <w:rStyle w:val="Hyperlink"/>
          </w:rPr>
          <w:t xml:space="preserve">https://doi.org/10.1029/wr004i005p00909</w:t>
        </w:r>
      </w:hyperlink>
      <w:r>
        <w:t xml:space="preserve">.</w:t>
      </w:r>
    </w:p>
    <w:bookmarkEnd w:id="87"/>
    <w:bookmarkStart w:id="89" w:name="ref-Mascaro.2020"/>
    <w:p>
      <w:pPr>
        <w:pStyle w:val="Bibliography"/>
      </w:pPr>
      <w:r>
        <w:t xml:space="preserve">Mascaro, Giuseppe. 2020.</w:t>
      </w:r>
      <w:r>
        <w:t xml:space="preserve"> </w:t>
      </w:r>
      <w:r>
        <w:t xml:space="preserve">“</w:t>
      </w:r>
      <w:r>
        <w:t xml:space="preserve">Comparison of Local, Regional, and Scaling Models for Rainfall Intensity–Duration–Frequency Analysis</w:t>
      </w:r>
      <w:r>
        <w:t xml:space="preserve">.”</w:t>
      </w:r>
      <w:r>
        <w:t xml:space="preserve"> </w:t>
      </w:r>
      <w:r>
        <w:rPr>
          <w:i/>
          <w:iCs/>
        </w:rPr>
        <w:t xml:space="preserve">Journal of Applied Meteorology and Climatology</w:t>
      </w:r>
      <w:r>
        <w:t xml:space="preserve"> </w:t>
      </w:r>
      <w:r>
        <w:t xml:space="preserve">59 (9): 1519–36.</w:t>
      </w:r>
      <w:r>
        <w:t xml:space="preserve"> </w:t>
      </w:r>
      <w:hyperlink r:id="rId88">
        <w:r>
          <w:rPr>
            <w:rStyle w:val="Hyperlink"/>
          </w:rPr>
          <w:t xml:space="preserve">https://doi.org/10.1175/jamc-d-20-0094.1</w:t>
        </w:r>
      </w:hyperlink>
      <w:r>
        <w:t xml:space="preserve">.</w:t>
      </w:r>
    </w:p>
    <w:bookmarkEnd w:id="89"/>
    <w:bookmarkStart w:id="91" w:name="ref-Menabde.1997"/>
    <w:p>
      <w:pPr>
        <w:pStyle w:val="Bibliography"/>
      </w:pPr>
      <w:r>
        <w:t xml:space="preserve">Menabde, Merab, Daniel Harris, Alan Seed, Geoff Austin, and David Stow. 1997.</w:t>
      </w:r>
      <w:r>
        <w:t xml:space="preserve"> </w:t>
      </w:r>
      <w:r>
        <w:t xml:space="preserve">“</w:t>
      </w:r>
      <w:r>
        <w:t xml:space="preserve">Multiscaling properties of rainfall and bounded random cascades</w:t>
      </w:r>
      <w:r>
        <w:t xml:space="preserve">.”</w:t>
      </w:r>
      <w:r>
        <w:t xml:space="preserve"> </w:t>
      </w:r>
      <w:r>
        <w:rPr>
          <w:i/>
          <w:iCs/>
        </w:rPr>
        <w:t xml:space="preserve">Water Resources Research</w:t>
      </w:r>
      <w:r>
        <w:t xml:space="preserve"> </w:t>
      </w:r>
      <w:r>
        <w:t xml:space="preserve">33 (12): 2823–30.</w:t>
      </w:r>
      <w:r>
        <w:t xml:space="preserve"> </w:t>
      </w:r>
      <w:hyperlink r:id="rId90">
        <w:r>
          <w:rPr>
            <w:rStyle w:val="Hyperlink"/>
          </w:rPr>
          <w:t xml:space="preserve">https://doi.org/10.1029/97wr02006</w:t>
        </w:r>
      </w:hyperlink>
      <w:r>
        <w:t xml:space="preserve">.</w:t>
      </w:r>
    </w:p>
    <w:bookmarkEnd w:id="91"/>
    <w:bookmarkStart w:id="93" w:name="ref-Menabde.1999"/>
    <w:p>
      <w:pPr>
        <w:pStyle w:val="Bibliography"/>
      </w:pPr>
      <w:r>
        <w:t xml:space="preserve">Menabde, Merab, Alan Seed, and Geoff Pegram. 1999.</w:t>
      </w:r>
      <w:r>
        <w:t xml:space="preserve"> </w:t>
      </w:r>
      <w:r>
        <w:t xml:space="preserve">“</w:t>
      </w:r>
      <w:r>
        <w:t xml:space="preserve">A simple scaling model for extreme rainfall</w:t>
      </w:r>
      <w:r>
        <w:t xml:space="preserve">.”</w:t>
      </w:r>
      <w:r>
        <w:t xml:space="preserve"> </w:t>
      </w:r>
      <w:r>
        <w:rPr>
          <w:i/>
          <w:iCs/>
        </w:rPr>
        <w:t xml:space="preserve">Water Resources Research</w:t>
      </w:r>
      <w:r>
        <w:t xml:space="preserve"> </w:t>
      </w:r>
      <w:r>
        <w:t xml:space="preserve">35 (1): 335–39.</w:t>
      </w:r>
      <w:r>
        <w:t xml:space="preserve"> </w:t>
      </w:r>
      <w:hyperlink r:id="rId92">
        <w:r>
          <w:rPr>
            <w:rStyle w:val="Hyperlink"/>
          </w:rPr>
          <w:t xml:space="preserve">https://doi.org/10.1029/1998wr900012</w:t>
        </w:r>
      </w:hyperlink>
      <w:r>
        <w:t xml:space="preserve">.</w:t>
      </w:r>
    </w:p>
    <w:bookmarkEnd w:id="93"/>
    <w:bookmarkStart w:id="95" w:name="ref-Nguyen.1998"/>
    <w:p>
      <w:pPr>
        <w:pStyle w:val="Bibliography"/>
      </w:pPr>
      <w:r>
        <w:t xml:space="preserve">Nguyen, V. T. V., T. D. Nguyen, and H. Wang. 1998.</w:t>
      </w:r>
      <w:r>
        <w:t xml:space="preserve"> </w:t>
      </w:r>
      <w:r>
        <w:t xml:space="preserve">“</w:t>
      </w:r>
      <w:r>
        <w:t xml:space="preserve">Regional estimation of short duration rainfall extremes</w:t>
      </w:r>
      <w:r>
        <w:t xml:space="preserve">.”</w:t>
      </w:r>
      <w:r>
        <w:t xml:space="preserve"> </w:t>
      </w:r>
      <w:r>
        <w:rPr>
          <w:i/>
          <w:iCs/>
        </w:rPr>
        <w:t xml:space="preserve">Water Science and Technology</w:t>
      </w:r>
      <w:r>
        <w:t xml:space="preserve"> </w:t>
      </w:r>
      <w:r>
        <w:t xml:space="preserve">37 (11): 15–19.</w:t>
      </w:r>
      <w:r>
        <w:t xml:space="preserve"> </w:t>
      </w:r>
      <w:hyperlink r:id="rId94">
        <w:r>
          <w:rPr>
            <w:rStyle w:val="Hyperlink"/>
          </w:rPr>
          <w:t xml:space="preserve">https://doi.org/10.2166/wst.1998.0425</w:t>
        </w:r>
      </w:hyperlink>
      <w:r>
        <w:t xml:space="preserve">.</w:t>
      </w:r>
    </w:p>
    <w:bookmarkEnd w:id="95"/>
    <w:bookmarkStart w:id="97" w:name="ref-Papalexiou.2018"/>
    <w:p>
      <w:pPr>
        <w:pStyle w:val="Bibliography"/>
      </w:pPr>
      <w:r>
        <w:t xml:space="preserve">Papalexiou, Simon Michael, Amir AghaKouchak, and Efi Foufoula‐Georgiou. 2018.</w:t>
      </w:r>
      <w:r>
        <w:t xml:space="preserve"> </w:t>
      </w:r>
      <w:r>
        <w:t xml:space="preserve">“</w:t>
      </w:r>
      <w:r>
        <w:t xml:space="preserve">A Diagnostic Framework for Understanding Climatology of Tails of Hourly Precipitation Extremes in the United States</w:t>
      </w:r>
      <w:r>
        <w:t xml:space="preserve">.”</w:t>
      </w:r>
      <w:r>
        <w:t xml:space="preserve"> </w:t>
      </w:r>
      <w:r>
        <w:rPr>
          <w:i/>
          <w:iCs/>
        </w:rPr>
        <w:t xml:space="preserve">Water Resources Research</w:t>
      </w:r>
      <w:r>
        <w:t xml:space="preserve"> </w:t>
      </w:r>
      <w:r>
        <w:t xml:space="preserve">54 (9): 6725–38.</w:t>
      </w:r>
      <w:r>
        <w:t xml:space="preserve"> </w:t>
      </w:r>
      <w:hyperlink r:id="rId96">
        <w:r>
          <w:rPr>
            <w:rStyle w:val="Hyperlink"/>
          </w:rPr>
          <w:t xml:space="preserve">https://doi.org/10.1029/2018wr022732</w:t>
        </w:r>
      </w:hyperlink>
      <w:r>
        <w:t xml:space="preserve">.</w:t>
      </w:r>
    </w:p>
    <w:bookmarkEnd w:id="97"/>
    <w:bookmarkStart w:id="99" w:name="ref-Papalexiou.2018h3"/>
    <w:p>
      <w:pPr>
        <w:pStyle w:val="Bibliography"/>
      </w:pPr>
      <w:r>
        <w:t xml:space="preserve">Papalexiou, Simon Michael, Yannis Markonis, Federico Lombardo, Amir AghaKouchak, and Efi Foufoula‐Georgiou. 2018.</w:t>
      </w:r>
      <w:r>
        <w:t xml:space="preserve"> </w:t>
      </w:r>
      <w:r>
        <w:t xml:space="preserve">“</w:t>
      </w:r>
      <w:r>
        <w:t xml:space="preserve">Precise Temporal Disaggregation Preserving Marginals and Correlations (DiPMaC) for Stationary and Nonstationary Processes</w:t>
      </w:r>
      <w:r>
        <w:t xml:space="preserve">.”</w:t>
      </w:r>
      <w:r>
        <w:t xml:space="preserve"> </w:t>
      </w:r>
      <w:r>
        <w:rPr>
          <w:i/>
          <w:iCs/>
        </w:rPr>
        <w:t xml:space="preserve">Water Resources Research</w:t>
      </w:r>
      <w:r>
        <w:t xml:space="preserve"> </w:t>
      </w:r>
      <w:r>
        <w:t xml:space="preserve">54 (10): 7435–58.</w:t>
      </w:r>
      <w:r>
        <w:t xml:space="preserve"> </w:t>
      </w:r>
      <w:hyperlink r:id="rId98">
        <w:r>
          <w:rPr>
            <w:rStyle w:val="Hyperlink"/>
          </w:rPr>
          <w:t xml:space="preserve">https://doi.org/10.1029/2018wr022726</w:t>
        </w:r>
      </w:hyperlink>
      <w:r>
        <w:t xml:space="preserve">.</w:t>
      </w:r>
    </w:p>
    <w:bookmarkEnd w:id="99"/>
    <w:bookmarkStart w:id="101" w:name="ref-Qin.2024"/>
    <w:p>
      <w:pPr>
        <w:pStyle w:val="Bibliography"/>
      </w:pPr>
      <w:r>
        <w:t xml:space="preserve">Qin, Xiaosheng, and Chao Dai. 2024.</w:t>
      </w:r>
      <w:r>
        <w:t xml:space="preserve"> </w:t>
      </w:r>
      <w:r>
        <w:t xml:space="preserve">“</w:t>
      </w:r>
      <w:r>
        <w:t xml:space="preserve">Investigation of rainfall disaggregation with flexible timescales based on point process models</w:t>
      </w:r>
      <w:r>
        <w:t xml:space="preserve">.”</w:t>
      </w:r>
      <w:r>
        <w:t xml:space="preserve"> </w:t>
      </w:r>
      <w:r>
        <w:rPr>
          <w:i/>
          <w:iCs/>
        </w:rPr>
        <w:t xml:space="preserve">Journal of Hydrology</w:t>
      </w:r>
      <w:r>
        <w:t xml:space="preserve"> </w:t>
      </w:r>
      <w:r>
        <w:t xml:space="preserve">634: 131101.</w:t>
      </w:r>
      <w:r>
        <w:t xml:space="preserve"> </w:t>
      </w:r>
      <w:hyperlink r:id="rId100">
        <w:r>
          <w:rPr>
            <w:rStyle w:val="Hyperlink"/>
          </w:rPr>
          <w:t xml:space="preserve">https://doi.org/10.1016/j.jhydrol.2024.131101</w:t>
        </w:r>
      </w:hyperlink>
      <w:r>
        <w:t xml:space="preserve">.</w:t>
      </w:r>
    </w:p>
    <w:bookmarkEnd w:id="101"/>
    <w:bookmarkStart w:id="103" w:name="ref-Requena.2021"/>
    <w:p>
      <w:pPr>
        <w:pStyle w:val="Bibliography"/>
      </w:pPr>
      <w:r>
        <w:t xml:space="preserve">Requena, Ana I., Truong-Huy Nguyen, Donald H. Burn, Paulin Coulibaly, and Van-Thanh-Van Nguyen. 2021.</w:t>
      </w:r>
      <w:r>
        <w:t xml:space="preserve"> </w:t>
      </w:r>
      <w:r>
        <w:t xml:space="preserve">“</w:t>
      </w:r>
      <w:r>
        <w:t xml:space="preserve">A temporal downscaling approach for sub-daily gridded extreme rainfall intensity estimation under climate change</w:t>
      </w:r>
      <w:r>
        <w:t xml:space="preserve">.”</w:t>
      </w:r>
      <w:r>
        <w:t xml:space="preserve"> </w:t>
      </w:r>
      <w:r>
        <w:rPr>
          <w:i/>
          <w:iCs/>
        </w:rPr>
        <w:t xml:space="preserve">Journal of Hydrology: Regional Studies</w:t>
      </w:r>
      <w:r>
        <w:t xml:space="preserve"> </w:t>
      </w:r>
      <w:r>
        <w:t xml:space="preserve">35: 100811.</w:t>
      </w:r>
      <w:r>
        <w:t xml:space="preserve"> </w:t>
      </w:r>
      <w:hyperlink r:id="rId102">
        <w:r>
          <w:rPr>
            <w:rStyle w:val="Hyperlink"/>
          </w:rPr>
          <w:t xml:space="preserve">https://doi.org/10.1016/j.ejrh.2021.100811</w:t>
        </w:r>
      </w:hyperlink>
      <w:r>
        <w:t xml:space="preserve">.</w:t>
      </w:r>
    </w:p>
    <w:bookmarkEnd w:id="103"/>
    <w:bookmarkStart w:id="105" w:name="ref-Rodrigues.2023"/>
    <w:p>
      <w:pPr>
        <w:pStyle w:val="Bibliography"/>
      </w:pPr>
      <w:r>
        <w:t xml:space="preserve">Rodrigues, Guilherme, Wilson Fernandes, Veber Costa, and Eber Pinto. 2023.</w:t>
      </w:r>
      <w:r>
        <w:t xml:space="preserve"> </w:t>
      </w:r>
      <w:r>
        <w:t xml:space="preserve">“</w:t>
      </w:r>
      <w:r>
        <w:t xml:space="preserve">Utilizing the Scale Invariance Principle for Deriving a Regional Intensity-Duration-Frequency Relationship in the Metropolitan Region of Belo Horizonte, Brazil</w:t>
      </w:r>
      <w:r>
        <w:t xml:space="preserve">.”</w:t>
      </w:r>
      <w:r>
        <w:t xml:space="preserve"> </w:t>
      </w:r>
      <w:r>
        <w:rPr>
          <w:i/>
          <w:iCs/>
        </w:rPr>
        <w:t xml:space="preserve">Journal of Hydrologic Engineering</w:t>
      </w:r>
      <w:r>
        <w:t xml:space="preserve"> </w:t>
      </w:r>
      <w:r>
        <w:t xml:space="preserve">28 (7): 05023010.</w:t>
      </w:r>
      <w:r>
        <w:t xml:space="preserve"> </w:t>
      </w:r>
      <w:hyperlink r:id="rId104">
        <w:r>
          <w:rPr>
            <w:rStyle w:val="Hyperlink"/>
          </w:rPr>
          <w:t xml:space="preserve">https://doi.org/10.1061/jhyeff.heeng-5934</w:t>
        </w:r>
      </w:hyperlink>
      <w:r>
        <w:t xml:space="preserve">.</w:t>
      </w:r>
    </w:p>
    <w:bookmarkEnd w:id="105"/>
    <w:bookmarkStart w:id="107" w:name="ref-Sane.2018"/>
    <w:p>
      <w:pPr>
        <w:pStyle w:val="Bibliography"/>
      </w:pPr>
      <w:r>
        <w:t xml:space="preserve">Sane, Youssouph, Geremy Panthou, Ansoumana Bodian, Theo Vischel, Thierry Lebel, Honore Dacosta, Guillaume Quantin, et al. 2018.</w:t>
      </w:r>
      <w:r>
        <w:t xml:space="preserve"> </w:t>
      </w:r>
      <w:r>
        <w:t xml:space="preserve">“</w:t>
      </w:r>
      <w:r>
        <w:t xml:space="preserve">Intensity–duration–frequency (IDF) rainfall curves in Senegal</w:t>
      </w:r>
      <w:r>
        <w:t xml:space="preserve">.”</w:t>
      </w:r>
      <w:r>
        <w:t xml:space="preserve"> </w:t>
      </w:r>
      <w:r>
        <w:rPr>
          <w:i/>
          <w:iCs/>
        </w:rPr>
        <w:t xml:space="preserve">Natural Hazards and Earth System Sciences</w:t>
      </w:r>
      <w:r>
        <w:t xml:space="preserve"> </w:t>
      </w:r>
      <w:r>
        <w:t xml:space="preserve">18 (7): 1849–66.</w:t>
      </w:r>
      <w:r>
        <w:t xml:space="preserve"> </w:t>
      </w:r>
      <w:hyperlink r:id="rId106">
        <w:r>
          <w:rPr>
            <w:rStyle w:val="Hyperlink"/>
          </w:rPr>
          <w:t xml:space="preserve">https://doi.org/10.5194/nhess-18-1849-2018</w:t>
        </w:r>
      </w:hyperlink>
      <w:r>
        <w:t xml:space="preserve">.</w:t>
      </w:r>
    </w:p>
    <w:bookmarkEnd w:id="107"/>
    <w:bookmarkStart w:id="109" w:name="ref-Stephenson.2016"/>
    <w:p>
      <w:pPr>
        <w:pStyle w:val="Bibliography"/>
      </w:pPr>
      <w:r>
        <w:t xml:space="preserve">Stephenson, Alec G., Eric A. Lehmann, and Aloke Phatak. 2016.</w:t>
      </w:r>
      <w:r>
        <w:t xml:space="preserve"> </w:t>
      </w:r>
      <w:r>
        <w:t xml:space="preserve">“</w:t>
      </w:r>
      <w:r>
        <w:t xml:space="preserve">A max-stable process model for rainfall extremes at different accumulation durations</w:t>
      </w:r>
      <w:r>
        <w:t xml:space="preserve">.”</w:t>
      </w:r>
      <w:r>
        <w:t xml:space="preserve"> </w:t>
      </w:r>
      <w:r>
        <w:rPr>
          <w:i/>
          <w:iCs/>
        </w:rPr>
        <w:t xml:space="preserve">Weather and Climate Extremes</w:t>
      </w:r>
      <w:r>
        <w:t xml:space="preserve"> </w:t>
      </w:r>
      <w:r>
        <w:t xml:space="preserve">13: 44–53.</w:t>
      </w:r>
      <w:r>
        <w:t xml:space="preserve"> </w:t>
      </w:r>
      <w:hyperlink r:id="rId108">
        <w:r>
          <w:rPr>
            <w:rStyle w:val="Hyperlink"/>
          </w:rPr>
          <w:t xml:space="preserve">https://doi.org/10.1016/j.wace.2016.07.002</w:t>
        </w:r>
      </w:hyperlink>
      <w:r>
        <w:t xml:space="preserve">.</w:t>
      </w:r>
    </w:p>
    <w:bookmarkEnd w:id="109"/>
    <w:bookmarkStart w:id="111" w:name="ref-Tayşi.2021"/>
    <w:p>
      <w:pPr>
        <w:pStyle w:val="Bibliography"/>
      </w:pPr>
      <w:r>
        <w:t xml:space="preserve">Tayşi, H, and M Özger. 2021.</w:t>
      </w:r>
      <w:r>
        <w:t xml:space="preserve"> </w:t>
      </w:r>
      <w:r>
        <w:t xml:space="preserve">“</w:t>
      </w:r>
      <w:r>
        <w:t xml:space="preserve">Disaggregation of future GCMs to generate IDF curves for the assessment of urban floods</w:t>
      </w:r>
      <w:r>
        <w:t xml:space="preserve">.”</w:t>
      </w:r>
      <w:r>
        <w:t xml:space="preserve"> </w:t>
      </w:r>
      <w:r>
        <w:rPr>
          <w:i/>
          <w:iCs/>
        </w:rPr>
        <w:t xml:space="preserve">Journal of Water and Climate Change</w:t>
      </w:r>
      <w:r>
        <w:t xml:space="preserve"> </w:t>
      </w:r>
      <w:r>
        <w:t xml:space="preserve">13 (2): 684–706.</w:t>
      </w:r>
      <w:r>
        <w:t xml:space="preserve"> </w:t>
      </w:r>
      <w:hyperlink r:id="rId110">
        <w:r>
          <w:rPr>
            <w:rStyle w:val="Hyperlink"/>
          </w:rPr>
          <w:t xml:space="preserve">https://doi.org/10.2166/wcc.2021.241</w:t>
        </w:r>
      </w:hyperlink>
      <w:r>
        <w:t xml:space="preserve">.</w:t>
      </w:r>
    </w:p>
    <w:bookmarkEnd w:id="111"/>
    <w:bookmarkStart w:id="113" w:name="ref-Vorobevskii.2023"/>
    <w:p>
      <w:pPr>
        <w:pStyle w:val="Bibliography"/>
      </w:pPr>
      <w:r>
        <w:t xml:space="preserve">Vorobevskii, Ivan, Jeongha Park, Dongkyun Kim, Klemens Barfus, and Rico Kronenberg. 2023.</w:t>
      </w:r>
      <w:r>
        <w:t xml:space="preserve"> </w:t>
      </w:r>
      <w:r>
        <w:t xml:space="preserve">“</w:t>
      </w:r>
      <w:r>
        <w:t xml:space="preserve">Simulating sub-hourly rainfall data for current and future periods using two statistical disaggregation models: case studies from Germany and South Korea</w:t>
      </w:r>
      <w:r>
        <w:t xml:space="preserve">.”</w:t>
      </w:r>
      <w:r>
        <w:t xml:space="preserve"> </w:t>
      </w:r>
      <w:r>
        <w:rPr>
          <w:i/>
          <w:iCs/>
        </w:rPr>
        <w:t xml:space="preserve">Hydrology and Earth System Sciences</w:t>
      </w:r>
      <w:r>
        <w:t xml:space="preserve"> </w:t>
      </w:r>
      <w:r>
        <w:t xml:space="preserve">28 (2): 391–416.</w:t>
      </w:r>
      <w:r>
        <w:t xml:space="preserve"> </w:t>
      </w:r>
      <w:hyperlink r:id="rId112">
        <w:r>
          <w:rPr>
            <w:rStyle w:val="Hyperlink"/>
          </w:rPr>
          <w:t xml:space="preserve">https://doi.org/10.5194/hess-28-391-2024</w:t>
        </w:r>
      </w:hyperlink>
      <w:r>
        <w:t xml:space="preserve">.</w:t>
      </w:r>
    </w:p>
    <w:bookmarkEnd w:id="113"/>
    <w:bookmarkStart w:id="115" w:name="ref-Vyver.2018"/>
    <w:p>
      <w:pPr>
        <w:pStyle w:val="Bibliography"/>
      </w:pPr>
      <w:r>
        <w:t xml:space="preserve">Vyver, Hans Van de. 2018.</w:t>
      </w:r>
      <w:r>
        <w:t xml:space="preserve"> </w:t>
      </w:r>
      <w:r>
        <w:t xml:space="preserve">“</w:t>
      </w:r>
      <w:r>
        <w:t xml:space="preserve">A multiscaling‐based intensity–duration–frequency model for extreme precipitation</w:t>
      </w:r>
      <w:r>
        <w:t xml:space="preserve">.”</w:t>
      </w:r>
      <w:r>
        <w:t xml:space="preserve"> </w:t>
      </w:r>
      <w:r>
        <w:rPr>
          <w:i/>
          <w:iCs/>
        </w:rPr>
        <w:t xml:space="preserve">Hydrological Processes</w:t>
      </w:r>
      <w:r>
        <w:t xml:space="preserve"> </w:t>
      </w:r>
      <w:r>
        <w:t xml:space="preserve">32 (11): 1635–47.</w:t>
      </w:r>
      <w:r>
        <w:t xml:space="preserve"> </w:t>
      </w:r>
      <w:hyperlink r:id="rId114">
        <w:r>
          <w:rPr>
            <w:rStyle w:val="Hyperlink"/>
          </w:rPr>
          <w:t xml:space="preserve">https://doi.org/10.1002/hyp.11516</w:t>
        </w:r>
      </w:hyperlink>
      <w:r>
        <w:t xml:space="preserve">.</w:t>
      </w:r>
    </w:p>
    <w:bookmarkEnd w:id="115"/>
    <w:bookmarkStart w:id="117" w:name="ref-Wang.2024"/>
    <w:p>
      <w:pPr>
        <w:pStyle w:val="Bibliography"/>
      </w:pPr>
      <w:r>
        <w:t xml:space="preserve">Wang, Zijie, Robert L. Wilby, and Dapeng Yu. 2024.</w:t>
      </w:r>
      <w:r>
        <w:t xml:space="preserve"> </w:t>
      </w:r>
      <w:r>
        <w:t xml:space="preserve">“</w:t>
      </w:r>
      <w:r>
        <w:t xml:space="preserve">Spatial and temporal scaling of extreme rainfall in the United Kingdom</w:t>
      </w:r>
      <w:r>
        <w:t xml:space="preserve">.”</w:t>
      </w:r>
      <w:r>
        <w:t xml:space="preserve"> </w:t>
      </w:r>
      <w:r>
        <w:rPr>
          <w:i/>
          <w:iCs/>
        </w:rPr>
        <w:t xml:space="preserve">International Journal of Climatology</w:t>
      </w:r>
      <w:r>
        <w:t xml:space="preserve"> </w:t>
      </w:r>
      <w:r>
        <w:t xml:space="preserve">44 (1): 286–304.</w:t>
      </w:r>
      <w:r>
        <w:t xml:space="preserve"> </w:t>
      </w:r>
      <w:hyperlink r:id="rId116">
        <w:r>
          <w:rPr>
            <w:rStyle w:val="Hyperlink"/>
          </w:rPr>
          <w:t xml:space="preserve">https://doi.org/10.1002/joc.8330</w:t>
        </w:r>
      </w:hyperlink>
      <w:r>
        <w:t xml:space="preserve">.</w:t>
      </w:r>
    </w:p>
    <w:bookmarkEnd w:id="117"/>
    <w:bookmarkStart w:id="119" w:name="ref-Yeo.2022"/>
    <w:p>
      <w:pPr>
        <w:pStyle w:val="Bibliography"/>
      </w:pPr>
      <w:r>
        <w:t xml:space="preserve">Yeo, Myeong-Ho, Van-Thanh-Van Nguyen, Yong Sang Kim, and Theodore A. Kpodonu. 2022.</w:t>
      </w:r>
      <w:r>
        <w:t xml:space="preserve"> </w:t>
      </w:r>
      <w:r>
        <w:t xml:space="preserve">“</w:t>
      </w:r>
      <w:r>
        <w:t xml:space="preserve">An Integrated Extreme Rainfall Modeling Tool (SDExtreme) for Climate Change Impacts and Adaptation</w:t>
      </w:r>
      <w:r>
        <w:t xml:space="preserve">.”</w:t>
      </w:r>
      <w:r>
        <w:t xml:space="preserve"> </w:t>
      </w:r>
      <w:r>
        <w:rPr>
          <w:i/>
          <w:iCs/>
        </w:rPr>
        <w:t xml:space="preserve">Water Resources Management</w:t>
      </w:r>
      <w:r>
        <w:t xml:space="preserve"> </w:t>
      </w:r>
      <w:r>
        <w:t xml:space="preserve">36 (9): 3153–79.</w:t>
      </w:r>
      <w:r>
        <w:t xml:space="preserve"> </w:t>
      </w:r>
      <w:hyperlink r:id="rId118">
        <w:r>
          <w:rPr>
            <w:rStyle w:val="Hyperlink"/>
          </w:rPr>
          <w:t xml:space="preserve">https://doi.org/10.1007/s11269-022-03194-1</w:t>
        </w:r>
      </w:hyperlink>
      <w:r>
        <w:t xml:space="preserve">.</w:t>
      </w:r>
    </w:p>
    <w:bookmarkEnd w:id="119"/>
    <w:bookmarkStart w:id="121" w:name="ref-Yeo.2021"/>
    <w:p>
      <w:pPr>
        <w:pStyle w:val="Bibliography"/>
      </w:pPr>
      <w:r>
        <w:t xml:space="preserve">Yeo, Myeong‐Ho, Van‐Thanh‐Van Nguyen, and Theodore A. Kpodonu. 2021.</w:t>
      </w:r>
      <w:r>
        <w:t xml:space="preserve"> </w:t>
      </w:r>
      <w:r>
        <w:t xml:space="preserve">“</w:t>
      </w:r>
      <w:r>
        <w:t xml:space="preserve">Characterizing extreme rainfalls and constructing confidence intervals for IDF curves using Scaling‐GEV distribution model</w:t>
      </w:r>
      <w:r>
        <w:t xml:space="preserve">.”</w:t>
      </w:r>
      <w:r>
        <w:t xml:space="preserve"> </w:t>
      </w:r>
      <w:r>
        <w:rPr>
          <w:i/>
          <w:iCs/>
        </w:rPr>
        <w:t xml:space="preserve">International Journal of Climatology</w:t>
      </w:r>
      <w:r>
        <w:t xml:space="preserve"> </w:t>
      </w:r>
      <w:r>
        <w:t xml:space="preserve">41 (1): 456–68.</w:t>
      </w:r>
      <w:r>
        <w:t xml:space="preserve"> </w:t>
      </w:r>
      <w:hyperlink r:id="rId120">
        <w:r>
          <w:rPr>
            <w:rStyle w:val="Hyperlink"/>
          </w:rPr>
          <w:t xml:space="preserve">https://doi.org/10.1002/joc.6631</w:t>
        </w:r>
      </w:hyperlink>
      <w:r>
        <w:t xml:space="preserve">.</w:t>
      </w:r>
    </w:p>
    <w:bookmarkEnd w:id="121"/>
    <w:bookmarkStart w:id="123" w:name="ref-Yu.2004"/>
    <w:p>
      <w:pPr>
        <w:pStyle w:val="Bibliography"/>
      </w:pPr>
      <w:r>
        <w:t xml:space="preserve">Yu, Pao-Shan, Tao-Chang Yang, and Chin-Sheng Lin. 2004.</w:t>
      </w:r>
      <w:r>
        <w:t xml:space="preserve"> </w:t>
      </w:r>
      <w:r>
        <w:t xml:space="preserve">“</w:t>
      </w:r>
      <w:r>
        <w:t xml:space="preserve">Regional rainfall intensity formulas based on scaling property of rainfall</w:t>
      </w:r>
      <w:r>
        <w:t xml:space="preserve">.”</w:t>
      </w:r>
      <w:r>
        <w:t xml:space="preserve"> </w:t>
      </w:r>
      <w:r>
        <w:rPr>
          <w:i/>
          <w:iCs/>
        </w:rPr>
        <w:t xml:space="preserve">Journal of Hydrology</w:t>
      </w:r>
      <w:r>
        <w:t xml:space="preserve"> </w:t>
      </w:r>
      <w:r>
        <w:t xml:space="preserve">295 (1-4): 108–23.</w:t>
      </w:r>
      <w:r>
        <w:t xml:space="preserve"> </w:t>
      </w:r>
      <w:hyperlink r:id="rId122">
        <w:r>
          <w:rPr>
            <w:rStyle w:val="Hyperlink"/>
          </w:rPr>
          <w:t xml:space="preserve">https://doi.org/10.1016/j.jhydrol.2004.03.003</w:t>
        </w:r>
      </w:hyperlink>
      <w:r>
        <w:t xml:space="preserve">.</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6" Target="https://doi.org/10.1002/2017wr022231" TargetMode="External" /><Relationship Type="http://schemas.openxmlformats.org/officeDocument/2006/relationships/hyperlink" Id="rId114" Target="https://doi.org/10.1002/hyp.11516" TargetMode="External" /><Relationship Type="http://schemas.openxmlformats.org/officeDocument/2006/relationships/hyperlink" Id="rId120" Target="https://doi.org/10.1002/joc.6631" TargetMode="External" /><Relationship Type="http://schemas.openxmlformats.org/officeDocument/2006/relationships/hyperlink" Id="rId116" Target="https://doi.org/10.1002/joc.8330" TargetMode="External" /><Relationship Type="http://schemas.openxmlformats.org/officeDocument/2006/relationships/hyperlink" Id="rId33" Target="https://doi.org/10.1007/s00477-023-02546-6" TargetMode="External" /><Relationship Type="http://schemas.openxmlformats.org/officeDocument/2006/relationships/hyperlink" Id="rId44" Target="https://doi.org/10.1007/s11069-004-4550-y" TargetMode="External" /><Relationship Type="http://schemas.openxmlformats.org/officeDocument/2006/relationships/hyperlink" Id="rId42" Target="https://doi.org/10.1007/s11269-020-02667-5" TargetMode="External" /><Relationship Type="http://schemas.openxmlformats.org/officeDocument/2006/relationships/hyperlink" Id="rId118" Target="https://doi.org/10.1007/s11269-022-03194-1" TargetMode="External" /><Relationship Type="http://schemas.openxmlformats.org/officeDocument/2006/relationships/hyperlink" Id="rId50" Target="https://doi.org/10.1007/s13253-010-0023-9" TargetMode="External" /><Relationship Type="http://schemas.openxmlformats.org/officeDocument/2006/relationships/hyperlink" Id="rId62" Target="https://doi.org/10.1016/j.advwatres.2022.104144" TargetMode="External" /><Relationship Type="http://schemas.openxmlformats.org/officeDocument/2006/relationships/hyperlink" Id="rId102" Target="https://doi.org/10.1016/j.ejrh.2021.100811" TargetMode="External" /><Relationship Type="http://schemas.openxmlformats.org/officeDocument/2006/relationships/hyperlink" Id="rId122" Target="https://doi.org/10.1016/j.jhydrol.2004.03.003" TargetMode="External" /><Relationship Type="http://schemas.openxmlformats.org/officeDocument/2006/relationships/hyperlink" Id="rId40" Target="https://doi.org/10.1016/j.jhydrol.2016.06.007" TargetMode="External" /><Relationship Type="http://schemas.openxmlformats.org/officeDocument/2006/relationships/hyperlink" Id="rId58" Target="https://doi.org/10.1016/j.jhydrol.2016.07.002" TargetMode="External" /><Relationship Type="http://schemas.openxmlformats.org/officeDocument/2006/relationships/hyperlink" Id="rId80" Target="https://doi.org/10.1016/j.jhydrol.2018.08.075" TargetMode="External" /><Relationship Type="http://schemas.openxmlformats.org/officeDocument/2006/relationships/hyperlink" Id="rId54" Target="https://doi.org/10.1016/j.jhydrol.2024.130847" TargetMode="External" /><Relationship Type="http://schemas.openxmlformats.org/officeDocument/2006/relationships/hyperlink" Id="rId100" Target="https://doi.org/10.1016/j.jhydrol.2024.131101" TargetMode="External" /><Relationship Type="http://schemas.openxmlformats.org/officeDocument/2006/relationships/hyperlink" Id="rId108" Target="https://doi.org/10.1016/j.wace.2016.07.002" TargetMode="External" /><Relationship Type="http://schemas.openxmlformats.org/officeDocument/2006/relationships/hyperlink" Id="rId64" Target="https://doi.org/10.1016/j.wace.2024.100735" TargetMode="External" /><Relationship Type="http://schemas.openxmlformats.org/officeDocument/2006/relationships/hyperlink" Id="rId46" Target="https://doi.org/10.1016/s0022-1694(96)03086-7" TargetMode="External" /><Relationship Type="http://schemas.openxmlformats.org/officeDocument/2006/relationships/hyperlink" Id="rId92" Target="https://doi.org/10.1029/1998wr900012" TargetMode="External" /><Relationship Type="http://schemas.openxmlformats.org/officeDocument/2006/relationships/hyperlink" Id="rId31" Target="https://doi.org/10.1029/2006wr004911" TargetMode="External" /><Relationship Type="http://schemas.openxmlformats.org/officeDocument/2006/relationships/hyperlink" Id="rId74" Target="https://doi.org/10.1029/2006wr005245" TargetMode="External" /><Relationship Type="http://schemas.openxmlformats.org/officeDocument/2006/relationships/hyperlink" Id="rId98" Target="https://doi.org/10.1029/2018wr022726" TargetMode="External" /><Relationship Type="http://schemas.openxmlformats.org/officeDocument/2006/relationships/hyperlink" Id="rId96" Target="https://doi.org/10.1029/2018wr022732" TargetMode="External" /><Relationship Type="http://schemas.openxmlformats.org/officeDocument/2006/relationships/hyperlink" Id="rId72" Target="https://doi.org/10.1029/93wr00395" TargetMode="External" /><Relationship Type="http://schemas.openxmlformats.org/officeDocument/2006/relationships/hyperlink" Id="rId90" Target="https://doi.org/10.1029/97wr02006" TargetMode="External" /><Relationship Type="http://schemas.openxmlformats.org/officeDocument/2006/relationships/hyperlink" Id="rId68" Target="https://doi.org/10.1029/jd095id03p01999" TargetMode="External" /><Relationship Type="http://schemas.openxmlformats.org/officeDocument/2006/relationships/hyperlink" Id="rId86" Target="https://doi.org/10.1029/wr004i005p00909" TargetMode="External" /><Relationship Type="http://schemas.openxmlformats.org/officeDocument/2006/relationships/hyperlink" Id="rId82" Target="https://doi.org/10.1029/wr021i008p01233" TargetMode="External" /><Relationship Type="http://schemas.openxmlformats.org/officeDocument/2006/relationships/hyperlink" Id="rId104" Target="https://doi.org/10.1061/jhyeff.heeng-5934" TargetMode="External" /><Relationship Type="http://schemas.openxmlformats.org/officeDocument/2006/relationships/hyperlink" Id="rId60" Target="https://doi.org/10.1080/02626667.2023.2224002" TargetMode="External" /><Relationship Type="http://schemas.openxmlformats.org/officeDocument/2006/relationships/hyperlink" Id="rId52" Target="https://doi.org/10.1088/1748-9326/ab370a" TargetMode="External" /><Relationship Type="http://schemas.openxmlformats.org/officeDocument/2006/relationships/hyperlink" Id="rId38" Target="https://doi.org/10.1088/1748-9326/abd4ab" TargetMode="External" /><Relationship Type="http://schemas.openxmlformats.org/officeDocument/2006/relationships/hyperlink" Id="rId84" Target="https://doi.org/10.1175/1520-0477(1986)067&lt;0021:sisfas&gt;2.0.co;2" TargetMode="External" /><Relationship Type="http://schemas.openxmlformats.org/officeDocument/2006/relationships/hyperlink" Id="rId88" Target="https://doi.org/10.1175/jamc-d-20-0094.1" TargetMode="External" /><Relationship Type="http://schemas.openxmlformats.org/officeDocument/2006/relationships/hyperlink" Id="rId27" Target="https://doi.org/10.1590/1678-4324-2022210694" TargetMode="External" /><Relationship Type="http://schemas.openxmlformats.org/officeDocument/2006/relationships/hyperlink" Id="rId29"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66" Target="https://doi.org/10.2139/ssrn.4749709" TargetMode="External" /><Relationship Type="http://schemas.openxmlformats.org/officeDocument/2006/relationships/hyperlink" Id="rId110" Target="https://doi.org/10.2166/wcc.2021.241" TargetMode="External" /><Relationship Type="http://schemas.openxmlformats.org/officeDocument/2006/relationships/hyperlink" Id="rId94" Target="https://doi.org/10.2166/wst.1998.0425" TargetMode="External" /><Relationship Type="http://schemas.openxmlformats.org/officeDocument/2006/relationships/hyperlink" Id="rId56" Target="https://doi.org/10.5194/egusphere-egu24-19552" TargetMode="External" /><Relationship Type="http://schemas.openxmlformats.org/officeDocument/2006/relationships/hyperlink" Id="rId70" Target="https://doi.org/10.5194/hess-21-5823-2017" TargetMode="External" /><Relationship Type="http://schemas.openxmlformats.org/officeDocument/2006/relationships/hyperlink" Id="rId78" Target="https://doi.org/10.5194/hess-23-4851-2019" TargetMode="External" /><Relationship Type="http://schemas.openxmlformats.org/officeDocument/2006/relationships/hyperlink" Id="rId112" Target="https://doi.org/10.5194/hess-28-391-2024" TargetMode="External" /><Relationship Type="http://schemas.openxmlformats.org/officeDocument/2006/relationships/hyperlink" Id="rId106" Target="https://doi.org/10.5194/nhess-18-1849-2018" TargetMode="External" /><Relationship Type="http://schemas.openxmlformats.org/officeDocument/2006/relationships/hyperlink" Id="rId48" Target="https://doi.org/10.5194/nhess-2018-290" TargetMode="External" /><Relationship Type="http://schemas.openxmlformats.org/officeDocument/2006/relationships/hyperlink" Id="rId23" Target="https://www.itia.ntua.gr/en/softinfo/3/"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2017wr022231" TargetMode="External" /><Relationship Type="http://schemas.openxmlformats.org/officeDocument/2006/relationships/hyperlink" Id="rId114" Target="https://doi.org/10.1002/hyp.11516" TargetMode="External" /><Relationship Type="http://schemas.openxmlformats.org/officeDocument/2006/relationships/hyperlink" Id="rId120" Target="https://doi.org/10.1002/joc.6631" TargetMode="External" /><Relationship Type="http://schemas.openxmlformats.org/officeDocument/2006/relationships/hyperlink" Id="rId116" Target="https://doi.org/10.1002/joc.8330" TargetMode="External" /><Relationship Type="http://schemas.openxmlformats.org/officeDocument/2006/relationships/hyperlink" Id="rId33" Target="https://doi.org/10.1007/s00477-023-02546-6" TargetMode="External" /><Relationship Type="http://schemas.openxmlformats.org/officeDocument/2006/relationships/hyperlink" Id="rId44" Target="https://doi.org/10.1007/s11069-004-4550-y" TargetMode="External" /><Relationship Type="http://schemas.openxmlformats.org/officeDocument/2006/relationships/hyperlink" Id="rId42" Target="https://doi.org/10.1007/s11269-020-02667-5" TargetMode="External" /><Relationship Type="http://schemas.openxmlformats.org/officeDocument/2006/relationships/hyperlink" Id="rId118" Target="https://doi.org/10.1007/s11269-022-03194-1" TargetMode="External" /><Relationship Type="http://schemas.openxmlformats.org/officeDocument/2006/relationships/hyperlink" Id="rId50" Target="https://doi.org/10.1007/s13253-010-0023-9" TargetMode="External" /><Relationship Type="http://schemas.openxmlformats.org/officeDocument/2006/relationships/hyperlink" Id="rId62" Target="https://doi.org/10.1016/j.advwatres.2022.104144" TargetMode="External" /><Relationship Type="http://schemas.openxmlformats.org/officeDocument/2006/relationships/hyperlink" Id="rId102" Target="https://doi.org/10.1016/j.ejrh.2021.100811" TargetMode="External" /><Relationship Type="http://schemas.openxmlformats.org/officeDocument/2006/relationships/hyperlink" Id="rId122" Target="https://doi.org/10.1016/j.jhydrol.2004.03.003" TargetMode="External" /><Relationship Type="http://schemas.openxmlformats.org/officeDocument/2006/relationships/hyperlink" Id="rId40" Target="https://doi.org/10.1016/j.jhydrol.2016.06.007" TargetMode="External" /><Relationship Type="http://schemas.openxmlformats.org/officeDocument/2006/relationships/hyperlink" Id="rId58" Target="https://doi.org/10.1016/j.jhydrol.2016.07.002" TargetMode="External" /><Relationship Type="http://schemas.openxmlformats.org/officeDocument/2006/relationships/hyperlink" Id="rId80" Target="https://doi.org/10.1016/j.jhydrol.2018.08.075" TargetMode="External" /><Relationship Type="http://schemas.openxmlformats.org/officeDocument/2006/relationships/hyperlink" Id="rId54" Target="https://doi.org/10.1016/j.jhydrol.2024.130847" TargetMode="External" /><Relationship Type="http://schemas.openxmlformats.org/officeDocument/2006/relationships/hyperlink" Id="rId100" Target="https://doi.org/10.1016/j.jhydrol.2024.131101" TargetMode="External" /><Relationship Type="http://schemas.openxmlformats.org/officeDocument/2006/relationships/hyperlink" Id="rId108" Target="https://doi.org/10.1016/j.wace.2016.07.002" TargetMode="External" /><Relationship Type="http://schemas.openxmlformats.org/officeDocument/2006/relationships/hyperlink" Id="rId64" Target="https://doi.org/10.1016/j.wace.2024.100735" TargetMode="External" /><Relationship Type="http://schemas.openxmlformats.org/officeDocument/2006/relationships/hyperlink" Id="rId46" Target="https://doi.org/10.1016/s0022-1694(96)03086-7" TargetMode="External" /><Relationship Type="http://schemas.openxmlformats.org/officeDocument/2006/relationships/hyperlink" Id="rId92" Target="https://doi.org/10.1029/1998wr900012" TargetMode="External" /><Relationship Type="http://schemas.openxmlformats.org/officeDocument/2006/relationships/hyperlink" Id="rId31" Target="https://doi.org/10.1029/2006wr004911" TargetMode="External" /><Relationship Type="http://schemas.openxmlformats.org/officeDocument/2006/relationships/hyperlink" Id="rId74" Target="https://doi.org/10.1029/2006wr005245" TargetMode="External" /><Relationship Type="http://schemas.openxmlformats.org/officeDocument/2006/relationships/hyperlink" Id="rId98" Target="https://doi.org/10.1029/2018wr022726" TargetMode="External" /><Relationship Type="http://schemas.openxmlformats.org/officeDocument/2006/relationships/hyperlink" Id="rId96" Target="https://doi.org/10.1029/2018wr022732" TargetMode="External" /><Relationship Type="http://schemas.openxmlformats.org/officeDocument/2006/relationships/hyperlink" Id="rId72" Target="https://doi.org/10.1029/93wr00395" TargetMode="External" /><Relationship Type="http://schemas.openxmlformats.org/officeDocument/2006/relationships/hyperlink" Id="rId90" Target="https://doi.org/10.1029/97wr02006" TargetMode="External" /><Relationship Type="http://schemas.openxmlformats.org/officeDocument/2006/relationships/hyperlink" Id="rId68" Target="https://doi.org/10.1029/jd095id03p01999" TargetMode="External" /><Relationship Type="http://schemas.openxmlformats.org/officeDocument/2006/relationships/hyperlink" Id="rId86" Target="https://doi.org/10.1029/wr004i005p00909" TargetMode="External" /><Relationship Type="http://schemas.openxmlformats.org/officeDocument/2006/relationships/hyperlink" Id="rId82" Target="https://doi.org/10.1029/wr021i008p01233" TargetMode="External" /><Relationship Type="http://schemas.openxmlformats.org/officeDocument/2006/relationships/hyperlink" Id="rId104" Target="https://doi.org/10.1061/jhyeff.heeng-5934" TargetMode="External" /><Relationship Type="http://schemas.openxmlformats.org/officeDocument/2006/relationships/hyperlink" Id="rId60" Target="https://doi.org/10.1080/02626667.2023.2224002" TargetMode="External" /><Relationship Type="http://schemas.openxmlformats.org/officeDocument/2006/relationships/hyperlink" Id="rId52" Target="https://doi.org/10.1088/1748-9326/ab370a" TargetMode="External" /><Relationship Type="http://schemas.openxmlformats.org/officeDocument/2006/relationships/hyperlink" Id="rId38" Target="https://doi.org/10.1088/1748-9326/abd4ab" TargetMode="External" /><Relationship Type="http://schemas.openxmlformats.org/officeDocument/2006/relationships/hyperlink" Id="rId84" Target="https://doi.org/10.1175/1520-0477(1986)067&lt;0021:sisfas&gt;2.0.co;2" TargetMode="External" /><Relationship Type="http://schemas.openxmlformats.org/officeDocument/2006/relationships/hyperlink" Id="rId88" Target="https://doi.org/10.1175/jamc-d-20-0094.1" TargetMode="External" /><Relationship Type="http://schemas.openxmlformats.org/officeDocument/2006/relationships/hyperlink" Id="rId27" Target="https://doi.org/10.1590/1678-4324-2022210694" TargetMode="External" /><Relationship Type="http://schemas.openxmlformats.org/officeDocument/2006/relationships/hyperlink" Id="rId29"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66" Target="https://doi.org/10.2139/ssrn.4749709" TargetMode="External" /><Relationship Type="http://schemas.openxmlformats.org/officeDocument/2006/relationships/hyperlink" Id="rId110" Target="https://doi.org/10.2166/wcc.2021.241" TargetMode="External" /><Relationship Type="http://schemas.openxmlformats.org/officeDocument/2006/relationships/hyperlink" Id="rId94" Target="https://doi.org/10.2166/wst.1998.0425" TargetMode="External" /><Relationship Type="http://schemas.openxmlformats.org/officeDocument/2006/relationships/hyperlink" Id="rId56" Target="https://doi.org/10.5194/egusphere-egu24-19552" TargetMode="External" /><Relationship Type="http://schemas.openxmlformats.org/officeDocument/2006/relationships/hyperlink" Id="rId70" Target="https://doi.org/10.5194/hess-21-5823-2017" TargetMode="External" /><Relationship Type="http://schemas.openxmlformats.org/officeDocument/2006/relationships/hyperlink" Id="rId78" Target="https://doi.org/10.5194/hess-23-4851-2019" TargetMode="External" /><Relationship Type="http://schemas.openxmlformats.org/officeDocument/2006/relationships/hyperlink" Id="rId112" Target="https://doi.org/10.5194/hess-28-391-2024" TargetMode="External" /><Relationship Type="http://schemas.openxmlformats.org/officeDocument/2006/relationships/hyperlink" Id="rId106" Target="https://doi.org/10.5194/nhess-18-1849-2018" TargetMode="External" /><Relationship Type="http://schemas.openxmlformats.org/officeDocument/2006/relationships/hyperlink" Id="rId48" Target="https://doi.org/10.5194/nhess-2018-290" TargetMode="External" /><Relationship Type="http://schemas.openxmlformats.org/officeDocument/2006/relationships/hyperlink" Id="rId23" Target="https://www.itia.ntua.gr/en/softinfo/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Desagregação temporal das chuvas intensas</dc:title>
  <dc:creator>Dirceu S. Reis Jr.</dc:creator>
  <cp:keywords/>
  <dcterms:created xsi:type="dcterms:W3CDTF">2025-09-19T00:37:48Z</dcterms:created>
  <dcterms:modified xsi:type="dcterms:W3CDTF">2025-09-19T00:37:48Z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referencias/ref_desagregacao.bib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ocite">
    <vt:lpwstr>@*</vt:lpwstr>
  </property>
  <property fmtid="{D5CDD505-2E9C-101B-9397-08002B2CF9AE}" pid="12" name="toc-title">
    <vt:lpwstr>Table of contents</vt:lpwstr>
  </property>
</Properties>
</file>