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w:t>
      </w:r>
      <w:r>
        <w:t xml:space="preserve"> </w:t>
      </w:r>
      <w:r>
        <w:t xml:space="preserve">temporal</w:t>
      </w:r>
      <w:r>
        <w:t xml:space="preserve"> </w:t>
      </w:r>
      <w:r>
        <w:t xml:space="preserve">das</w:t>
      </w:r>
      <w:r>
        <w:t xml:space="preserve"> </w:t>
      </w:r>
      <w:r>
        <w:t xml:space="preserve">chuvas</w:t>
      </w:r>
      <w:r>
        <w:t xml:space="preserve"> </w:t>
      </w:r>
      <w:r>
        <w:t xml:space="preserve">intensas</w:t>
      </w:r>
    </w:p>
    <w:p>
      <w:pPr>
        <w:pStyle w:val="Author"/>
      </w:pPr>
      <w:r>
        <w:t xml:space="preserve">Dirceu</w:t>
      </w:r>
      <w:r>
        <w:t xml:space="preserve"> </w:t>
      </w:r>
      <w:r>
        <w:t xml:space="preserve">S.</w:t>
      </w:r>
      <w:r>
        <w:t xml:space="preserve"> </w:t>
      </w:r>
      <w:r>
        <w:t xml:space="preserve">Reis</w:t>
      </w:r>
      <w:r>
        <w:t xml:space="preserve"> </w:t>
      </w:r>
      <w:r>
        <w:t xml:space="preserve">Jr.</w:t>
      </w:r>
    </w:p>
    <w:bookmarkStart w:id="20" w:name="desagregação-temporal"/>
    <w:p>
      <w:pPr>
        <w:pStyle w:val="Heading2"/>
      </w:pPr>
      <w:r>
        <w:rPr>
          <w:b/>
          <w:bCs/>
        </w:rPr>
        <w:t xml:space="preserve">Desagregação Temporal</w:t>
      </w:r>
    </w:p>
    <w:p>
      <w:pPr>
        <w:pStyle w:val="FirstParagraph"/>
      </w:pPr>
      <w:r>
        <w:t xml:space="preserve">A desagregação temporal é a principal resposta a essa assimetria. O objetivo não é apenas</w:t>
      </w:r>
      <w:r>
        <w:t xml:space="preserve"> </w:t>
      </w:r>
      <w:r>
        <w:t xml:space="preserve">“</w:t>
      </w:r>
      <w:r>
        <w:t xml:space="preserve">quebrar</w:t>
      </w:r>
      <w:r>
        <w:t xml:space="preserve">”</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(Bartlett–Lewis, Neyman–Scott, LetItRain/Hyetos)</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Técnicas de Regionalização e Modelagem Espacial de Extremos</w:t>
      </w:r>
    </w:p>
    <w:p>
      <w:pPr>
        <w:pStyle w:val="Compact"/>
        <w:numPr>
          <w:ilvl w:val="0"/>
          <w:numId w:val="1002"/>
        </w:numPr>
      </w:pPr>
      <w:r>
        <w:rPr>
          <w:b/>
          <w:bCs/>
        </w:rPr>
        <w:t xml:space="preserve">Fórmulas/ajustes empíricos e regionais (equações IDF/DDF, isozonas, coeficientes)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r>
          <m:t>D</m:t>
        </m:r>
        <m:r>
          <m:t>τ</m:t>
        </m:r>
      </m:oMath>
      <w:r>
        <w:t xml:space="preserve">​, definidos por razões entre precipitações máximas em diferentes durações. Dado um valor de projeto diário</w:t>
      </w:r>
      <w:r>
        <w:t xml:space="preserve"> </w:t>
      </w:r>
      <m:oMath>
        <m:r>
          <m:t>P</m:t>
        </m:r>
        <m:r>
          <m:t>24</m:t>
        </m:r>
        <m:r>
          <m:t>h</m:t>
        </m:r>
        <m:r>
          <m:rPr>
            <m:sty m:val="p"/>
          </m:rPr>
          <m:t>​</m:t>
        </m:r>
        <m:d>
          <m:dPr>
            <m:begChr m:val="("/>
            <m:endChr m:val=")"/>
            <m:sepChr m:val=""/>
            <m:grow/>
          </m:dPr>
          <m:e>
            <m:r>
              <m:t>T</m:t>
            </m:r>
          </m:e>
        </m:d>
      </m:oMath>
      <w:r>
        <w:t xml:space="preserve">, obtém-se, por exemplo, o valor para</w:t>
      </w:r>
      <w:r>
        <w:t xml:space="preserve"> </w:t>
      </w:r>
      <m:oMath>
        <m:r>
          <m:t>τ</m:t>
        </m:r>
        <m:r>
          <m:rPr>
            <m:sty m:val="p"/>
          </m:rPr>
          <m:t>=</m:t>
        </m:r>
        <m:r>
          <m:t>1</m:t>
        </m:r>
        <m:r>
          <m:t>h</m:t>
        </m:r>
      </m:oMath>
      <w:r>
        <w:t xml:space="preserve"> </w:t>
      </w:r>
      <w:r>
        <w:t xml:space="preserve">por:</w:t>
      </w:r>
    </w:p>
    <w:p>
      <w:pPr>
        <w:pStyle w:val="BodyText"/>
      </w:pPr>
      <m:oMathPara>
        <m:oMathParaPr>
          <m:jc m:val="center"/>
        </m:oMathParaPr>
        <m:oMath>
          <m:r>
            <m:t>P</m:t>
          </m:r>
          <m:r>
            <m:t>τ</m:t>
          </m:r>
          <m:r>
            <m:rPr>
              <m:sty m:val="p"/>
            </m:rPr>
            <m:t>​</m:t>
          </m:r>
          <m:d>
            <m:dPr>
              <m:begChr m:val="("/>
              <m:endChr m:val=")"/>
              <m:sepChr m:val=""/>
              <m:grow/>
            </m:dPr>
            <m:e>
              <m:r>
                <m:t>T</m:t>
              </m:r>
            </m:e>
          </m:d>
          <m:r>
            <m:rPr>
              <m:sty m:val="p"/>
            </m:rPr>
            <m:t>=</m:t>
          </m:r>
          <m:r>
            <m:t>C</m:t>
          </m:r>
          <m:r>
            <m:t>D</m:t>
          </m:r>
          <m:r>
            <m:t>τ</m:t>
          </m:r>
          <m:r>
            <m:rPr>
              <m:sty m:val="p"/>
            </m:rPr>
            <m:t>​</m:t>
          </m:r>
          <m:r>
            <m:rPr>
              <m:sty m:val="p"/>
            </m:rPr>
            <m:t>×</m:t>
          </m:r>
          <m:r>
            <m:t>P</m:t>
          </m:r>
          <m:r>
            <m:t>24</m:t>
          </m:r>
          <m:r>
            <m:t>h</m:t>
          </m:r>
          <m:r>
            <m:rPr>
              <m:sty m:val="p"/>
            </m:rPr>
            <m:t>​</m:t>
          </m:r>
          <m:d>
            <m:dPr>
              <m:begChr m:val="("/>
              <m:endChr m:val=")"/>
              <m:sepChr m:val=""/>
              <m:grow/>
            </m:dPr>
            <m:e>
              <m:r>
                <m:t>T</m:t>
              </m:r>
            </m:e>
          </m:d>
          <m:r>
            <m:rPr>
              <m:sty m:val="p"/>
            </m:rPr>
            <m:t>,</m:t>
          </m:r>
          <m:r>
            <m:t>τ</m:t>
          </m:r>
          <m:r>
            <m:rPr>
              <m:sty m:val="p"/>
            </m:rPr>
            <m:t>∈</m:t>
          </m:r>
          <m:r>
            <m:t>6</m:t>
          </m:r>
          <m:r>
            <m:t>m</m:t>
          </m:r>
          <m:r>
            <m:t>i</m:t>
          </m:r>
          <m:r>
            <m:t>n</m:t>
          </m:r>
          <m:r>
            <m:rPr>
              <m:sty m:val="p"/>
            </m:rPr>
            <m:t>,</m:t>
          </m:r>
          <m:r>
            <m:t>1</m:t>
          </m:r>
          <m:r>
            <m:t>h</m:t>
          </m:r>
          <m:r>
            <m:rPr>
              <m:sty m:val="p"/>
            </m:rPr>
            <m:t>,</m:t>
          </m:r>
          <m:r>
            <m:t>2</m:t>
          </m:r>
          <m:r>
            <m:t>h</m:t>
          </m:r>
          <m:r>
            <m:rPr>
              <m:sty m:val="p"/>
            </m:rPr>
            <m:t>,</m:t>
          </m:r>
          <m:r>
            <m:rPr>
              <m:sty m:val="p"/>
            </m:rPr>
            <m:t>…</m:t>
          </m:r>
          <m:r>
            <m:rPr>
              <m:sty m:val="p"/>
            </m:rPr>
            <m:t>.</m:t>
          </m:r>
        </m:oMath>
      </m:oMathPara>
    </w:p>
    <w:p>
      <w:pPr>
        <w:pStyle w:val="FirstParagraph"/>
      </w:pPr>
      <w:r>
        <w:t xml:space="preserve">A partir desses pontos, derivam-se curvas IDF/DDF completas usando a base diária (CETESB, 1979; Abreu et al., 2022). No contexto brasileiro, os</w:t>
      </w:r>
      <w:r>
        <w:t xml:space="preserve"> </w:t>
      </w:r>
      <m:oMath>
        <m:r>
          <m:t>C</m:t>
        </m:r>
        <m:r>
          <m:t>D</m:t>
        </m:r>
        <m:r>
          <m:t>τ</m:t>
        </m:r>
        <m:r>
          <m:rPr>
            <m:sty m:val="p"/>
          </m:rPr>
          <m:t>​</m:t>
        </m:r>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aplicaram a técnica de interpolação por ponderação do inverso da distância (Inverse Distance Weighting – IDW).</w:t>
      </w:r>
    </w:p>
    <w:p>
      <w:pPr>
        <w:pStyle w:val="BodyText"/>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r>
          <m:t>r</m:t>
        </m:r>
        <m:r>
          <m:t>1</m:t>
        </m:r>
        <m:r>
          <m:t>h</m:t>
        </m:r>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r>
          <m:t>r</m:t>
        </m:r>
        <m:r>
          <m:t>τ</m:t>
        </m:r>
        <m:r>
          <m:t>h</m:t>
        </m:r>
        <m:r>
          <m:rPr>
            <m:sty m:val="p"/>
          </m:rPr>
          <m:t>,</m:t>
        </m:r>
        <m:r>
          <m:t>24</m:t>
        </m:r>
        <m:r>
          <m:t>h</m:t>
        </m:r>
        <m:r>
          <m:rPr>
            <m:sty m:val="p"/>
          </m:rPr>
          <m:t>​</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p>
      <w:pPr>
        <w:pStyle w:val="Compact"/>
        <w:numPr>
          <w:ilvl w:val="0"/>
          <w:numId w:val="1003"/>
        </w:numPr>
      </w:pPr>
      <w:r>
        <w:rPr>
          <w:b/>
          <w:bCs/>
        </w:rPr>
        <w:t xml:space="preserve">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w:t>
      </w:r>
      <w:r>
        <w:t xml:space="preserve">posições</w:t>
      </w:r>
      <w:r>
        <w:t xml:space="preserve">”</w:t>
      </w:r>
      <w:r>
        <w:t xml:space="preserve"> </w:t>
      </w:r>
      <w:r>
        <w:t xml:space="preserve">no tempo (e no espaço). Em particular, o Processo de Poisson é atrativo porque suas hipóteses de estacionariedade, não-multiplicidade e independência, isto é,</w:t>
      </w:r>
      <w:r>
        <w:t xml:space="preserve"> </w:t>
      </w:r>
      <m:oMath>
        <m:r>
          <m:t>P</m:t>
        </m:r>
        <m:r>
          <m:rPr>
            <m:sty m:val="p"/>
          </m:rPr>
          <m:t>{</m:t>
        </m:r>
        <m:r>
          <m:rPr>
            <m:nor/>
            <m:sty m:val="p"/>
          </m:rPr>
          <m:t>evento em </m:t>
        </m:r>
        <m:d>
          <m:dPr>
            <m:begChr m:val="("/>
            <m:endChr m:val=")"/>
            <m:sepChr m:val=""/>
            <m:grow/>
          </m:dPr>
          <m:e>
            <m:r>
              <m:t>t</m:t>
            </m:r>
            <m:r>
              <m:rPr>
                <m:sty m:val="p"/>
              </m:rPr>
              <m:t>,</m:t>
            </m:r>
            <m:r>
              <m:t>t</m:t>
            </m:r>
            <m:r>
              <m:rPr>
                <m:sty m:val="p"/>
              </m:rPr>
              <m:t>+</m:t>
            </m:r>
            <m:r>
              <m:t>Δ</m:t>
            </m:r>
            <m:r>
              <m:t>t</m:t>
            </m:r>
          </m:e>
        </m:d>
        <m:r>
          <m:rPr>
            <m:sty m:val="p"/>
          </m:rPr>
          <m:t>}</m:t>
        </m:r>
        <m:r>
          <m:rPr>
            <m:sty m:val="p"/>
          </m:rPr>
          <m:t>≈</m:t>
        </m:r>
        <m:r>
          <m:t>λ</m:t>
        </m:r>
        <m:r>
          <m:t> </m:t>
        </m:r>
        <m:r>
          <m:t>Δ</m:t>
        </m:r>
        <m:r>
          <m:t>t</m:t>
        </m:r>
      </m:oMath>
      <w:r>
        <w:t xml:space="preserve">, probabilidade desprezível de múltiplas chegadas em</w:t>
      </w:r>
      <w:r>
        <w:t xml:space="preserve"> </w:t>
      </w:r>
      <m:oMath>
        <m:r>
          <m:t>Δ</m:t>
        </m:r>
        <m:r>
          <m:t>t</m:t>
        </m:r>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 ex., Poisson Ruído Branco e Poisson de Pulsos Retangulares), que representam a chuva como uma sequência de pulsos com alturas e durações aleatórias; e (ii) processos pontuais de agrupamento, notadamente Neyman–Scott e Bartlett–Lewis, capazes de reproduzir estatísticas de primeira e segunda ordem em ampla faixa de agregações (Rodriguez-Iturbe et al., 1987). A distinção estrutural entre os dois últimos é sutil: no Neyman–Scott as células são deslocadas do instante de origem do evento; no Bartlett–Lewis há uma célula no próprio ponto de origem do evento. Em avaliações clássicas (Denver/Boston), ambos reproduzem bem média, variância e autocorrelação, mas tendem a distorcer a proporção de tempos secos se mal calibrados (Rodriguez-Iturbe et al., 1987).</w:t>
      </w:r>
    </w:p>
    <w:p>
      <w:pPr>
        <w:pStyle w:val="BodyText"/>
      </w:pPr>
      <w:r>
        <w:t xml:space="preserve">O modelo de Pulsos Retangulares de Bartlett–Lewis original (Rodriguez-Iturbe et al., 1987) baseia-se nas seguintes hipóteses: (1) as origens dos episódios chuvosos</w:t>
      </w:r>
      <w:r>
        <w:t xml:space="preserve"> </w:t>
      </w:r>
      <m:oMath>
        <m:sSub>
          <m:e>
            <m:r>
              <m:t>t</m:t>
            </m:r>
          </m:e>
          <m:sub>
            <m:r>
              <m:t>i</m:t>
            </m:r>
          </m:sub>
        </m:sSub>
      </m:oMath>
      <w:r>
        <w:t xml:space="preserve">​ 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t</m:t>
            </m:r>
          </m:e>
          <m:sub>
            <m:r>
              <m:t>i</m:t>
            </m:r>
            <m:r>
              <m:t>j</m:t>
            </m:r>
          </m:sub>
        </m:sSub>
      </m:oMath>
      <w:r>
        <w:t xml:space="preserve">​ 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Rodriguez-Iturbe et al. (1988) propuseram o Modified Bartlett–Lewis Rectangular Pulse Model (MBLPRM). Na versão modificada,</w:t>
      </w:r>
      <w:r>
        <w:t xml:space="preserve"> </w:t>
      </w:r>
      <m:oMath>
        <m:r>
          <m:t>η</m:t>
        </m:r>
      </m:oMath>
      <w:r>
        <w:t xml:space="preserve"> </w:t>
      </w:r>
      <w:r>
        <w:t xml:space="preserve">varia aleatoriamente de episódio para episódio segundo uma distribuição Gama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 HYETOS uma desagregação condicionada acoplada ao processo de Bartlett–Lewis.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 𝑑𝑎,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 HyetosMinute,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(Evolutionary Annealing–Simplex)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(Point-Process Modelling and Rainfall Disaggregation –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w:t>
      </w:r>
      <w:r>
        <w:t xml:space="preserve">verificadas</w:t>
      </w:r>
      <w:r>
        <w:t xml:space="preserve">”</w:t>
      </w:r>
      <w:r>
        <w:t xml:space="preserve">; a desagregação deve, então, operar entre escalas superior e inferior escolhidas dentre essas escalas. Na seleção do gerador, comparam-se seis processos pontuais (BLRP5, BLRP6 com</w:t>
      </w:r>
      <w:r>
        <w:t xml:space="preserve"> </w:t>
      </w:r>
      <m:oMath>
        <m:r>
          <m:t>𝜂</m:t>
        </m:r>
        <m:r>
          <m:rPr>
            <m:sty m:val="p"/>
          </m:rPr>
          <m:t>∼</m:t>
        </m:r>
        <m:r>
          <m:t>G</m:t>
        </m:r>
        <m:r>
          <m:t>a</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w:t>
      </w:r>
      <w:r>
        <w:t xml:space="preserve">dias úmidos</w:t>
      </w:r>
      <w:r>
        <w:t xml:space="preserve">”</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e</w:t>
      </w:r>
      <w:r>
        <w:t xml:space="preserve"> </w:t>
      </w:r>
      <m:oMath>
        <m:sSub>
          <m:e>
            <m:r>
              <m:t>P</m:t>
            </m:r>
          </m:e>
          <m:sub>
            <m:r>
              <m:t>o</m:t>
            </m:r>
          </m:sub>
        </m:sSub>
      </m:oMath>
      <w:r>
        <w:t xml:space="preserve">​ são, respectivamente, as séries de precipitação no nível superior sintética e observada. Sequências longas são segmentadas de forma controlada: define-se previamente um comprimento máximo</w:t>
      </w:r>
      <w:r>
        <w:t xml:space="preserve"> </w:t>
      </w:r>
      <w:r>
        <w:rPr>
          <w:b/>
          <w:bCs/>
        </w:rPr>
        <w:t xml:space="preserve">Umax</w:t>
      </w:r>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t>m</m:t>
            </m:r>
            <m:r>
              <m:t>a</m:t>
            </m:r>
            <m:r>
              <m:t>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t>m</m:t>
            </m:r>
            <m:r>
              <m:t>a</m:t>
            </m:r>
            <m:r>
              <m:t>x</m:t>
            </m:r>
          </m:sub>
        </m:sSub>
      </m:oMath>
      <w:r>
        <w:t xml:space="preserve">​, ela é dividida aleatoriamente em sub-sequências com comprimentos entre 1 e $U_{max}$​,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(WayDown, que conserva a soma diária via cadeia de Markov e cópulas) com um gerador incondicional (LetItRain, duplo Poisson). WayDown é um modelo condicional de desagregação de precipitação, disponibilizado como pacote R.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w:t>
      </w:r>
      <w:r>
        <w:t xml:space="preserve">úmidos</w:t>
      </w:r>
      <w:r>
        <w:t xml:space="preserve">”</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 é um gerador incondicional de séries de precipitação que estende os modelos de clusters de Poisson (Neyman–Scott/Bartlett–Lewis).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Gama; (iv) dois algoritmos de embaralhamento (</w:t>
      </w:r>
      <w:r>
        <w:t xml:space="preserve">“</w:t>
      </w:r>
      <w:r>
        <w:t xml:space="preserve">shuffling</w:t>
      </w:r>
      <w:r>
        <w:t xml:space="preserve">”</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 WayDown tende a reproduzir melhor a mediana das estatísticas, enquanto o LetItRain fornece maior variabilidade de cenários. Ambos podem superestimar extremos até certo limiar e subestimar acima dele, explicitando o trade-off entre conservação de massa diária e liberdade estatística intradiária.</w:t>
      </w:r>
    </w:p>
    <w:p>
      <w:pPr>
        <w:pStyle w:val="Compact"/>
        <w:numPr>
          <w:ilvl w:val="0"/>
          <w:numId w:val="1004"/>
        </w:numPr>
      </w:pPr>
      <w:r>
        <w:rPr>
          <w:b/>
          <w:bCs/>
        </w:rPr>
        <w:t xml:space="preserve">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o estatístico rescaled-range 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oMath>
      </m:oMathPara>
    </w:p>
    <w:p>
      <w:pPr>
        <w:pStyle w:val="FirstParagraph"/>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w:t>
      </w:r>
      <w:r>
        <w:t xml:space="preserve">achatadas</w:t>
      </w:r>
      <w:r>
        <w:t xml:space="preserve">”</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t</m:t>
            </m:r>
            <m:r>
              <m:rPr>
                <m:sty m:val="p"/>
              </m:rPr>
              <m:t>,</m:t>
            </m:r>
            <m:r>
              <m:t>D</m:t>
            </m:r>
          </m:e>
        </m:d>
      </m:oMath>
      <w:r>
        <w:t xml:space="preserve"> </w:t>
      </w:r>
      <w:r>
        <w:t xml:space="preserve">dentro de um episódio de duração</w:t>
      </w:r>
      <w:r>
        <w:t xml:space="preserve"> </w:t>
      </w:r>
      <m:oMath>
        <m:r>
          <m:t>D</m:t>
        </m:r>
      </m:oMath>
      <w:r>
        <w:t xml:space="preserve"> </w:t>
      </w:r>
      <w:r>
        <w:t xml:space="preserve">é auto-semelhante: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t</m:t>
                  </m:r>
                </m:sub>
              </m:sSub>
              <m:r>
                <m:rPr>
                  <m:sty m:val="p"/>
                </m:rPr>
                <m:t>,</m:t>
              </m:r>
              <m:sSub>
                <m:e>
                  <m:r>
                    <m:t>λ</m:t>
                  </m:r>
                </m:e>
                <m:sub>
                  <m:r>
                    <m:t>D</m:t>
                  </m:r>
                </m:sub>
              </m:sSub>
            </m:e>
          </m:d>
        </m:oMath>
      </m:oMathPara>
    </w:p>
    <w:p>
      <w:pPr>
        <w:pStyle w:val="FirstParagraph"/>
      </w:pPr>
      <w:r>
        <w:t xml:space="preserve">ou, de forma equivalente,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t</m:t>
                  </m:r>
                </m:num>
                <m:den>
                  <m:r>
                    <m:t>D</m:t>
                  </m:r>
                </m:den>
              </m:f>
              <m:r>
                <m:rPr>
                  <m:sty m:val="p"/>
                </m:rPr>
                <m:t>,</m:t>
              </m:r>
              <m:r>
                <m:t>1</m:t>
              </m:r>
            </m:e>
          </m:d>
        </m:oMath>
      </m:oMathPara>
    </w:p>
    <w:p>
      <w:pPr>
        <w:pStyle w:val="FirstParagraph"/>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t</m:t>
            </m:r>
            <m:r>
              <m:rPr>
                <m:sty m:val="p"/>
              </m:rPr>
              <m:t>,</m:t>
            </m:r>
            <m:r>
              <m:t>D</m:t>
            </m:r>
          </m:e>
        </m:d>
        <m:r>
          <m:rPr>
            <m:sty m:val="p"/>
          </m:rPr>
          <m:t>=</m:t>
        </m:r>
        <m:nary>
          <m:naryPr>
            <m:chr m:val="∫"/>
            <m:limLoc m:val="subSup"/>
            <m:subHide m:val="off"/>
            <m:supHide m:val="off"/>
          </m:naryPr>
          <m:sub>
            <m:r>
              <m:t>0</m:t>
            </m:r>
          </m:sub>
          <m:sup>
            <m:r>
              <m:t>t</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n</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(wide-sense)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n</m:t>
              </m:r>
            </m:sup>
          </m:sSup>
        </m:oMath>
      </m:oMathPara>
    </w:p>
    <w:p>
      <w:pPr>
        <w:pStyle w:val="FirstParagraph"/>
      </w:pPr>
      <w:r>
        <w:br/>
      </w: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n</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e especializam o arcabouço com a distribuição lognormal (LN2). Para LN2, os autores demonstram que</w:t>
      </w:r>
      <w:r>
        <w:t xml:space="preserve"> </w:t>
      </w:r>
      <m:oMath>
        <m:sSub>
          <m:e>
            <m:r>
              <m:t>ψ</m:t>
            </m:r>
          </m:e>
          <m:sub>
            <m:r>
              <m:t>ζ</m:t>
            </m:r>
          </m:sub>
        </m:sSub>
      </m:oMath>
      <w:r>
        <w:t xml:space="preserve">​ 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r>
          <m:t> </m:t>
        </m:r>
        <m:r>
          <m:rPr>
            <m:nor/>
            <m:sty m:val="p"/>
          </m:rPr>
          <m:t>e</m:t>
        </m:r>
        <m:r>
          <m:t> </m:t>
        </m:r>
        <m:r>
          <m:t>E</m:t>
        </m:r>
        <m:d>
          <m:dPr>
            <m:begChr m:val="("/>
            <m:endChr m:val=")"/>
            <m:sepChr m:val=""/>
            <m:grow/>
          </m:dPr>
          <m:e>
            <m:r>
              <m:t>f</m:t>
            </m:r>
          </m:e>
        </m:d>
        <m:r>
          <m:rPr>
            <m:sty m:val="p"/>
          </m:rPr>
          <m:t>∝</m:t>
        </m:r>
        <m:r>
          <m:t>f</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w:t>
      </w:r>
      <w:r>
        <w:t xml:space="preserve">bruto</w:t>
      </w:r>
      <w:r>
        <w:t xml:space="preserve">”</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r>
            <m:t>l</m:t>
          </m:r>
          <m:r>
            <m:t>o</m:t>
          </m:r>
          <m:sSub>
            <m:e>
              <m:r>
                <m:t>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oMath>
      </m:oMathPara>
    </w:p>
    <w:p>
      <w:pPr>
        <w:pStyle w:val="FirstParagraph"/>
      </w:pPr>
      <w:r>
        <w:t xml:space="preserve">permitindo extrair</w:t>
      </w:r>
      <w:r>
        <w:t xml:space="preserve"> </w:t>
      </w:r>
      <m:oMath>
        <m:r>
          <m:t>H</m:t>
        </m:r>
      </m:oMath>
      <w:r>
        <w:t xml:space="preserve"> </w:t>
      </w:r>
      <w:r>
        <w:t xml:space="preserve">(declive) e</w:t>
      </w:r>
      <w:r>
        <w:t xml:space="preserve"> </w:t>
      </w:r>
      <m:oMath>
        <m:sSub>
          <m:e>
            <m:r>
              <m:t>p</m:t>
            </m:r>
          </m:e>
          <m:sub>
            <m:r>
              <m:t>1</m:t>
            </m:r>
          </m:sub>
        </m:sSub>
      </m:oMath>
      <w:r>
        <w:t xml:space="preserve">​ (intercepto).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r>
            <m:t>Ξ</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oMath>
      </m:oMathPara>
    </w:p>
    <w:p>
      <w:pPr>
        <w:pStyle w:val="FirstParagraph"/>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 downscaling de extremos de durações subdiárias a partir de informação diária, mantendo a consistência entre durações exigida por DDF/IDF baseadas em invariância de escala.</w:t>
      </w:r>
    </w:p>
    <w:p>
      <w:pPr>
        <w:pStyle w:val="BodyText"/>
      </w:pPr>
      <w:r>
        <w:t xml:space="preserve">Consolidando esse avanço, Gupta &amp; Waymire (1999) estabeleceram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(wide sense),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(wide sense)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 GEV-scaling (ou GUM/GEV com scaling).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t xml:space="preserve">“</w:t>
      </w:r>
      <w:r>
        <w:t xml:space="preserve">multiscaling</w:t>
      </w:r>
      <w:r>
        <w:t xml:space="preserve">”</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(PMW)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r>
        <w:t xml:space="preserve"> </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r>
            <m:rPr>
              <m:sty m:val="p"/>
            </m:rPr>
            <m:t>ln</m:t>
          </m:r>
          <m:r>
            <m:t>​</m:t>
          </m:r>
          <m:f>
            <m:fPr>
              <m:type m:val="bar"/>
            </m:fPr>
            <m:num>
              <m:r>
                <m:t>T</m:t>
              </m:r>
            </m:num>
            <m:den>
              <m:r>
                <m:t>T</m:t>
              </m:r>
              <m:r>
                <m:rPr>
                  <m:sty m:val="p"/>
                </m:rPr>
                <m:t>−</m:t>
              </m:r>
              <m:r>
                <m:t>1</m:t>
              </m:r>
            </m:den>
          </m:f>
        </m:oMath>
      </m:oMathPara>
    </w:p>
    <w:p>
      <w:pPr>
        <w:pStyle w:val="FirstParagraph"/>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simple scaling</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Os autores mostram que, para durações &lt; 60 min, as razões profundidade–duração (t vs. 60 min) são praticamente independentes do período de retorno e da localização, facilitando transferência entre durações e regionalização.</w:t>
      </w:r>
      <w:r>
        <w:t xml:space="preserve"> </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w:t>
      </w:r>
      <w:r>
        <w:t xml:space="preserve">episódio</w:t>
      </w:r>
      <w:r>
        <w:t xml:space="preserve">”</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w:t>
      </w:r>
      <w:r>
        <w:t xml:space="preserve">dar forma</w:t>
      </w:r>
      <w:r>
        <w:t xml:space="preserve">”</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via a distribuição do máximo</w:t>
      </w:r>
      <w:r>
        <w:t xml:space="preserve"> </w:t>
      </w:r>
      <m:oMath>
        <m:sSub>
          <m:e>
            <m:r>
              <m:t>M</m:t>
            </m:r>
          </m:e>
          <m:sub>
            <m:r>
              <m:t>d</m:t>
            </m:r>
          </m:sub>
        </m:sSub>
      </m:oMath>
      <w:r>
        <w:t xml:space="preserve">​ no interior de</w:t>
      </w:r>
      <w:r>
        <w:t xml:space="preserve"> </w:t>
      </w:r>
      <m:oMath>
        <m:r>
          <m:t>D</m:t>
        </m:r>
      </m:oMath>
      <w:r>
        <w:t xml:space="preserve">, usando a fatoração de</w:t>
      </w:r>
      <w:r>
        <w:t xml:space="preserve"> </w:t>
      </w:r>
      <w:r>
        <w:t xml:space="preserve">“</w:t>
      </w:r>
      <w:r>
        <w:t xml:space="preserve">dressing</w:t>
      </w:r>
      <w:r>
        <w:t xml:space="preserve">”</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w:t>
      </w:r>
      <w:r>
        <w:t xml:space="preserve"> </w:t>
      </w:r>
      <w:r>
        <w:t xml:space="preserve">“</w:t>
      </w:r>
      <w:r>
        <w:t xml:space="preserve">tempestades</w:t>
      </w:r>
      <w:r>
        <w:t xml:space="preserve">”</w:t>
      </w:r>
      <w:r>
        <w:t xml:space="preserve"> </w:t>
      </w:r>
      <w:r>
        <w:t xml:space="preserve">i.i.d. com</w:t>
      </w:r>
      <w:r>
        <w:t xml:space="preserve"> </w:t>
      </w:r>
      <m:oMath>
        <m:r>
          <m:t>D</m:t>
        </m:r>
      </m:oMath>
      <w:r>
        <w:t xml:space="preserve"> </w:t>
      </w:r>
      <w:r>
        <w:t xml:space="preserve">e intensidade média</w:t>
      </w:r>
      <w:r>
        <w:t xml:space="preserve"> </w:t>
      </w:r>
      <m:oMath>
        <m:sSub>
          <m:e>
            <m:r>
              <m:t>I</m:t>
            </m:r>
          </m:e>
          <m:sub>
            <m:r>
              <m:t>D</m:t>
            </m:r>
          </m:sub>
        </m:sSub>
      </m:oMath>
      <w:r>
        <w:t xml:space="preserve">​ 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w:t>
      </w:r>
      <w:r>
        <w:t xml:space="preserve"> </w:t>
      </w:r>
      <w:r>
        <w:t xml:space="preserve">“</w:t>
      </w:r>
      <w:r>
        <w:t xml:space="preserve">escala‐invariante</w:t>
      </w:r>
      <w:r>
        <w:t xml:space="preserve">”</w:t>
      </w:r>
      <w:r>
        <w:t xml:space="preserve"> </w:t>
      </w:r>
      <w:r>
        <w:t xml:space="preserve">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enquanto a forma permanece constante</w:t>
      </w:r>
      <w:r>
        <w:t xml:space="preserve"> </w:t>
      </w:r>
      <m:oMath>
        <m:sSub>
          <m:e>
            <m:r>
              <m:t>ξ</m:t>
            </m:r>
          </m:e>
          <m:sub>
            <m:r>
              <m:t>D</m:t>
            </m:r>
          </m:sub>
        </m:sSub>
        <m:r>
          <m:rPr>
            <m:sty m:val="p"/>
          </m:rPr>
          <m:t>=</m:t>
        </m:r>
        <m:r>
          <m:t>n</m:t>
        </m:r>
      </m:oMath>
      <w:r>
        <w:t xml:space="preserve">. Aqui</w:t>
      </w:r>
      <w:r>
        <w:t xml:space="preserve"> </w:t>
      </w:r>
      <m:oMath>
        <m:r>
          <m:t>η</m:t>
        </m:r>
      </m:oMath>
      <w:r>
        <w:t xml:space="preserve"> </w:t>
      </w:r>
      <w:r>
        <w:t xml:space="preserve">é o expoente de escala (declive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n</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n</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onde</w:t>
      </w:r>
      <w:r>
        <w:t xml:space="preserve"> </w:t>
      </w:r>
      <m:oMath>
        <m:sSubSup>
          <m:e>
            <m:r>
              <m:t>I</m:t>
            </m:r>
          </m:e>
          <m:sub>
            <m:r>
              <m:t>D</m:t>
            </m:r>
          </m:sub>
          <m:sup>
            <m:d>
              <m:dPr>
                <m:begChr m:val="("/>
                <m:endChr m:val=")"/>
                <m:sepChr m:val=""/>
                <m:grow/>
              </m:dPr>
              <m:e>
                <m:r>
                  <m:t>24</m:t>
                </m:r>
              </m:e>
            </m:d>
          </m:sup>
        </m:sSubSup>
      </m:oMath>
      <w:r>
        <w:t xml:space="preserve">​ e</w:t>
      </w:r>
      <w:r>
        <w:t xml:space="preserve"> </w:t>
      </w:r>
      <m:oMath>
        <m:sSubSup>
          <m:e>
            <m:r>
              <m:t>I</m:t>
            </m:r>
          </m:e>
          <m:sub>
            <m:r>
              <m:t>D</m:t>
            </m:r>
          </m:sub>
          <m:sup>
            <m:d>
              <m:dPr>
                <m:begChr m:val="("/>
                <m:endChr m:val=")"/>
                <m:sepChr m:val=""/>
                <m:grow/>
              </m:dPr>
              <m:e>
                <m:r>
                  <m:t>1</m:t>
                </m:r>
              </m:e>
            </m:d>
          </m:sup>
        </m:sSubSup>
      </m:oMath>
      <w:r>
        <w:t xml:space="preserve">​ 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w:t>
      </w:r>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para</w:t>
      </w:r>
      <w:r>
        <w:t xml:space="preserve"> </w:t>
      </w:r>
      <m:oMath>
        <m:r>
          <m:t>d</m:t>
        </m:r>
        <m:r>
          <m:rPr>
            <m:sty m:val="p"/>
          </m:rPr>
          <m:t>&lt;</m:t>
        </m:r>
        <m:sSub>
          <m:e>
            <m:r>
              <m:t>d</m:t>
            </m:r>
          </m:e>
          <m:sub>
            <m:r>
              <m:t>r</m:t>
            </m:r>
          </m:sub>
        </m:sSub>
      </m:oMath>
      <w:r>
        <w:t xml:space="preserve">​ e</w:t>
      </w:r>
      <w:r>
        <w:t xml:space="preserve"> </w:t>
      </w:r>
      <m:oMath>
        <m:sSub>
          <m:e>
            <m:r>
              <m:t>η</m:t>
            </m:r>
          </m:e>
          <m:sub>
            <m:r>
              <m:t>2</m:t>
            </m:r>
          </m:sub>
        </m:sSub>
      </m:oMath>
      <w:r>
        <w:t xml:space="preserve">​ 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r>
        <w:t xml:space="preserve"> </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rPr>
            <m:sty m:val="p"/>
          </m:rPr>
          <m:t>​</m:t>
        </m:r>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w:t>
      </w:r>
      <w:r>
        <w:t xml:space="preserve">empresta força</w:t>
      </w:r>
      <w:r>
        <w:t xml:space="preserve">”</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(At-site; At-site com correção de viés em</w:t>
      </w:r>
      <w:r>
        <w:t xml:space="preserve"> </w:t>
      </w:r>
      <m:oMath>
        <m:r>
          <m:t>ξ</m:t>
        </m:r>
      </m:oMath>
      <w:r>
        <w:t xml:space="preserve">), um regional (index-flood 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Em cross-validation com bootstrapping,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 bootstrap modificado que constrói intervalos de confiança de 95% para IDFs usando somente AMPs diárias: reamostram as AMPs de 1 dia, propagam a incerteza via relações de scaling para as durações curtas e fecham os limites com a inversa da GEV.</w:t>
      </w:r>
    </w:p>
    <w:p>
      <w:pPr>
        <w:pStyle w:val="BodyText"/>
      </w:pPr>
      <w:r>
        <w:t xml:space="preserve">Para aplicações em grade sob mudança do clima, Requena et al. (2021) propuseram um downscaling temporal que combina AM diários de RCMs com expoentes de escala observados em grade. No estudo, a desagregação temporal em grade baseia-se no modelo GEV com invariância de escala formulado via probabilistic weighted moments (PWMs). O modelo segue a formulação da escala simples com a distribuição GEV. &lt;!–#Sob escala simples, as PWMs em duas escalas temporais</w:t>
      </w:r>
      <w:r>
        <w:t xml:space="preserve"> </w:t>
      </w:r>
      <m:oMath>
        <m:r>
          <m:t>t</m:t>
        </m:r>
      </m:oMath>
      <w:r>
        <w:t xml:space="preserve"> </w:t>
      </w:r>
      <w:r>
        <w:t xml:space="preserve">e</w:t>
      </w:r>
      <w:r>
        <w:t xml:space="preserve"> </w:t>
      </w:r>
      <m:oMath>
        <m:r>
          <m:t>λ</m:t>
        </m:r>
        <m:r>
          <m:t>t</m:t>
        </m:r>
      </m:oMath>
      <w:r>
        <w:t xml:space="preserve"> </w:t>
      </w:r>
      <w:r>
        <w:t xml:space="preserve">relacionam-se por</w:t>
      </w:r>
    </w:p>
    <w:p>
      <w:pPr>
        <w:pStyle w:val="BodyText"/>
      </w:pPr>
      <m:oMathPara>
        <m:oMathParaPr>
          <m:jc m:val="center"/>
        </m:oMathParaPr>
        <m:oMath>
          <m:sSub>
            <m:e>
              <m:r>
                <m:t>β</m:t>
              </m:r>
            </m:e>
            <m:sub>
              <m:r>
                <m:t>r</m:t>
              </m:r>
            </m:sub>
          </m:sSub>
          <m:d>
            <m:dPr>
              <m:begChr m:val="("/>
              <m:endChr m:val=")"/>
              <m:sepChr m:val=""/>
              <m:grow/>
            </m:dPr>
            <m:e>
              <m:r>
                <m:t>λ</m:t>
              </m:r>
              <m:r>
                <m:t>t</m:t>
              </m:r>
            </m:e>
          </m:d>
          <m:r>
            <m:rPr>
              <m:sty m:val="p"/>
            </m:rPr>
            <m:t>=</m:t>
          </m:r>
          <m:sSup>
            <m:e>
              <m:r>
                <m:t>λ</m:t>
              </m:r>
            </m:e>
            <m:sup>
              <m:r>
                <m:t>S</m:t>
              </m:r>
            </m:sup>
          </m:sSup>
          <m:r>
            <m:t> </m:t>
          </m:r>
          <m:sSub>
            <m:e>
              <m:r>
                <m:t>β</m:t>
              </m:r>
            </m:e>
            <m:sub>
              <m:r>
                <m:t>r</m:t>
              </m:r>
            </m:sub>
          </m:sSub>
          <m:d>
            <m:dPr>
              <m:begChr m:val="("/>
              <m:endChr m:val=")"/>
              <m:sepChr m:val=""/>
              <m:grow/>
            </m:dPr>
            <m:e>
              <m:r>
                <m:t>t</m:t>
              </m:r>
            </m:e>
          </m:d>
        </m:oMath>
      </m:oMathPara>
    </w:p>
    <w:p>
      <w:pPr>
        <w:pStyle w:val="FirstParagraph"/>
      </w:pPr>
      <w:r>
        <w:t xml:space="preserve">onde</w:t>
      </w:r>
      <w:r>
        <w:t xml:space="preserve"> </w:t>
      </w:r>
      <m:oMath>
        <m:r>
          <m:t>λ</m:t>
        </m:r>
      </m:oMath>
      <w:r>
        <w:t xml:space="preserve"> </w:t>
      </w:r>
      <w:r>
        <w:t xml:space="preserve">é a razão de escalas (p.ex.,</w:t>
      </w:r>
      <w:r>
        <w:t xml:space="preserve"> </w:t>
      </w:r>
      <m:oMath>
        <m:r>
          <m:t>λ</m:t>
        </m:r>
        <m:r>
          <m:rPr>
            <m:sty m:val="p"/>
          </m:rPr>
          <m:t>=</m:t>
        </m:r>
        <m:r>
          <m:t>1</m:t>
        </m:r>
        <m:r>
          <m:rPr>
            <m:sty m:val="p"/>
          </m:rPr>
          <m:t>/</m:t>
        </m:r>
        <m:r>
          <m:t>24</m:t>
        </m:r>
      </m:oMath>
      <w:r>
        <w:t xml:space="preserve"> </w:t>
      </w:r>
      <w:r>
        <w:t xml:space="preserve">para 1 h a partir de 24 h) e</w:t>
      </w:r>
      <w:r>
        <w:t xml:space="preserve"> </w:t>
      </w:r>
      <m:oMath>
        <m:r>
          <m:t>S</m:t>
        </m:r>
      </m:oMath>
      <w:r>
        <w:t xml:space="preserve"> </w:t>
      </w:r>
      <w:r>
        <w:t xml:space="preserve">é o expoente de escala comum aos momentos; essa hipótese permite transportar estatísticas entre durações a partir de uma escala de referência diária. A mesma lei induz a relação, para parâmetros/quantis da GEV,</w:t>
      </w:r>
    </w:p>
    <w:p>
      <w:pPr>
        <w:pStyle w:val="BodyText"/>
      </w:pPr>
      <m:oMathPara>
        <m:oMathParaPr>
          <m:jc m:val="center"/>
        </m:oMathParaPr>
        <m:oMath>
          <m:r>
            <m:t>g</m:t>
          </m:r>
          <m:d>
            <m:dPr>
              <m:begChr m:val="("/>
              <m:endChr m:val=")"/>
              <m:sepChr m:val=""/>
              <m:grow/>
            </m:dPr>
            <m:e>
              <m:r>
                <m:t>λ</m:t>
              </m:r>
              <m:r>
                <m:t>t</m:t>
              </m:r>
            </m:e>
          </m:d>
          <m:r>
            <m:rPr>
              <m:sty m:val="p"/>
            </m:rPr>
            <m:t>=</m:t>
          </m:r>
          <m:sSup>
            <m:e>
              <m:r>
                <m:t>λ</m:t>
              </m:r>
            </m:e>
            <m:sup>
              <m:r>
                <m:t>S</m:t>
              </m:r>
            </m:sup>
          </m:sSup>
          <m:r>
            <m:t>g</m:t>
          </m:r>
          <m:d>
            <m:dPr>
              <m:begChr m:val="("/>
              <m:endChr m:val=")"/>
              <m:sepChr m:val=""/>
              <m:grow/>
            </m:dPr>
            <m:e>
              <m:r>
                <m:t>t</m:t>
              </m:r>
            </m:e>
          </m:d>
          <m:r>
            <m:rPr>
              <m:sty m:val="p"/>
            </m:rPr>
            <m:t>,</m:t>
          </m:r>
          <m:r>
            <m:t>  </m:t>
          </m:r>
          <m:r>
            <m:t>κ</m:t>
          </m:r>
          <m:d>
            <m:dPr>
              <m:begChr m:val="("/>
              <m:endChr m:val=")"/>
              <m:sepChr m:val=""/>
              <m:grow/>
            </m:dPr>
            <m:e>
              <m:r>
                <m:t>λ</m:t>
              </m:r>
              <m:r>
                <m:t>t</m:t>
              </m:r>
            </m:e>
          </m:d>
          <m:r>
            <m:rPr>
              <m:sty m:val="p"/>
            </m:rPr>
            <m:t>=</m:t>
          </m:r>
          <m:r>
            <m:t>κ</m:t>
          </m:r>
          <m:d>
            <m:dPr>
              <m:begChr m:val="("/>
              <m:endChr m:val=")"/>
              <m:sepChr m:val=""/>
              <m:grow/>
            </m:dPr>
            <m:e>
              <m:r>
                <m:t>t</m:t>
              </m:r>
            </m:e>
          </m:d>
        </m:oMath>
      </m:oMathPara>
    </w:p>
    <w:p>
      <w:pPr>
        <w:pStyle w:val="FirstParagraph"/>
      </w:pPr>
      <w:r>
        <w:t xml:space="preserve">em que</w:t>
      </w:r>
      <w:r>
        <w:t xml:space="preserve"> </w:t>
      </w:r>
      <m:oMath>
        <m:r>
          <m:t>g</m:t>
        </m:r>
      </m:oMath>
      <w:r>
        <w:t xml:space="preserve"> </w:t>
      </w:r>
      <w:r>
        <w:t xml:space="preserve">denota o parâmetro de posição, o de escala ou o quantil de retorno</w:t>
      </w:r>
      <w:r>
        <w:t xml:space="preserve"> </w:t>
      </w:r>
      <m:oMath>
        <m:r>
          <m:t>T</m:t>
        </m:r>
      </m:oMath>
      <w:r>
        <w:t xml:space="preserve"> </w:t>
      </w:r>
      <w:r>
        <w:t xml:space="preserve">e</w:t>
      </w:r>
      <w:r>
        <w:t xml:space="preserve"> </w:t>
      </w:r>
      <m:oMath>
        <m:r>
          <m:t>κ</m:t>
        </m:r>
      </m:oMath>
      <w:r>
        <w:t xml:space="preserve"> </w:t>
      </w:r>
      <w:r>
        <w:t xml:space="preserve">é o parâmetro de forma, assumido invariável à mudança de duração; assim, quantis subdiários são obtidos diretamente de séries anuais máximas (AMS) diárias –&gt;.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t xml:space="preserve">“</w:t>
      </w:r>
      <w:r>
        <w:t xml:space="preserve">piecewise</w:t>
      </w:r>
      <w:r>
        <w:t xml:space="preserve">”</w:t>
      </w:r>
      <w:r>
        <w:t xml:space="preserve"> </w:t>
      </w:r>
      <w:r>
        <w:t xml:space="preserve">coerente entre durações.</w:t>
      </w:r>
    </w:p>
    <w:p>
      <w:pPr>
        <w:pStyle w:val="BodyText"/>
      </w:pPr>
      <w:r>
        <w:t xml:space="preserve">Benestad et al. (2021) &lt;!–#propõem uma fórmula simples para estimar IDFs subdiárias usando apenas dados diários (24 h) e dois indicadores facilmente observáveis: a média em dias chuvosos</w:t>
      </w:r>
      <w:r>
        <w:t xml:space="preserve"> </w:t>
      </w:r>
      <m:oMath>
        <m:r>
          <m:t>μ</m:t>
        </m:r>
      </m:oMath>
      <w:r>
        <w:t xml:space="preserve"> </w:t>
      </w:r>
      <w:r>
        <w:t xml:space="preserve">e a frequência de dias chuvosos</w:t>
      </w:r>
      <w:r>
        <w:t xml:space="preserve"> </w:t>
      </w:r>
      <m:oMath>
        <m:sSub>
          <m:e>
            <m:r>
              <m:t>f</m:t>
            </m:r>
          </m:e>
          <m:sub>
            <m:r>
              <m:t>w</m:t>
            </m:r>
          </m:sub>
        </m:sSub>
      </m:oMath>
      <w:r>
        <w:t xml:space="preserve">​. Partindo de uma aproximação exponencial para a cauda moderada da chuva diária e de um fator corretivo</w:t>
      </w:r>
      <w:r>
        <w:t xml:space="preserve"> </w:t>
      </w:r>
      <m:oMath>
        <m:r>
          <m:t>α</m:t>
        </m:r>
      </m:oMath>
      <w:r>
        <w:t xml:space="preserve"> </w:t>
      </w:r>
      <w:r>
        <w:t xml:space="preserve">(que ajusta a discrepância entre a cauda observada e a exponencial), os autores estendem o raciocínio para escalas subdiárias assumindo lei de potência em duração. O resultado é a expressão prática</w:t>
      </w:r>
    </w:p>
    <w:p>
      <w:pPr>
        <w:pStyle w:val="BodyText"/>
      </w:pPr>
      <m:oMathPara>
        <m:oMathParaPr>
          <m:jc m:val="center"/>
        </m:oMathParaPr>
        <m:oMath>
          <m:sSub>
            <m:e>
              <m:r>
                <m:t>x</m:t>
              </m:r>
            </m:e>
            <m:sub>
              <m:r>
                <m:t>L</m:t>
              </m:r>
            </m:sub>
          </m:sSub>
          <m:r>
            <m:rPr>
              <m:sty m:val="p"/>
            </m:rPr>
            <m:t>=</m:t>
          </m:r>
          <m:r>
            <m:t>α</m:t>
          </m:r>
          <m:r>
            <m:t> </m:t>
          </m:r>
          <m:r>
            <m:t>μ</m:t>
          </m:r>
          <m:sSup>
            <m:e>
              <m:d>
                <m:dPr>
                  <m:begChr m:val="("/>
                  <m:endChr m:val=")"/>
                  <m:sepChr m:val=""/>
                  <m:grow/>
                </m:dPr>
                <m:e>
                  <m:f>
                    <m:fPr>
                      <m:type m:val="bar"/>
                    </m:fPr>
                    <m:num>
                      <m:r>
                        <m:t>L</m:t>
                      </m:r>
                    </m:num>
                    <m:den>
                      <m:r>
                        <m:t>24</m:t>
                      </m:r>
                    </m:den>
                  </m:f>
                </m:e>
              </m:d>
            </m:e>
            <m:sup>
              <m:r>
                <m:t>ζ</m:t>
              </m:r>
            </m:sup>
          </m:sSup>
          <m:r>
            <m:t>​</m:t>
          </m:r>
          <m:r>
            <m:rPr>
              <m:sty m:val="p"/>
            </m:rPr>
            <m:t>ln</m:t>
          </m:r>
          <m:r>
            <m:t>​</m:t>
          </m:r>
          <m:d>
            <m:dPr>
              <m:begChr m:val="["/>
              <m:endChr m:val="]"/>
              <m:sepChr m:val=""/>
              <m:grow/>
            </m:dPr>
            <m:e>
              <m:sSub>
                <m:e>
                  <m:r>
                    <m:t>f</m:t>
                  </m:r>
                </m:e>
                <m:sub>
                  <m:r>
                    <m:t>w</m:t>
                  </m:r>
                </m:sub>
              </m:sSub>
              <m:r>
                <m:t> </m:t>
              </m:r>
              <m:r>
                <m:t>τ</m:t>
              </m:r>
            </m:e>
          </m:d>
        </m:oMath>
      </m:oMathPara>
    </w:p>
    <w:p>
      <w:pPr>
        <w:pStyle w:val="FirstParagraph"/>
      </w:pPr>
      <w:r>
        <w:t xml:space="preserve">em que</w:t>
      </w:r>
      <w:r>
        <w:t xml:space="preserve"> </w:t>
      </w:r>
      <m:oMath>
        <m:sSub>
          <m:e>
            <m:r>
              <m:t>x</m:t>
            </m:r>
          </m:e>
          <m:sub>
            <m:r>
              <m:t>L</m:t>
            </m:r>
          </m:sub>
        </m:sSub>
      </m:oMath>
      <w:r>
        <w:t xml:space="preserve">​ é o nível de retorno na duração</w:t>
      </w:r>
      <w:r>
        <w:t xml:space="preserve"> </w:t>
      </w:r>
      <m:oMath>
        <m:r>
          <m:t>L</m:t>
        </m:r>
      </m:oMath>
      <w:r>
        <w:t xml:space="preserve"> </w:t>
      </w:r>
      <w:r>
        <w:t xml:space="preserve">(h) para período de retorno</w:t>
      </w:r>
      <w:r>
        <w:t xml:space="preserve"> </w:t>
      </w:r>
      <m:oMath>
        <m:r>
          <m:t>τ</m:t>
        </m:r>
      </m:oMath>
      <w:r>
        <w:t xml:space="preserve">,</w:t>
      </w:r>
      <w:r>
        <w:t xml:space="preserve"> </w:t>
      </w:r>
      <m:oMath>
        <m:r>
          <m:t>ζ</m:t>
        </m:r>
      </m:oMath>
      <w:r>
        <w:t xml:space="preserve"> </w:t>
      </w:r>
      <w:r>
        <w:t xml:space="preserve">é o expoente de escala temporal estimado como a inclinação da regressão</w:t>
      </w:r>
      <w:r>
        <w:t xml:space="preserve"> </w:t>
      </w:r>
      <m:oMath>
        <m:r>
          <m:rPr>
            <m:sty m:val="p"/>
          </m:rPr>
          <m:t>log</m:t>
        </m:r>
        <m:sSub>
          <m:e>
            <m:r>
              <m:t>x</m:t>
            </m:r>
          </m:e>
          <m:sub>
            <m:r>
              <m:t>L</m:t>
            </m:r>
          </m:sub>
        </m:sSub>
      </m:oMath>
      <w:r>
        <w:t xml:space="preserve">​ versus</w:t>
      </w:r>
      <w:r>
        <w:t xml:space="preserve"> </w:t>
      </w:r>
      <m:oMath>
        <m:r>
          <m:rPr>
            <m:sty m:val="p"/>
          </m:rPr>
          <m:t>log</m:t>
        </m:r>
        <m:d>
          <m:dPr>
            <m:begChr m:val="("/>
            <m:endChr m:val=")"/>
            <m:sepChr m:val=""/>
            <m:grow/>
          </m:dPr>
          <m:e>
            <m:r>
              <m:t>L</m:t>
            </m:r>
            <m:r>
              <m:rPr>
                <m:sty m:val="p"/>
              </m:rPr>
              <m:t>/</m:t>
            </m:r>
            <m:r>
              <m:t>24</m:t>
            </m:r>
          </m:e>
        </m:d>
      </m:oMath>
      <w:r>
        <w:t xml:space="preserve">, e</w:t>
      </w:r>
      <w:r>
        <w:t xml:space="preserve"> </w:t>
      </w:r>
      <m:oMath>
        <m:r>
          <m:t>α</m:t>
        </m:r>
      </m:oMath>
      <w:r>
        <w:t xml:space="preserve"> </w:t>
      </w:r>
      <w:r>
        <w:t xml:space="preserve">pode vir da calibração diária (os autores discutem ainda sua dependência com</w:t>
      </w:r>
      <w:r>
        <w:t xml:space="preserve"> </w:t>
      </w:r>
      <m:oMath>
        <m:r>
          <m:t>τ</m:t>
        </m:r>
      </m:oMath>
      <w:r>
        <w:t xml:space="preserve">). Essa forma funciona como um downscaling temporal analítico: transfere informação do diário para o sub-diário sem ajustar EV/GEV em cada duração, explorando que</w:t>
      </w:r>
      <w:r>
        <w:t xml:space="preserve"> </w:t>
      </w:r>
      <m:oMath>
        <m:r>
          <m:t>μ</m:t>
        </m:r>
      </m:oMath>
      <w:r>
        <w:t xml:space="preserve"> </w:t>
      </w:r>
      <w:r>
        <w:t xml:space="preserve">e</w:t>
      </w:r>
      <w:r>
        <w:t xml:space="preserve"> </w:t>
      </w:r>
      <m:oMath>
        <m:sSub>
          <m:e>
            <m:r>
              <m:t>f</m:t>
            </m:r>
          </m:e>
          <m:sub>
            <m:r>
              <m:t>w</m:t>
            </m:r>
          </m:sub>
        </m:sSub>
      </m:oMath>
      <w:r>
        <w:t xml:space="preserve">​ já capturam não-estacionariedade climática. Metodologicamente, o estudo calibra</w:t>
      </w:r>
      <w:r>
        <w:t xml:space="preserve"> </w:t>
      </w:r>
      <m:oMath>
        <m:r>
          <m:t>ζ</m:t>
        </m:r>
      </m:oMath>
      <w:r>
        <w:t xml:space="preserve"> </w:t>
      </w:r>
      <w:r>
        <w:t xml:space="preserve">a partir de IDFs observadas em 14 postos de Oslo via regressão log–log, mostra que o termo</w:t>
      </w:r>
      <w:r>
        <w:t xml:space="preserve"> </w:t>
      </w:r>
      <m:oMath>
        <m:sSup>
          <m:e>
            <m:d>
              <m:dPr>
                <m:begChr m:val="("/>
                <m:endChr m:val=")"/>
                <m:sepChr m:val=""/>
                <m:grow/>
              </m:dPr>
              <m:e>
                <m:r>
                  <m:t>L</m:t>
                </m:r>
                <m:r>
                  <m:rPr>
                    <m:sty m:val="p"/>
                  </m:rPr>
                  <m:t>/</m:t>
                </m:r>
                <m:r>
                  <m:t>24</m:t>
                </m:r>
              </m:e>
            </m:d>
          </m:e>
          <m:sup>
            <m:r>
              <m:t>ζ</m:t>
            </m:r>
          </m:sup>
        </m:sSup>
      </m:oMath>
      <w:r>
        <w:t xml:space="preserve"> </w:t>
      </w:r>
      <w:r>
        <w:t xml:space="preserve">domina a variação com</w:t>
      </w:r>
      <w:r>
        <w:t xml:space="preserve"> </w:t>
      </w:r>
      <m:oMath>
        <m:r>
          <m:t>L</m:t>
        </m:r>
      </m:oMath>
      <w:r>
        <w:t xml:space="preserve"> </w:t>
      </w:r>
      <w:r>
        <w:t xml:space="preserve">frente a</w:t>
      </w:r>
      <w:r>
        <w:t xml:space="preserve"> </w:t>
      </w:r>
      <m:oMath>
        <m:r>
          <m:rPr>
            <m:sty m:val="p"/>
          </m:rPr>
          <m:t>ln</m:t>
        </m:r>
        <m:d>
          <m:dPr>
            <m:begChr m:val="["/>
            <m:endChr m:val="]"/>
            <m:sepChr m:val=""/>
            <m:grow/>
          </m:dPr>
          <m:e>
            <m:sSub>
              <m:e>
                <m:r>
                  <m:t>f</m:t>
                </m:r>
              </m:e>
              <m:sub>
                <m:r>
                  <m:t>w</m:t>
                </m:r>
              </m:sub>
            </m:sSub>
            <m:r>
              <m:t>τ</m:t>
            </m:r>
          </m:e>
        </m:d>
      </m:oMath>
      <w:r>
        <w:t xml:space="preserve">, e valida a fórmula em postos independentes no país (desempenho bom para</w:t>
      </w:r>
      <w:r>
        <w:t xml:space="preserve"> </w:t>
      </w:r>
      <m:oMath>
        <m:r>
          <m:t>T</m:t>
        </m:r>
        <m:r>
          <m:rPr>
            <m:sty m:val="p"/>
          </m:rPr>
          <m:t>=</m:t>
        </m:r>
        <m:r>
          <m:t>10</m:t>
        </m:r>
      </m:oMath>
      <w:r>
        <w:t xml:space="preserve"> </w:t>
      </w:r>
      <w:r>
        <w:t xml:space="preserve">anos; desempenho decai em</w:t>
      </w:r>
      <w:r>
        <w:t xml:space="preserve"> </w:t>
      </w:r>
      <m:oMath>
        <m:r>
          <m:t>T</m:t>
        </m:r>
      </m:oMath>
      <w:r>
        <w:t xml:space="preserve"> </w:t>
      </w:r>
      <w:r>
        <w:t xml:space="preserve">muito altos, onde</w:t>
      </w:r>
      <w:r>
        <w:t xml:space="preserve"> </w:t>
      </w:r>
      <m:oMath>
        <m:r>
          <m:t>α</m:t>
        </m:r>
      </m:oMath>
      <w:r>
        <w:t xml:space="preserve"> </w:t>
      </w:r>
      <w:r>
        <w:t xml:space="preserve">cresce e a curvatura da IDF real exibe</w:t>
      </w:r>
      <w:r>
        <w:t xml:space="preserve"> </w:t>
      </w:r>
      <w:r>
        <w:t xml:space="preserve">“</w:t>
      </w:r>
      <w:r>
        <w:t xml:space="preserve">quebras</w:t>
      </w:r>
      <w:r>
        <w:t xml:space="preserve">”</w:t>
      </w:r>
      <w:r>
        <w:t xml:space="preserve">). Em contraste com esquemas clássicos, a expressão explicita</w:t>
      </w:r>
      <w:r>
        <w:t xml:space="preserve"> </w:t>
      </w:r>
      <m:oMath>
        <m:r>
          <m:t>μ</m:t>
        </m:r>
      </m:oMath>
      <w:r>
        <w:t xml:space="preserve"> </w:t>
      </w:r>
      <w:r>
        <w:t xml:space="preserve">e</w:t>
      </w:r>
      <w:r>
        <w:t xml:space="preserve"> </w:t>
      </w:r>
      <m:oMath>
        <m:sSub>
          <m:e>
            <m:r>
              <m:t>f</m:t>
            </m:r>
          </m:e>
          <m:sub>
            <m:r>
              <m:t>w</m:t>
            </m:r>
          </m:sub>
        </m:sSub>
      </m:oMath>
      <w:r>
        <w:t xml:space="preserve"> </w:t>
      </w:r>
      <w:r>
        <w:t xml:space="preserve">na IDF, conectando diretamente a forma da curva à climatologia local de intensidade média e frequência de chuva — o que a torna útil onde faltam séries sub-horárias e para cenários futuros se</w:t>
      </w:r>
      <w:r>
        <w:t xml:space="preserve"> </w:t>
      </w:r>
      <m:oMath>
        <m:r>
          <m:t>μ</m:t>
        </m:r>
      </m:oMath>
      <w:r>
        <w:t xml:space="preserve"> </w:t>
      </w:r>
      <w:r>
        <w:t xml:space="preserve">e</w:t>
      </w:r>
      <w:r>
        <w:t xml:space="preserve"> </w:t>
      </w:r>
      <m:oMath>
        <m:sSub>
          <m:e>
            <m:r>
              <m:t>f</m:t>
            </m:r>
          </m:e>
          <m:sub>
            <m:r>
              <m:t>w</m:t>
            </m:r>
          </m:sub>
        </m:sSub>
      </m:oMath>
      <w:r>
        <w:t xml:space="preserve"> </w:t>
      </w:r>
      <w:r>
        <w:t xml:space="preserve">puderem ser projetados. #Mais Regionalização–&gt;</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simple scaling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(simple scaling)</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e, via a relação acima, reconstruir</w:t>
      </w:r>
      <w:r>
        <w:t xml:space="preserve"> </w:t>
      </w:r>
      <m:oMath>
        <m:sSub>
          <m:e>
            <m:r>
              <m:t>i</m:t>
            </m:r>
          </m:e>
          <m:sub>
            <m:r>
              <m:t>d</m:t>
            </m:r>
            <m:r>
              <m:rPr>
                <m:sty m:val="p"/>
              </m:rPr>
              <m:t>,</m:t>
            </m:r>
            <m:r>
              <m:t>T</m:t>
            </m:r>
          </m:sub>
        </m:sSub>
      </m:oMath>
      <w:r>
        <w:t xml:space="preserve">​ 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r>
        <w:t xml:space="preserve"> </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simple scaling,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w:t>
      </w:r>
      <w:r>
        <w:t xml:space="preserve">real</w:t>
      </w:r>
      <w:r>
        <w:t xml:space="preserve">”</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multiple scaling, a variabilidade de segunda ordem é relaxada introduzindo</w:t>
      </w:r>
      <w:r>
        <w:t xml:space="preserve"> </w:t>
      </w:r>
      <m:oMath>
        <m:sSub>
          <m:e>
            <m:r>
              <m:t>ϕ</m:t>
            </m:r>
          </m:e>
          <m:sub>
            <m:r>
              <m:t>2</m:t>
            </m:r>
          </m:sub>
        </m:sSub>
      </m:oMath>
      <w:r>
        <w:t xml:space="preserve">​ 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devido a amostras curtas), enquanto</w:t>
      </w:r>
      <w:r>
        <w:t xml:space="preserve"> </w:t>
      </w:r>
      <m:oMath>
        <m:sSub>
          <m:e>
            <m:r>
              <m:t>a</m:t>
            </m:r>
          </m:e>
          <m:sub>
            <m:r>
              <m:t>1</m:t>
            </m:r>
          </m:sub>
        </m:sSub>
      </m:oMath>
      <w:r>
        <w:t xml:space="preserve">​ 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p>
      <w:pPr>
        <w:pStyle w:val="Compact"/>
        <w:numPr>
          <w:ilvl w:val="0"/>
          <w:numId w:val="1005"/>
        </w:numPr>
      </w:pPr>
      <w:r>
        <w:rPr>
          <w:b/>
          <w:bCs/>
        </w:rPr>
        <w:t xml:space="preserve">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w:t>
      </w:r>
      <w:r>
        <w:t xml:space="preserve">fragmentos</w:t>
      </w:r>
      <w:r>
        <w:t xml:space="preserve">”</w:t>
      </w:r>
      <w:r>
        <w:t xml:space="preserve"> </w:t>
      </w:r>
      <w:r>
        <w:t xml:space="preserve">subdiários históricos (hietogramas normalizados). No MOF, para uma estação doadora sss,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KS bivariado 2D2S ao nível de 5%; (iii) modela-se a probabilidade de duas estações serem similares ($u=1$) com regressão logística em diferenças de latitude, longitude, elevação e no produto lat×lon, gerando um ranking de vizinhos por estação e por estação do ano; e (iv) executa-se o reamostrador KNN com janela sazonal móvel (±15 dias) e lógica por estados (seco/úmido em $i-1$ 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(Disaggregation Preserving Marginals and Correlations).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w:t>
      </w:r>
      <w:r>
        <w:t xml:space="preserve">pai</w:t>
      </w:r>
      <w:r>
        <w:t xml:space="preserve">”</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rPr>
            <m:sty m:val="p"/>
          </m:rPr>
          <m:t>​</m:t>
        </m:r>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w:t>
      </w:r>
      <w:r>
        <w:t xml:space="preserve">inflar</w:t>
      </w:r>
      <w:r>
        <w:t xml:space="preserve">”</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AR($p$)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(p.ex., 5%), define-se o evento</w:t>
      </w:r>
      <w:r>
        <w:t xml:space="preserve"> </w:t>
      </w:r>
      <w:r>
        <w:t xml:space="preserve">“</w:t>
      </w:r>
      <w:r>
        <w:t xml:space="preserve">sucesso</w:t>
      </w:r>
      <w:r>
        <w:t xml:space="preserve">”</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pStyle w:val="Compact"/>
        <w:numPr>
          <w:ilvl w:val="0"/>
          <w:numId w:val="1006"/>
        </w:numPr>
      </w:pPr>
      <w:r>
        <w:rPr>
          <w:b/>
          <w:bCs/>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w:t>
      </w:r>
      <w:r>
        <w:t xml:space="preserve">empresta informação</w:t>
      </w:r>
      <w:r>
        <w:t xml:space="preserve">”</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 pooling 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 são covariáveis (p.ex., altitude, distância ao mar) e</w:t>
      </w:r>
      <w:r>
        <w:t xml:space="preserve"> </w:t>
      </w:r>
      <m:oMath>
        <m:r>
          <m:t>δ</m:t>
        </m:r>
        <m:d>
          <m:dPr>
            <m:begChr m:val="("/>
            <m:endChr m:val=")"/>
            <m:sepChr m:val=""/>
            <m:grow/>
          </m:dPr>
          <m:e>
            <m:r>
              <m:t>s</m:t>
            </m:r>
          </m:e>
        </m:d>
      </m:oMath>
      <w:r>
        <w:t xml:space="preserve"> é um termo espacial latente que promove pooling 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w:t>
      </w:r>
      <w:r>
        <w:t xml:space="preserve">amarrando</w:t>
      </w:r>
      <w:r>
        <w:t xml:space="preserve">”</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r>
        <w:t xml:space="preserve"> </w:t>
      </w:r>
    </w:p>
    <w:p>
      <w:pPr>
        <w:pStyle w:val="BodyText"/>
      </w:pPr>
      <w:r>
        <w:t xml:space="preserve">Van de Vyver (2018) propõe um modelo IDF fundado em multiescalonamento dos máximos anuais, estendendo a</w:t>
      </w:r>
      <w:r>
        <w:t xml:space="preserve"> </w:t>
      </w:r>
      <w:r>
        <w:t xml:space="preserve">“</w:t>
      </w:r>
      <w:r>
        <w:t xml:space="preserve">escala simples + GEV</w:t>
      </w:r>
      <w:r>
        <w:t xml:space="preserve">”</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e</w:t>
      </w:r>
      <w:r>
        <w:t xml:space="preserve"> </w:t>
      </w:r>
      <m:oMath>
        <m:sSub>
          <m:e>
            <m:r>
              <m:t>σ</m:t>
            </m:r>
          </m:e>
          <m:sub>
            <m:r>
              <m:t>0</m:t>
            </m:r>
          </m:sub>
        </m:sSub>
      </m:oMath>
      <w:r>
        <w:t xml:space="preserve">​ controlam o</w:t>
      </w:r>
      <w:r>
        <w:t xml:space="preserve"> </w:t>
      </w:r>
      <w:r>
        <w:t xml:space="preserve">“</w:t>
      </w:r>
      <w:r>
        <w:t xml:space="preserve">deslocamento</w:t>
      </w:r>
      <w:r>
        <w:t xml:space="preserve">”</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 False Discovery Rate Bayesiano,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w:t>
      </w:r>
      <w:r>
        <w:t xml:space="preserve">3 parâmetros × número de durações</w:t>
      </w:r>
      <w:r>
        <w:t xml:space="preserve">”</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w:t>
      </w:r>
      <w:r>
        <w:t xml:space="preserve">ligadas</w:t>
      </w:r>
      <w:r>
        <w:t xml:space="preserve">”</w:t>
      </w:r>
      <w:r>
        <w:t xml:space="preserve"> </w:t>
      </w:r>
      <w:r>
        <w:t xml:space="preserve">entre durações para obter os parametros; (ii) esses cinco parâmetros são espacializados (p.ex., thin-plate splines),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 Brown–Resnick à dependência espacial/entre-durações, com um</w:t>
      </w:r>
      <w:r>
        <w:t xml:space="preserve"> </w:t>
      </w:r>
      <w:r>
        <w:t xml:space="preserve">“</w:t>
      </w:r>
      <w:r>
        <w:t xml:space="preserve">nugget de duração</w:t>
      </w:r>
      <w:r>
        <w:t xml:space="preserve">”</w:t>
      </w:r>
      <w:r>
        <w:t xml:space="preserve"> </w:t>
      </w:r>
      <w:r>
        <w:t xml:space="preserve">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0"/>
    <w:bookmarkStart w:id="119" w:name="noção-de-invariância-de-escala"/>
    <w:p>
      <w:pPr>
        <w:pStyle w:val="Heading2"/>
      </w:pPr>
      <w:r>
        <w:t xml:space="preserve">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Start w:id="118" w:name="refs"/>
    <w:bookmarkStart w:id="22"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1">
        <w:r>
          <w:rPr>
            <w:rStyle w:val="Hyperlink"/>
          </w:rPr>
          <w:t xml:space="preserve">https://doi.org/10.1590/1678-4324-2022210694</w:t>
        </w:r>
      </w:hyperlink>
      <w:r>
        <w:t xml:space="preserve">.</w:t>
      </w:r>
    </w:p>
    <w:bookmarkEnd w:id="22"/>
    <w:bookmarkStart w:id="24"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23">
        <w:r>
          <w:rPr>
            <w:rStyle w:val="Hyperlink"/>
          </w:rPr>
          <w:t xml:space="preserve">https://doi.org/10.1590/2318-0331.252020190054</w:t>
        </w:r>
      </w:hyperlink>
      <w:r>
        <w:t xml:space="preserve">.</w:t>
      </w:r>
    </w:p>
    <w:bookmarkEnd w:id="24"/>
    <w:bookmarkStart w:id="26"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25">
        <w:r>
          <w:rPr>
            <w:rStyle w:val="Hyperlink"/>
          </w:rPr>
          <w:t xml:space="preserve">https://doi.org/10.1029/2006wr004911</w:t>
        </w:r>
      </w:hyperlink>
      <w:r>
        <w:t xml:space="preserve">.</w:t>
      </w:r>
    </w:p>
    <w:bookmarkEnd w:id="26"/>
    <w:bookmarkStart w:id="28" w:name="ref-Barbosa.2023gyg"/>
    <w:p>
      <w:pPr>
        <w:pStyle w:val="Bibliography"/>
      </w:pPr>
      <w:r>
        <w:t xml:space="preserve">Barbosa, Alan de Gois, and Veber A. F. Costa. 2023b.</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27">
        <w:r>
          <w:rPr>
            <w:rStyle w:val="Hyperlink"/>
          </w:rPr>
          <w:t xml:space="preserve">https://doi.org/10.1007/s00477-023-02546-6</w:t>
        </w:r>
      </w:hyperlink>
      <w:r>
        <w:t xml:space="preserve">.</w:t>
      </w:r>
    </w:p>
    <w:bookmarkEnd w:id="28"/>
    <w:bookmarkStart w:id="29" w:name="ref-Barbosa.2023"/>
    <w:p>
      <w:pPr>
        <w:pStyle w:val="Bibliography"/>
      </w:pPr>
      <w:r>
        <w:t xml:space="preserve">———. 2023a.</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27">
        <w:r>
          <w:rPr>
            <w:rStyle w:val="Hyperlink"/>
          </w:rPr>
          <w:t xml:space="preserve">https://doi.org/10.1007/s00477-023-02546-6</w:t>
        </w:r>
      </w:hyperlink>
      <w:r>
        <w:t xml:space="preserve">.</w:t>
      </w:r>
    </w:p>
    <w:bookmarkEnd w:id="29"/>
    <w:bookmarkStart w:id="31"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0">
        <w:r>
          <w:rPr>
            <w:rStyle w:val="Hyperlink"/>
          </w:rPr>
          <w:t xml:space="preserve">https://doi.org/10.1590/s1413-41522016133691</w:t>
        </w:r>
      </w:hyperlink>
      <w:r>
        <w:t xml:space="preserve">.</w:t>
      </w:r>
    </w:p>
    <w:bookmarkEnd w:id="31"/>
    <w:bookmarkStart w:id="33" w:name="ref-Benestad.2021"/>
    <w:p>
      <w:pPr>
        <w:pStyle w:val="Bibliography"/>
      </w:pPr>
      <w:r>
        <w:t xml:space="preserve">Benestad, Rasmus E, Julia Lutz, Anita Verpe Dyrrdal, Jan Erik Haugen, Kajsa M Parding, and Andreas Dobler. 2021.</w:t>
      </w:r>
      <w:r>
        <w:t xml:space="preserve"> </w:t>
      </w:r>
      <w:r>
        <w:t xml:space="preserve">“</w:t>
      </w:r>
      <w:r>
        <w:t xml:space="preserve">Testing a simple formula for calculating approximate intensity-duration-frequency curves</w:t>
      </w:r>
      <w:r>
        <w:t xml:space="preserve">.”</w:t>
      </w:r>
      <w:r>
        <w:t xml:space="preserve"> </w:t>
      </w:r>
      <w:r>
        <w:rPr>
          <w:i/>
          <w:iCs/>
        </w:rPr>
        <w:t xml:space="preserve">Environmental Research Letters</w:t>
      </w:r>
      <w:r>
        <w:t xml:space="preserve"> </w:t>
      </w:r>
      <w:r>
        <w:t xml:space="preserve">16 (4): 044009.</w:t>
      </w:r>
      <w:r>
        <w:t xml:space="preserve"> </w:t>
      </w:r>
      <w:hyperlink r:id="rId32">
        <w:r>
          <w:rPr>
            <w:rStyle w:val="Hyperlink"/>
          </w:rPr>
          <w:t xml:space="preserve">https://doi.org/10.1088/1748-9326/abd4ab</w:t>
        </w:r>
      </w:hyperlink>
      <w:r>
        <w:t xml:space="preserve">.</w:t>
      </w:r>
    </w:p>
    <w:bookmarkEnd w:id="33"/>
    <w:bookmarkStart w:id="35"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34">
        <w:r>
          <w:rPr>
            <w:rStyle w:val="Hyperlink"/>
          </w:rPr>
          <w:t xml:space="preserve">https://doi.org/10.1016/j.jhydrol.2016.06.007</w:t>
        </w:r>
      </w:hyperlink>
      <w:r>
        <w:t xml:space="preserve">.</w:t>
      </w:r>
    </w:p>
    <w:bookmarkEnd w:id="35"/>
    <w:bookmarkStart w:id="37" w:name="ref-Bonaccorso.2020"/>
    <w:p>
      <w:pPr>
        <w:pStyle w:val="Bibliography"/>
      </w:pPr>
      <w:r>
        <w:t xml:space="preserve">Bonaccorso, Brunella, Giuseppina Brigandì, and Giuseppe T. Aronica. 2020.</w:t>
      </w:r>
      <w:r>
        <w:t xml:space="preserve"> </w:t>
      </w:r>
      <w:r>
        <w:t xml:space="preserve">“</w:t>
      </w:r>
      <w:r>
        <w:t xml:space="preserve">Regional sub-hourly extreme rainfall estimates in Sicily under a scale invariance framework</w:t>
      </w:r>
      <w:r>
        <w:t xml:space="preserve">.”</w:t>
      </w:r>
      <w:r>
        <w:t xml:space="preserve"> </w:t>
      </w:r>
      <w:r>
        <w:rPr>
          <w:i/>
          <w:iCs/>
        </w:rPr>
        <w:t xml:space="preserve">Water Resources Management</w:t>
      </w:r>
      <w:r>
        <w:t xml:space="preserve"> </w:t>
      </w:r>
      <w:r>
        <w:t xml:space="preserve">34 (14): 4363–80.</w:t>
      </w:r>
      <w:r>
        <w:t xml:space="preserve"> </w:t>
      </w:r>
      <w:hyperlink r:id="rId36">
        <w:r>
          <w:rPr>
            <w:rStyle w:val="Hyperlink"/>
          </w:rPr>
          <w:t xml:space="preserve">https://doi.org/10.1007/s11269-020-02667-5</w:t>
        </w:r>
      </w:hyperlink>
      <w:r>
        <w:t xml:space="preserve">.</w:t>
      </w:r>
    </w:p>
    <w:bookmarkEnd w:id="37"/>
    <w:bookmarkStart w:id="39"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38">
        <w:r>
          <w:rPr>
            <w:rStyle w:val="Hyperlink"/>
          </w:rPr>
          <w:t xml:space="preserve">https://doi.org/10.1007/s11069-004-4550-y</w:t>
        </w:r>
      </w:hyperlink>
      <w:r>
        <w:t xml:space="preserve">.</w:t>
      </w:r>
    </w:p>
    <w:bookmarkEnd w:id="39"/>
    <w:bookmarkStart w:id="41"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0">
        <w:r>
          <w:rPr>
            <w:rStyle w:val="Hyperlink"/>
          </w:rPr>
          <w:t xml:space="preserve">https://doi.org/10.1016/s0022-1694(96)03086-7</w:t>
        </w:r>
      </w:hyperlink>
      <w:r>
        <w:t xml:space="preserve">.</w:t>
      </w:r>
    </w:p>
    <w:bookmarkEnd w:id="41"/>
    <w:bookmarkStart w:id="43"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2">
        <w:r>
          <w:rPr>
            <w:rStyle w:val="Hyperlink"/>
          </w:rPr>
          <w:t xml:space="preserve">https://doi.org/10.5194/nhess-2018-290</w:t>
        </w:r>
      </w:hyperlink>
      <w:r>
        <w:t xml:space="preserve">.</w:t>
      </w:r>
    </w:p>
    <w:bookmarkEnd w:id="43"/>
    <w:bookmarkStart w:id="45" w:name="ref-Cooley.2010"/>
    <w:p>
      <w:pPr>
        <w:pStyle w:val="Bibliography"/>
      </w:pPr>
      <w:r>
        <w:t xml:space="preserve">Cooley, Daniel, and Stephan R. Sain. 2010.</w:t>
      </w:r>
      <w:r>
        <w:t xml:space="preserve"> </w:t>
      </w:r>
      <w:r>
        <w:t xml:space="preserve">“</w:t>
      </w:r>
      <w:r>
        <w:t xml:space="preserve">Spatial Hierarchical Modeling of Precipitation Extremes From a Regional Climate Model</w:t>
      </w:r>
      <w:r>
        <w:t xml:space="preserve">.”</w:t>
      </w:r>
      <w:r>
        <w:t xml:space="preserve"> </w:t>
      </w:r>
      <w:r>
        <w:rPr>
          <w:i/>
          <w:iCs/>
        </w:rPr>
        <w:t xml:space="preserve">Journal of Agricultural, Biological, and Environmental Statistics</w:t>
      </w:r>
      <w:r>
        <w:t xml:space="preserve"> </w:t>
      </w:r>
      <w:r>
        <w:t xml:space="preserve">15 (3): 381–402.</w:t>
      </w:r>
      <w:r>
        <w:t xml:space="preserve"> </w:t>
      </w:r>
      <w:hyperlink r:id="rId44">
        <w:r>
          <w:rPr>
            <w:rStyle w:val="Hyperlink"/>
          </w:rPr>
          <w:t xml:space="preserve">https://doi.org/10.1007/s13253-010-0023-9</w:t>
        </w:r>
      </w:hyperlink>
      <w:r>
        <w:t xml:space="preserve">.</w:t>
      </w:r>
    </w:p>
    <w:bookmarkEnd w:id="45"/>
    <w:bookmarkStart w:id="47"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6">
        <w:r>
          <w:rPr>
            <w:rStyle w:val="Hyperlink"/>
          </w:rPr>
          <w:t xml:space="preserve">https://doi.org/10.1088/1748-9326/ab370a</w:t>
        </w:r>
      </w:hyperlink>
      <w:r>
        <w:t xml:space="preserve">.</w:t>
      </w:r>
    </w:p>
    <w:bookmarkEnd w:id="47"/>
    <w:bookmarkStart w:id="49"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48">
        <w:r>
          <w:rPr>
            <w:rStyle w:val="Hyperlink"/>
          </w:rPr>
          <w:t xml:space="preserve">https://doi.org/10.1016/j.jhydrol.2024.130847</w:t>
        </w:r>
      </w:hyperlink>
      <w:r>
        <w:t xml:space="preserve">.</w:t>
      </w:r>
    </w:p>
    <w:bookmarkEnd w:id="49"/>
    <w:bookmarkStart w:id="51" w:name="ref-Fowler.2024"/>
    <w:p>
      <w:pPr>
        <w:pStyle w:val="Bibliography"/>
      </w:pPr>
      <w:r>
        <w:t xml:space="preserve">Fowler, Hayley, Amy Green, Elizabeth Lewis, David Pritchard, Stephen Blenkinsop, Luis Patino Velasquez, and Anna Whitford. 2024.</w:t>
      </w:r>
      <w:r>
        <w:t xml:space="preserve"> </w:t>
      </w:r>
      <w:r>
        <w:t xml:space="preserve">“</w:t>
      </w:r>
      <w:r>
        <w:t xml:space="preserve">Unveiling global sub-daily precipitation extremes: Insights and development of the INTENSE Project&amp;#160;</w:t>
      </w:r>
      <w:r>
        <w:t xml:space="preserve">”</w:t>
      </w:r>
      <w:r>
        <w:t xml:space="preserve"> </w:t>
      </w:r>
      <w:hyperlink r:id="rId50">
        <w:r>
          <w:rPr>
            <w:rStyle w:val="Hyperlink"/>
          </w:rPr>
          <w:t xml:space="preserve">https://doi.org/10.5194/egusphere-egu24-19552</w:t>
        </w:r>
      </w:hyperlink>
      <w:r>
        <w:t xml:space="preserve">.</w:t>
      </w:r>
    </w:p>
    <w:bookmarkEnd w:id="51"/>
    <w:bookmarkStart w:id="53"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2">
        <w:r>
          <w:rPr>
            <w:rStyle w:val="Hyperlink"/>
          </w:rPr>
          <w:t xml:space="preserve">https://doi.org/10.1016/j.jhydrol.2016.07.002</w:t>
        </w:r>
      </w:hyperlink>
      <w:r>
        <w:t xml:space="preserve">.</w:t>
      </w:r>
    </w:p>
    <w:bookmarkEnd w:id="53"/>
    <w:bookmarkStart w:id="55"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4">
        <w:r>
          <w:rPr>
            <w:rStyle w:val="Hyperlink"/>
          </w:rPr>
          <w:t xml:space="preserve">https://doi.org/10.1080/02626667.2023.2224002</w:t>
        </w:r>
      </w:hyperlink>
      <w:r>
        <w:t xml:space="preserve">.</w:t>
      </w:r>
    </w:p>
    <w:bookmarkEnd w:id="55"/>
    <w:bookmarkStart w:id="57"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6">
        <w:r>
          <w:rPr>
            <w:rStyle w:val="Hyperlink"/>
          </w:rPr>
          <w:t xml:space="preserve">https://doi.org/10.1016/j.advwatres.2022.104144</w:t>
        </w:r>
      </w:hyperlink>
      <w:r>
        <w:t xml:space="preserve">.</w:t>
      </w:r>
    </w:p>
    <w:bookmarkEnd w:id="57"/>
    <w:bookmarkStart w:id="59" w:name="ref-Guerreiro.2024ji"/>
    <w:p>
      <w:pPr>
        <w:pStyle w:val="Bibliography"/>
      </w:pPr>
      <w:r>
        <w:t xml:space="preserve">Guerreiro, Selma B., Stephen Blenkinsop, Elizabeth Lewis, David Pritchard, Amy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r>
        <w:rPr>
          <w:i/>
          <w:iCs/>
        </w:rPr>
        <w:t xml:space="preserve">Weather and Climate Extremes</w:t>
      </w:r>
      <w:r>
        <w:t xml:space="preserve"> </w:t>
      </w:r>
      <w:r>
        <w:t xml:space="preserve">46: 100735.</w:t>
      </w:r>
      <w:r>
        <w:t xml:space="preserve"> </w:t>
      </w:r>
      <w:hyperlink r:id="rId58">
        <w:r>
          <w:rPr>
            <w:rStyle w:val="Hyperlink"/>
          </w:rPr>
          <w:t xml:space="preserve">https://doi.org/10.1016/j.wace.2024.100735</w:t>
        </w:r>
      </w:hyperlink>
      <w:r>
        <w:t xml:space="preserve">.</w:t>
      </w:r>
    </w:p>
    <w:bookmarkEnd w:id="59"/>
    <w:bookmarkStart w:id="61" w:name="ref-Guerreiro.2024"/>
    <w:p>
      <w:pPr>
        <w:pStyle w:val="Bibliography"/>
      </w:pPr>
      <w:r>
        <w:t xml:space="preserve">Guerreiro, Selma de Brito, Stephen Blenkinsop, Elizabeth Lewis, David Pritchard, Amy Charlotte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hyperlink r:id="rId60">
        <w:r>
          <w:rPr>
            <w:rStyle w:val="Hyperlink"/>
          </w:rPr>
          <w:t xml:space="preserve">https://doi.org/10.2139/ssrn.4749709</w:t>
        </w:r>
      </w:hyperlink>
      <w:r>
        <w:t xml:space="preserve">.</w:t>
      </w:r>
    </w:p>
    <w:bookmarkEnd w:id="61"/>
    <w:bookmarkStart w:id="63"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62">
        <w:r>
          <w:rPr>
            <w:rStyle w:val="Hyperlink"/>
          </w:rPr>
          <w:t xml:space="preserve">https://doi.org/10.1029/jd095id03p01999</w:t>
        </w:r>
      </w:hyperlink>
      <w:r>
        <w:t xml:space="preserve">.</w:t>
      </w:r>
    </w:p>
    <w:bookmarkEnd w:id="63"/>
    <w:bookmarkStart w:id="65" w:name="ref-Innocenti.2017"/>
    <w:p>
      <w:pPr>
        <w:pStyle w:val="Bibliography"/>
      </w:pPr>
      <w:r>
        <w:t xml:space="preserve">Innocenti, Silvia, Alain Mailhot, and Anne Frigon. 2017.</w:t>
      </w:r>
      <w:r>
        <w:t xml:space="preserve"> </w:t>
      </w:r>
      <w:r>
        <w:t xml:space="preserve">“</w:t>
      </w:r>
      <w:r>
        <w:t xml:space="preserve">Simple scaling of extreme precipitation in North America</w:t>
      </w:r>
      <w:r>
        <w:t xml:space="preserve">.”</w:t>
      </w:r>
      <w:r>
        <w:t xml:space="preserve"> </w:t>
      </w:r>
      <w:r>
        <w:rPr>
          <w:i/>
          <w:iCs/>
        </w:rPr>
        <w:t xml:space="preserve">Hydrology and Earth System Sciences</w:t>
      </w:r>
      <w:r>
        <w:t xml:space="preserve"> </w:t>
      </w:r>
      <w:r>
        <w:t xml:space="preserve">21 (11): 5823–46.</w:t>
      </w:r>
      <w:r>
        <w:t xml:space="preserve"> </w:t>
      </w:r>
      <w:hyperlink r:id="rId64">
        <w:r>
          <w:rPr>
            <w:rStyle w:val="Hyperlink"/>
          </w:rPr>
          <w:t xml:space="preserve">https://doi.org/10.5194/hess-21-5823-2017</w:t>
        </w:r>
      </w:hyperlink>
      <w:r>
        <w:t xml:space="preserve">.</w:t>
      </w:r>
    </w:p>
    <w:bookmarkEnd w:id="65"/>
    <w:bookmarkStart w:id="67"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6">
        <w:r>
          <w:rPr>
            <w:rStyle w:val="Hyperlink"/>
          </w:rPr>
          <w:t xml:space="preserve">https://doi.org/10.1029/93wr00395</w:t>
        </w:r>
      </w:hyperlink>
      <w:r>
        <w:t xml:space="preserve">.</w:t>
      </w:r>
    </w:p>
    <w:bookmarkEnd w:id="67"/>
    <w:bookmarkStart w:id="69"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8">
        <w:r>
          <w:rPr>
            <w:rStyle w:val="Hyperlink"/>
          </w:rPr>
          <w:t xml:space="preserve">https://doi.org/10.1029/2006wr005245</w:t>
        </w:r>
      </w:hyperlink>
      <w:r>
        <w:t xml:space="preserve">.</w:t>
      </w:r>
    </w:p>
    <w:bookmarkEnd w:id="69"/>
    <w:bookmarkStart w:id="71"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0">
        <w:r>
          <w:rPr>
            <w:rStyle w:val="Hyperlink"/>
          </w:rPr>
          <w:t xml:space="preserve">https://doi.org/10.1002/2017wr022231</w:t>
        </w:r>
      </w:hyperlink>
      <w:r>
        <w:t xml:space="preserve">.</w:t>
      </w:r>
    </w:p>
    <w:bookmarkEnd w:id="71"/>
    <w:bookmarkStart w:id="73" w:name="ref-Le.2019"/>
    <w:p>
      <w:pPr>
        <w:pStyle w:val="Bibliography"/>
      </w:pPr>
      <w:r>
        <w:t xml:space="preserve">———. 2019.</w:t>
      </w:r>
      <w:r>
        <w:t xml:space="preserve"> </w:t>
      </w:r>
      <w:r>
        <w:t xml:space="preserve">“</w:t>
      </w:r>
      <w:r>
        <w:t xml:space="preserve">Spatially dependent flood probabilities to support the design of civil infrastructure systems</w:t>
      </w:r>
      <w:r>
        <w:t xml:space="preserve">.”</w:t>
      </w:r>
      <w:r>
        <w:t xml:space="preserve"> </w:t>
      </w:r>
      <w:r>
        <w:rPr>
          <w:i/>
          <w:iCs/>
        </w:rPr>
        <w:t xml:space="preserve">Hydrology and Earth System Sciences</w:t>
      </w:r>
      <w:r>
        <w:t xml:space="preserve"> </w:t>
      </w:r>
      <w:r>
        <w:t xml:space="preserve">23 (11): 4851–67.</w:t>
      </w:r>
      <w:r>
        <w:t xml:space="preserve"> </w:t>
      </w:r>
      <w:hyperlink r:id="rId72">
        <w:r>
          <w:rPr>
            <w:rStyle w:val="Hyperlink"/>
          </w:rPr>
          <w:t xml:space="preserve">https://doi.org/10.5194/hess-23-4851-2019</w:t>
        </w:r>
      </w:hyperlink>
      <w:r>
        <w:t xml:space="preserve">.</w:t>
      </w:r>
    </w:p>
    <w:bookmarkEnd w:id="73"/>
    <w:bookmarkStart w:id="75"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4">
        <w:r>
          <w:rPr>
            <w:rStyle w:val="Hyperlink"/>
          </w:rPr>
          <w:t xml:space="preserve">https://doi.org/10.1016/j.jhydrol.2018.08.075</w:t>
        </w:r>
      </w:hyperlink>
      <w:r>
        <w:t xml:space="preserve">.</w:t>
      </w:r>
    </w:p>
    <w:bookmarkEnd w:id="75"/>
    <w:bookmarkStart w:id="77"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6">
        <w:r>
          <w:rPr>
            <w:rStyle w:val="Hyperlink"/>
          </w:rPr>
          <w:t xml:space="preserve">https://doi.org/10.1029/wr021i008p01233</w:t>
        </w:r>
      </w:hyperlink>
      <w:r>
        <w:t xml:space="preserve">.</w:t>
      </w:r>
    </w:p>
    <w:bookmarkEnd w:id="77"/>
    <w:bookmarkStart w:id="79"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8">
        <w:r>
          <w:rPr>
            <w:rStyle w:val="Hyperlink"/>
          </w:rPr>
          <w:t xml:space="preserve">https://doi.org/10.1175/1520-0477(1986)067&lt;0021:sisfas&gt;2.0.co;2</w:t>
        </w:r>
      </w:hyperlink>
      <w:r>
        <w:t xml:space="preserve">.</w:t>
      </w:r>
    </w:p>
    <w:bookmarkEnd w:id="79"/>
    <w:bookmarkStart w:id="81"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0">
        <w:r>
          <w:rPr>
            <w:rStyle w:val="Hyperlink"/>
          </w:rPr>
          <w:t xml:space="preserve">https://doi.org/10.1029/wr004i005p00909</w:t>
        </w:r>
      </w:hyperlink>
      <w:r>
        <w:t xml:space="preserve">.</w:t>
      </w:r>
    </w:p>
    <w:bookmarkEnd w:id="81"/>
    <w:bookmarkStart w:id="83"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2">
        <w:r>
          <w:rPr>
            <w:rStyle w:val="Hyperlink"/>
          </w:rPr>
          <w:t xml:space="preserve">https://doi.org/10.1175/jamc-d-20-0094.1</w:t>
        </w:r>
      </w:hyperlink>
      <w:r>
        <w:t xml:space="preserve">.</w:t>
      </w:r>
    </w:p>
    <w:bookmarkEnd w:id="83"/>
    <w:bookmarkStart w:id="85"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4">
        <w:r>
          <w:rPr>
            <w:rStyle w:val="Hyperlink"/>
          </w:rPr>
          <w:t xml:space="preserve">https://doi.org/10.1029/97wr02006</w:t>
        </w:r>
      </w:hyperlink>
      <w:r>
        <w:t xml:space="preserve">.</w:t>
      </w:r>
    </w:p>
    <w:bookmarkEnd w:id="85"/>
    <w:bookmarkStart w:id="87"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6">
        <w:r>
          <w:rPr>
            <w:rStyle w:val="Hyperlink"/>
          </w:rPr>
          <w:t xml:space="preserve">https://doi.org/10.1029/1998wr900012</w:t>
        </w:r>
      </w:hyperlink>
      <w:r>
        <w:t xml:space="preserve">.</w:t>
      </w:r>
    </w:p>
    <w:bookmarkEnd w:id="87"/>
    <w:bookmarkStart w:id="89"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8">
        <w:r>
          <w:rPr>
            <w:rStyle w:val="Hyperlink"/>
          </w:rPr>
          <w:t xml:space="preserve">https://doi.org/10.2166/wst.1998.0425</w:t>
        </w:r>
      </w:hyperlink>
      <w:r>
        <w:t xml:space="preserve">.</w:t>
      </w:r>
    </w:p>
    <w:bookmarkEnd w:id="89"/>
    <w:bookmarkStart w:id="91"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0">
        <w:r>
          <w:rPr>
            <w:rStyle w:val="Hyperlink"/>
          </w:rPr>
          <w:t xml:space="preserve">https://doi.org/10.1029/2018wr022732</w:t>
        </w:r>
      </w:hyperlink>
      <w:r>
        <w:t xml:space="preserve">.</w:t>
      </w:r>
    </w:p>
    <w:bookmarkEnd w:id="91"/>
    <w:bookmarkStart w:id="93" w:name="ref-Papalexiou.2018h3"/>
    <w:p>
      <w:pPr>
        <w:pStyle w:val="Bibliography"/>
      </w:pPr>
      <w:r>
        <w:t xml:space="preserve">Papalexiou, Simon Michael, Yannis Markonis, Federico Lombardo, Amir AghaKouchak, and Efi Foufoula‐Georgiou. 2018.</w:t>
      </w:r>
      <w:r>
        <w:t xml:space="preserve"> </w:t>
      </w:r>
      <w:r>
        <w:t xml:space="preserve">“</w:t>
      </w:r>
      <w:r>
        <w:t xml:space="preserve">Precise Temporal Disaggregation Preserving Marginals and Correlations (DiPMaC) for Stationary and Nonstationary Processes</w:t>
      </w:r>
      <w:r>
        <w:t xml:space="preserve">.”</w:t>
      </w:r>
      <w:r>
        <w:t xml:space="preserve"> </w:t>
      </w:r>
      <w:r>
        <w:rPr>
          <w:i/>
          <w:iCs/>
        </w:rPr>
        <w:t xml:space="preserve">Water Resources Research</w:t>
      </w:r>
      <w:r>
        <w:t xml:space="preserve"> </w:t>
      </w:r>
      <w:r>
        <w:t xml:space="preserve">54 (10): 7435–58.</w:t>
      </w:r>
      <w:r>
        <w:t xml:space="preserve"> </w:t>
      </w:r>
      <w:hyperlink r:id="rId92">
        <w:r>
          <w:rPr>
            <w:rStyle w:val="Hyperlink"/>
          </w:rPr>
          <w:t xml:space="preserve">https://doi.org/10.1029/2018wr022726</w:t>
        </w:r>
      </w:hyperlink>
      <w:r>
        <w:t xml:space="preserve">.</w:t>
      </w:r>
    </w:p>
    <w:bookmarkEnd w:id="93"/>
    <w:bookmarkStart w:id="95"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4">
        <w:r>
          <w:rPr>
            <w:rStyle w:val="Hyperlink"/>
          </w:rPr>
          <w:t xml:space="preserve">https://doi.org/10.1016/j.jhydrol.2024.131101</w:t>
        </w:r>
      </w:hyperlink>
      <w:r>
        <w:t xml:space="preserve">.</w:t>
      </w:r>
    </w:p>
    <w:bookmarkEnd w:id="95"/>
    <w:bookmarkStart w:id="97"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6">
        <w:r>
          <w:rPr>
            <w:rStyle w:val="Hyperlink"/>
          </w:rPr>
          <w:t xml:space="preserve">https://doi.org/10.1016/j.ejrh.2021.100811</w:t>
        </w:r>
      </w:hyperlink>
      <w:r>
        <w:t xml:space="preserve">.</w:t>
      </w:r>
    </w:p>
    <w:bookmarkEnd w:id="97"/>
    <w:bookmarkStart w:id="99"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8">
        <w:r>
          <w:rPr>
            <w:rStyle w:val="Hyperlink"/>
          </w:rPr>
          <w:t xml:space="preserve">https://doi.org/10.1061/jhyeff.heeng-5934</w:t>
        </w:r>
      </w:hyperlink>
      <w:r>
        <w:t xml:space="preserve">.</w:t>
      </w:r>
    </w:p>
    <w:bookmarkEnd w:id="99"/>
    <w:bookmarkStart w:id="101"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100">
        <w:r>
          <w:rPr>
            <w:rStyle w:val="Hyperlink"/>
          </w:rPr>
          <w:t xml:space="preserve">https://doi.org/10.5194/nhess-18-1849-2018</w:t>
        </w:r>
      </w:hyperlink>
      <w:r>
        <w:t xml:space="preserve">.</w:t>
      </w:r>
    </w:p>
    <w:bookmarkEnd w:id="101"/>
    <w:bookmarkStart w:id="103"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2">
        <w:r>
          <w:rPr>
            <w:rStyle w:val="Hyperlink"/>
          </w:rPr>
          <w:t xml:space="preserve">https://doi.org/10.1016/j.wace.2016.07.002</w:t>
        </w:r>
      </w:hyperlink>
      <w:r>
        <w:t xml:space="preserve">.</w:t>
      </w:r>
    </w:p>
    <w:bookmarkEnd w:id="103"/>
    <w:bookmarkStart w:id="105"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4">
        <w:r>
          <w:rPr>
            <w:rStyle w:val="Hyperlink"/>
          </w:rPr>
          <w:t xml:space="preserve">https://doi.org/10.2166/wcc.2021.241</w:t>
        </w:r>
      </w:hyperlink>
      <w:r>
        <w:t xml:space="preserve">.</w:t>
      </w:r>
    </w:p>
    <w:bookmarkEnd w:id="105"/>
    <w:bookmarkStart w:id="107"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6">
        <w:r>
          <w:rPr>
            <w:rStyle w:val="Hyperlink"/>
          </w:rPr>
          <w:t xml:space="preserve">https://doi.org/10.5194/hess-28-391-2024</w:t>
        </w:r>
      </w:hyperlink>
      <w:r>
        <w:t xml:space="preserve">.</w:t>
      </w:r>
    </w:p>
    <w:bookmarkEnd w:id="107"/>
    <w:bookmarkStart w:id="109"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8">
        <w:r>
          <w:rPr>
            <w:rStyle w:val="Hyperlink"/>
          </w:rPr>
          <w:t xml:space="preserve">https://doi.org/10.1002/hyp.11516</w:t>
        </w:r>
      </w:hyperlink>
      <w:r>
        <w:t xml:space="preserve">.</w:t>
      </w:r>
    </w:p>
    <w:bookmarkEnd w:id="109"/>
    <w:bookmarkStart w:id="111"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10">
        <w:r>
          <w:rPr>
            <w:rStyle w:val="Hyperlink"/>
          </w:rPr>
          <w:t xml:space="preserve">https://doi.org/10.1002/joc.8330</w:t>
        </w:r>
      </w:hyperlink>
      <w:r>
        <w:t xml:space="preserve">.</w:t>
      </w:r>
    </w:p>
    <w:bookmarkEnd w:id="111"/>
    <w:bookmarkStart w:id="113" w:name="ref-Yeo.2022"/>
    <w:p>
      <w:pPr>
        <w:pStyle w:val="Bibliography"/>
      </w:pPr>
      <w:r>
        <w:t xml:space="preserve">Yeo, Myeong-Ho, Van-Thanh-Van Nguyen, Yong Sang Kim, and Theodore A. Kpodonu. 2022.</w:t>
      </w:r>
      <w:r>
        <w:t xml:space="preserve"> </w:t>
      </w:r>
      <w:r>
        <w:t xml:space="preserve">“</w:t>
      </w:r>
      <w:r>
        <w:t xml:space="preserve">An Integrated Extreme Rainfall Modeling Tool (SDExtreme) for Climate Change Impacts and Adaptation</w:t>
      </w:r>
      <w:r>
        <w:t xml:space="preserve">.”</w:t>
      </w:r>
      <w:r>
        <w:t xml:space="preserve"> </w:t>
      </w:r>
      <w:r>
        <w:rPr>
          <w:i/>
          <w:iCs/>
        </w:rPr>
        <w:t xml:space="preserve">Water Resources Management</w:t>
      </w:r>
      <w:r>
        <w:t xml:space="preserve"> </w:t>
      </w:r>
      <w:r>
        <w:t xml:space="preserve">36 (9): 3153–79.</w:t>
      </w:r>
      <w:r>
        <w:t xml:space="preserve"> </w:t>
      </w:r>
      <w:hyperlink r:id="rId112">
        <w:r>
          <w:rPr>
            <w:rStyle w:val="Hyperlink"/>
          </w:rPr>
          <w:t xml:space="preserve">https://doi.org/10.1007/s11269-022-03194-1</w:t>
        </w:r>
      </w:hyperlink>
      <w:r>
        <w:t xml:space="preserve">.</w:t>
      </w:r>
    </w:p>
    <w:bookmarkEnd w:id="113"/>
    <w:bookmarkStart w:id="115"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14">
        <w:r>
          <w:rPr>
            <w:rStyle w:val="Hyperlink"/>
          </w:rPr>
          <w:t xml:space="preserve">https://doi.org/10.1002/joc.6631</w:t>
        </w:r>
      </w:hyperlink>
      <w:r>
        <w:t xml:space="preserve">.</w:t>
      </w:r>
    </w:p>
    <w:bookmarkEnd w:id="115"/>
    <w:bookmarkStart w:id="117" w:name="ref-Yu.2004"/>
    <w:p>
      <w:pPr>
        <w:pStyle w:val="Bibliography"/>
      </w:pPr>
      <w:r>
        <w:t xml:space="preserve">Yu, Pao-Shan, Tao-Chang Yang, and Chin-Sheng Lin. 2004.</w:t>
      </w:r>
      <w:r>
        <w:t xml:space="preserve"> </w:t>
      </w:r>
      <w:r>
        <w:t xml:space="preserve">“</w:t>
      </w:r>
      <w:r>
        <w:t xml:space="preserve">Regional rainfall intensity formulas based on scaling property of rainfall</w:t>
      </w:r>
      <w:r>
        <w:t xml:space="preserve">.”</w:t>
      </w:r>
      <w:r>
        <w:t xml:space="preserve"> </w:t>
      </w:r>
      <w:r>
        <w:rPr>
          <w:i/>
          <w:iCs/>
        </w:rPr>
        <w:t xml:space="preserve">Journal of Hydrology</w:t>
      </w:r>
      <w:r>
        <w:t xml:space="preserve"> </w:t>
      </w:r>
      <w:r>
        <w:t xml:space="preserve">295 (1-4): 108–23.</w:t>
      </w:r>
      <w:r>
        <w:t xml:space="preserve"> </w:t>
      </w:r>
      <w:hyperlink r:id="rId116">
        <w:r>
          <w:rPr>
            <w:rStyle w:val="Hyperlink"/>
          </w:rPr>
          <w:t xml:space="preserve">https://doi.org/10.1016/j.jhydrol.2004.03.003</w:t>
        </w:r>
      </w:hyperlink>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002/2017wr022231" TargetMode="External" /><Relationship Type="http://schemas.openxmlformats.org/officeDocument/2006/relationships/hyperlink" Id="rId108" Target="https://doi.org/10.1002/hyp.11516" TargetMode="External" /><Relationship Type="http://schemas.openxmlformats.org/officeDocument/2006/relationships/hyperlink" Id="rId114" Target="https://doi.org/10.1002/joc.6631" TargetMode="External" /><Relationship Type="http://schemas.openxmlformats.org/officeDocument/2006/relationships/hyperlink" Id="rId110" Target="https://doi.org/10.1002/joc.8330" TargetMode="External" /><Relationship Type="http://schemas.openxmlformats.org/officeDocument/2006/relationships/hyperlink" Id="rId27" Target="https://doi.org/10.1007/s00477-023-02546-6" TargetMode="External" /><Relationship Type="http://schemas.openxmlformats.org/officeDocument/2006/relationships/hyperlink" Id="rId38" Target="https://doi.org/10.1007/s11069-004-4550-y" TargetMode="External" /><Relationship Type="http://schemas.openxmlformats.org/officeDocument/2006/relationships/hyperlink" Id="rId36" Target="https://doi.org/10.1007/s11269-020-02667-5" TargetMode="External" /><Relationship Type="http://schemas.openxmlformats.org/officeDocument/2006/relationships/hyperlink" Id="rId112" Target="https://doi.org/10.1007/s11269-022-03194-1" TargetMode="External" /><Relationship Type="http://schemas.openxmlformats.org/officeDocument/2006/relationships/hyperlink" Id="rId44" Target="https://doi.org/10.1007/s13253-010-0023-9" TargetMode="External" /><Relationship Type="http://schemas.openxmlformats.org/officeDocument/2006/relationships/hyperlink" Id="rId56" Target="https://doi.org/10.1016/j.advwatres.2022.104144" TargetMode="External" /><Relationship Type="http://schemas.openxmlformats.org/officeDocument/2006/relationships/hyperlink" Id="rId96" Target="https://doi.org/10.1016/j.ejrh.2021.100811" TargetMode="External" /><Relationship Type="http://schemas.openxmlformats.org/officeDocument/2006/relationships/hyperlink" Id="rId116" Target="https://doi.org/10.1016/j.jhydrol.2004.03.003" TargetMode="External" /><Relationship Type="http://schemas.openxmlformats.org/officeDocument/2006/relationships/hyperlink" Id="rId34" Target="https://doi.org/10.1016/j.jhydrol.2016.06.007" TargetMode="External" /><Relationship Type="http://schemas.openxmlformats.org/officeDocument/2006/relationships/hyperlink" Id="rId52" Target="https://doi.org/10.1016/j.jhydrol.2016.07.002" TargetMode="External" /><Relationship Type="http://schemas.openxmlformats.org/officeDocument/2006/relationships/hyperlink" Id="rId74"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4" Target="https://doi.org/10.1016/j.jhydrol.2024.131101" TargetMode="External" /><Relationship Type="http://schemas.openxmlformats.org/officeDocument/2006/relationships/hyperlink" Id="rId102" Target="https://doi.org/10.1016/j.wace.2016.07.002" TargetMode="External" /><Relationship Type="http://schemas.openxmlformats.org/officeDocument/2006/relationships/hyperlink" Id="rId58" Target="https://doi.org/10.1016/j.wace.2024.100735" TargetMode="External" /><Relationship Type="http://schemas.openxmlformats.org/officeDocument/2006/relationships/hyperlink" Id="rId40" Target="https://doi.org/10.1016/s0022-1694(96)03086-7" TargetMode="External" /><Relationship Type="http://schemas.openxmlformats.org/officeDocument/2006/relationships/hyperlink" Id="rId86" Target="https://doi.org/10.1029/1998wr900012" TargetMode="External" /><Relationship Type="http://schemas.openxmlformats.org/officeDocument/2006/relationships/hyperlink" Id="rId25" Target="https://doi.org/10.1029/2006wr004911" TargetMode="External" /><Relationship Type="http://schemas.openxmlformats.org/officeDocument/2006/relationships/hyperlink" Id="rId68" Target="https://doi.org/10.1029/2006wr005245" TargetMode="External" /><Relationship Type="http://schemas.openxmlformats.org/officeDocument/2006/relationships/hyperlink" Id="rId92" Target="https://doi.org/10.1029/2018wr022726" TargetMode="External" /><Relationship Type="http://schemas.openxmlformats.org/officeDocument/2006/relationships/hyperlink" Id="rId90" Target="https://doi.org/10.1029/2018wr022732" TargetMode="External" /><Relationship Type="http://schemas.openxmlformats.org/officeDocument/2006/relationships/hyperlink" Id="rId66" Target="https://doi.org/10.1029/93wr00395" TargetMode="External" /><Relationship Type="http://schemas.openxmlformats.org/officeDocument/2006/relationships/hyperlink" Id="rId84" Target="https://doi.org/10.1029/97wr02006" TargetMode="External" /><Relationship Type="http://schemas.openxmlformats.org/officeDocument/2006/relationships/hyperlink" Id="rId62" Target="https://doi.org/10.1029/jd095id03p01999" TargetMode="External" /><Relationship Type="http://schemas.openxmlformats.org/officeDocument/2006/relationships/hyperlink" Id="rId80" Target="https://doi.org/10.1029/wr004i005p00909" TargetMode="External" /><Relationship Type="http://schemas.openxmlformats.org/officeDocument/2006/relationships/hyperlink" Id="rId76" Target="https://doi.org/10.1029/wr021i008p01233" TargetMode="External" /><Relationship Type="http://schemas.openxmlformats.org/officeDocument/2006/relationships/hyperlink" Id="rId98" Target="https://doi.org/10.1061/jhyeff.heeng-5934" TargetMode="External" /><Relationship Type="http://schemas.openxmlformats.org/officeDocument/2006/relationships/hyperlink" Id="rId54"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32" Target="https://doi.org/10.1088/1748-9326/abd4ab" TargetMode="External" /><Relationship Type="http://schemas.openxmlformats.org/officeDocument/2006/relationships/hyperlink" Id="rId78" Target="https://doi.org/10.1175/1520-0477(1986)067&lt;0021:sisfas&gt;2.0.co;2" TargetMode="External" /><Relationship Type="http://schemas.openxmlformats.org/officeDocument/2006/relationships/hyperlink" Id="rId82" Target="https://doi.org/10.1175/jamc-d-20-0094.1" TargetMode="External" /><Relationship Type="http://schemas.openxmlformats.org/officeDocument/2006/relationships/hyperlink" Id="rId21" Target="https://doi.org/10.1590/1678-4324-2022210694" TargetMode="External" /><Relationship Type="http://schemas.openxmlformats.org/officeDocument/2006/relationships/hyperlink" Id="rId23" Target="https://doi.org/10.1590/2318-0331.252020190054" TargetMode="External" /><Relationship Type="http://schemas.openxmlformats.org/officeDocument/2006/relationships/hyperlink" Id="rId30" Target="https://doi.org/10.1590/s1413-41522016133691" TargetMode="External" /><Relationship Type="http://schemas.openxmlformats.org/officeDocument/2006/relationships/hyperlink" Id="rId60" Target="https://doi.org/10.2139/ssrn.4749709" TargetMode="External" /><Relationship Type="http://schemas.openxmlformats.org/officeDocument/2006/relationships/hyperlink" Id="rId104" Target="https://doi.org/10.2166/wcc.2021.241" TargetMode="External" /><Relationship Type="http://schemas.openxmlformats.org/officeDocument/2006/relationships/hyperlink" Id="rId88" Target="https://doi.org/10.2166/wst.1998.0425" TargetMode="External" /><Relationship Type="http://schemas.openxmlformats.org/officeDocument/2006/relationships/hyperlink" Id="rId50" Target="https://doi.org/10.5194/egusphere-egu24-19552" TargetMode="External" /><Relationship Type="http://schemas.openxmlformats.org/officeDocument/2006/relationships/hyperlink" Id="rId64" Target="https://doi.org/10.5194/hess-21-5823-2017" TargetMode="External" /><Relationship Type="http://schemas.openxmlformats.org/officeDocument/2006/relationships/hyperlink" Id="rId72" Target="https://doi.org/10.5194/hess-23-4851-2019" TargetMode="External" /><Relationship Type="http://schemas.openxmlformats.org/officeDocument/2006/relationships/hyperlink" Id="rId106" Target="https://doi.org/10.5194/hess-28-391-2024" TargetMode="External" /><Relationship Type="http://schemas.openxmlformats.org/officeDocument/2006/relationships/hyperlink" Id="rId100" Target="https://doi.org/10.5194/nhess-18-1849-2018" TargetMode="External" /><Relationship Type="http://schemas.openxmlformats.org/officeDocument/2006/relationships/hyperlink" Id="rId42" Target="https://doi.org/10.5194/nhess-2018-290"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2017wr022231" TargetMode="External" /><Relationship Type="http://schemas.openxmlformats.org/officeDocument/2006/relationships/hyperlink" Id="rId108" Target="https://doi.org/10.1002/hyp.11516" TargetMode="External" /><Relationship Type="http://schemas.openxmlformats.org/officeDocument/2006/relationships/hyperlink" Id="rId114" Target="https://doi.org/10.1002/joc.6631" TargetMode="External" /><Relationship Type="http://schemas.openxmlformats.org/officeDocument/2006/relationships/hyperlink" Id="rId110" Target="https://doi.org/10.1002/joc.8330" TargetMode="External" /><Relationship Type="http://schemas.openxmlformats.org/officeDocument/2006/relationships/hyperlink" Id="rId27" Target="https://doi.org/10.1007/s00477-023-02546-6" TargetMode="External" /><Relationship Type="http://schemas.openxmlformats.org/officeDocument/2006/relationships/hyperlink" Id="rId38" Target="https://doi.org/10.1007/s11069-004-4550-y" TargetMode="External" /><Relationship Type="http://schemas.openxmlformats.org/officeDocument/2006/relationships/hyperlink" Id="rId36" Target="https://doi.org/10.1007/s11269-020-02667-5" TargetMode="External" /><Relationship Type="http://schemas.openxmlformats.org/officeDocument/2006/relationships/hyperlink" Id="rId112" Target="https://doi.org/10.1007/s11269-022-03194-1" TargetMode="External" /><Relationship Type="http://schemas.openxmlformats.org/officeDocument/2006/relationships/hyperlink" Id="rId44" Target="https://doi.org/10.1007/s13253-010-0023-9" TargetMode="External" /><Relationship Type="http://schemas.openxmlformats.org/officeDocument/2006/relationships/hyperlink" Id="rId56" Target="https://doi.org/10.1016/j.advwatres.2022.104144" TargetMode="External" /><Relationship Type="http://schemas.openxmlformats.org/officeDocument/2006/relationships/hyperlink" Id="rId96" Target="https://doi.org/10.1016/j.ejrh.2021.100811" TargetMode="External" /><Relationship Type="http://schemas.openxmlformats.org/officeDocument/2006/relationships/hyperlink" Id="rId116" Target="https://doi.org/10.1016/j.jhydrol.2004.03.003" TargetMode="External" /><Relationship Type="http://schemas.openxmlformats.org/officeDocument/2006/relationships/hyperlink" Id="rId34" Target="https://doi.org/10.1016/j.jhydrol.2016.06.007" TargetMode="External" /><Relationship Type="http://schemas.openxmlformats.org/officeDocument/2006/relationships/hyperlink" Id="rId52" Target="https://doi.org/10.1016/j.jhydrol.2016.07.002" TargetMode="External" /><Relationship Type="http://schemas.openxmlformats.org/officeDocument/2006/relationships/hyperlink" Id="rId74"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4" Target="https://doi.org/10.1016/j.jhydrol.2024.131101" TargetMode="External" /><Relationship Type="http://schemas.openxmlformats.org/officeDocument/2006/relationships/hyperlink" Id="rId102" Target="https://doi.org/10.1016/j.wace.2016.07.002" TargetMode="External" /><Relationship Type="http://schemas.openxmlformats.org/officeDocument/2006/relationships/hyperlink" Id="rId58" Target="https://doi.org/10.1016/j.wace.2024.100735" TargetMode="External" /><Relationship Type="http://schemas.openxmlformats.org/officeDocument/2006/relationships/hyperlink" Id="rId40" Target="https://doi.org/10.1016/s0022-1694(96)03086-7" TargetMode="External" /><Relationship Type="http://schemas.openxmlformats.org/officeDocument/2006/relationships/hyperlink" Id="rId86" Target="https://doi.org/10.1029/1998wr900012" TargetMode="External" /><Relationship Type="http://schemas.openxmlformats.org/officeDocument/2006/relationships/hyperlink" Id="rId25" Target="https://doi.org/10.1029/2006wr004911" TargetMode="External" /><Relationship Type="http://schemas.openxmlformats.org/officeDocument/2006/relationships/hyperlink" Id="rId68" Target="https://doi.org/10.1029/2006wr005245" TargetMode="External" /><Relationship Type="http://schemas.openxmlformats.org/officeDocument/2006/relationships/hyperlink" Id="rId92" Target="https://doi.org/10.1029/2018wr022726" TargetMode="External" /><Relationship Type="http://schemas.openxmlformats.org/officeDocument/2006/relationships/hyperlink" Id="rId90" Target="https://doi.org/10.1029/2018wr022732" TargetMode="External" /><Relationship Type="http://schemas.openxmlformats.org/officeDocument/2006/relationships/hyperlink" Id="rId66" Target="https://doi.org/10.1029/93wr00395" TargetMode="External" /><Relationship Type="http://schemas.openxmlformats.org/officeDocument/2006/relationships/hyperlink" Id="rId84" Target="https://doi.org/10.1029/97wr02006" TargetMode="External" /><Relationship Type="http://schemas.openxmlformats.org/officeDocument/2006/relationships/hyperlink" Id="rId62" Target="https://doi.org/10.1029/jd095id03p01999" TargetMode="External" /><Relationship Type="http://schemas.openxmlformats.org/officeDocument/2006/relationships/hyperlink" Id="rId80" Target="https://doi.org/10.1029/wr004i005p00909" TargetMode="External" /><Relationship Type="http://schemas.openxmlformats.org/officeDocument/2006/relationships/hyperlink" Id="rId76" Target="https://doi.org/10.1029/wr021i008p01233" TargetMode="External" /><Relationship Type="http://schemas.openxmlformats.org/officeDocument/2006/relationships/hyperlink" Id="rId98" Target="https://doi.org/10.1061/jhyeff.heeng-5934" TargetMode="External" /><Relationship Type="http://schemas.openxmlformats.org/officeDocument/2006/relationships/hyperlink" Id="rId54"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32" Target="https://doi.org/10.1088/1748-9326/abd4ab" TargetMode="External" /><Relationship Type="http://schemas.openxmlformats.org/officeDocument/2006/relationships/hyperlink" Id="rId78" Target="https://doi.org/10.1175/1520-0477(1986)067&lt;0021:sisfas&gt;2.0.co;2" TargetMode="External" /><Relationship Type="http://schemas.openxmlformats.org/officeDocument/2006/relationships/hyperlink" Id="rId82" Target="https://doi.org/10.1175/jamc-d-20-0094.1" TargetMode="External" /><Relationship Type="http://schemas.openxmlformats.org/officeDocument/2006/relationships/hyperlink" Id="rId21" Target="https://doi.org/10.1590/1678-4324-2022210694" TargetMode="External" /><Relationship Type="http://schemas.openxmlformats.org/officeDocument/2006/relationships/hyperlink" Id="rId23" Target="https://doi.org/10.1590/2318-0331.252020190054" TargetMode="External" /><Relationship Type="http://schemas.openxmlformats.org/officeDocument/2006/relationships/hyperlink" Id="rId30" Target="https://doi.org/10.1590/s1413-41522016133691" TargetMode="External" /><Relationship Type="http://schemas.openxmlformats.org/officeDocument/2006/relationships/hyperlink" Id="rId60" Target="https://doi.org/10.2139/ssrn.4749709" TargetMode="External" /><Relationship Type="http://schemas.openxmlformats.org/officeDocument/2006/relationships/hyperlink" Id="rId104" Target="https://doi.org/10.2166/wcc.2021.241" TargetMode="External" /><Relationship Type="http://schemas.openxmlformats.org/officeDocument/2006/relationships/hyperlink" Id="rId88" Target="https://doi.org/10.2166/wst.1998.0425" TargetMode="External" /><Relationship Type="http://schemas.openxmlformats.org/officeDocument/2006/relationships/hyperlink" Id="rId50" Target="https://doi.org/10.5194/egusphere-egu24-19552" TargetMode="External" /><Relationship Type="http://schemas.openxmlformats.org/officeDocument/2006/relationships/hyperlink" Id="rId64" Target="https://doi.org/10.5194/hess-21-5823-2017" TargetMode="External" /><Relationship Type="http://schemas.openxmlformats.org/officeDocument/2006/relationships/hyperlink" Id="rId72" Target="https://doi.org/10.5194/hess-23-4851-2019" TargetMode="External" /><Relationship Type="http://schemas.openxmlformats.org/officeDocument/2006/relationships/hyperlink" Id="rId106" Target="https://doi.org/10.5194/hess-28-391-2024" TargetMode="External" /><Relationship Type="http://schemas.openxmlformats.org/officeDocument/2006/relationships/hyperlink" Id="rId100" Target="https://doi.org/10.5194/nhess-18-1849-2018" TargetMode="External" /><Relationship Type="http://schemas.openxmlformats.org/officeDocument/2006/relationships/hyperlink" Id="rId42" Target="https://doi.org/10.5194/nhess-2018-2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2025-09-17T16:15:19Z</dcterms:created>
  <dcterms:modified xsi:type="dcterms:W3CDTF">2025-09-17T16:15:19Z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vt:lpwstr>
  </property>
  <property fmtid="{D5CDD505-2E9C-101B-9397-08002B2CF9AE}" pid="12" name="toc-title">
    <vt:lpwstr>Table of contents</vt:lpwstr>
  </property>
</Properties>
</file>