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89C1" w14:textId="139B87C0" w:rsidR="0095265E" w:rsidRDefault="00651A9F" w:rsidP="00CD29EF">
      <w:pPr>
        <w:pStyle w:val="Titulo0"/>
      </w:pPr>
      <w:r w:rsidRPr="00651A9F">
        <w:t xml:space="preserve">ALÉM DOS ERROS TIPO I E II EM </w:t>
      </w:r>
      <w:r w:rsidR="00374A66">
        <w:t>ESTUDOS</w:t>
      </w:r>
      <w:r w:rsidR="00374A66" w:rsidRPr="00651A9F">
        <w:t xml:space="preserve"> </w:t>
      </w:r>
      <w:r w:rsidRPr="00651A9F">
        <w:t>DE TENDÊNCIA</w:t>
      </w:r>
      <w:r w:rsidR="00067247">
        <w:t xml:space="preserve"> HIDROMETEOROLÓGICA</w:t>
      </w:r>
      <w:r w:rsidRPr="00651A9F">
        <w:t>: UMA ANÁLISE BASEADA EM SIMULAÇÃO MONTE CARLO</w:t>
      </w:r>
    </w:p>
    <w:p w14:paraId="12E67C14" w14:textId="76765C0C" w:rsidR="00B878C6" w:rsidRDefault="00CD03CE" w:rsidP="00985188">
      <w:pPr>
        <w:pStyle w:val="Autores"/>
      </w:pPr>
      <w:r>
        <w:t xml:space="preserve">Renato </w:t>
      </w:r>
      <w:r w:rsidR="00536F46">
        <w:t xml:space="preserve">Souza </w:t>
      </w:r>
      <w:r>
        <w:t>Amorim</w:t>
      </w:r>
    </w:p>
    <w:p w14:paraId="4AEB9841" w14:textId="511E584C" w:rsidR="00B878C6" w:rsidRPr="00AA24E0" w:rsidRDefault="00B66E6C" w:rsidP="00985188">
      <w:pPr>
        <w:pStyle w:val="Autores"/>
        <w:rPr>
          <w:sz w:val="20"/>
          <w:szCs w:val="20"/>
        </w:rPr>
      </w:pPr>
      <w:r w:rsidRPr="00AA24E0">
        <w:rPr>
          <w:sz w:val="20"/>
          <w:szCs w:val="20"/>
        </w:rPr>
        <w:t xml:space="preserve">Aluno de </w:t>
      </w:r>
      <w:r w:rsidR="00A53428">
        <w:rPr>
          <w:sz w:val="20"/>
          <w:szCs w:val="20"/>
        </w:rPr>
        <w:t>M</w:t>
      </w:r>
      <w:r w:rsidRPr="00AA24E0">
        <w:rPr>
          <w:sz w:val="20"/>
          <w:szCs w:val="20"/>
        </w:rPr>
        <w:t xml:space="preserve">estrado </w:t>
      </w:r>
      <w:r w:rsidR="00E27FEE">
        <w:rPr>
          <w:sz w:val="20"/>
          <w:szCs w:val="20"/>
        </w:rPr>
        <w:t xml:space="preserve">(término em 2018) </w:t>
      </w:r>
      <w:r w:rsidRPr="00AA24E0">
        <w:rPr>
          <w:sz w:val="20"/>
          <w:szCs w:val="20"/>
        </w:rPr>
        <w:t xml:space="preserve">do </w:t>
      </w:r>
      <w:r w:rsidR="00AA24E0" w:rsidRPr="00AA24E0">
        <w:rPr>
          <w:sz w:val="20"/>
          <w:szCs w:val="20"/>
        </w:rPr>
        <w:t>PTARH/UnB</w:t>
      </w:r>
      <w:r w:rsidR="00A61042">
        <w:rPr>
          <w:sz w:val="20"/>
          <w:szCs w:val="20"/>
        </w:rPr>
        <w:t xml:space="preserve"> e </w:t>
      </w:r>
      <w:r w:rsidR="008E772A">
        <w:rPr>
          <w:sz w:val="20"/>
          <w:szCs w:val="20"/>
        </w:rPr>
        <w:t>Coordenador de Projetos de Infr</w:t>
      </w:r>
      <w:r w:rsidR="006D68B9">
        <w:rPr>
          <w:sz w:val="20"/>
          <w:szCs w:val="20"/>
        </w:rPr>
        <w:t>aestrura Aquaviária do DNIT</w:t>
      </w:r>
      <w:r w:rsidR="00A61042">
        <w:rPr>
          <w:sz w:val="20"/>
          <w:szCs w:val="20"/>
        </w:rPr>
        <w:t xml:space="preserve"> </w:t>
      </w:r>
    </w:p>
    <w:p w14:paraId="63DAC2F5" w14:textId="226FB400" w:rsidR="004A115F" w:rsidRDefault="00C50B7C" w:rsidP="00985188">
      <w:pPr>
        <w:pStyle w:val="Autores"/>
      </w:pPr>
      <w:r>
        <w:t>Saulo Aires de Souza</w:t>
      </w:r>
    </w:p>
    <w:p w14:paraId="3259305A" w14:textId="27CECF7C" w:rsidR="00E52A7A" w:rsidRPr="00E52A7A" w:rsidRDefault="00E52A7A" w:rsidP="00985188">
      <w:pPr>
        <w:pStyle w:val="Autores"/>
        <w:rPr>
          <w:sz w:val="20"/>
          <w:szCs w:val="20"/>
        </w:rPr>
      </w:pPr>
      <w:r w:rsidRPr="00E52A7A">
        <w:rPr>
          <w:sz w:val="20"/>
          <w:szCs w:val="20"/>
        </w:rPr>
        <w:t>Aluno de Doutorado do PTARH/UnB</w:t>
      </w:r>
      <w:r w:rsidR="00BA3203">
        <w:rPr>
          <w:sz w:val="20"/>
          <w:szCs w:val="20"/>
        </w:rPr>
        <w:t xml:space="preserve"> e Anal</w:t>
      </w:r>
      <w:r w:rsidR="00F57E57">
        <w:rPr>
          <w:sz w:val="20"/>
          <w:szCs w:val="20"/>
        </w:rPr>
        <w:t>i</w:t>
      </w:r>
      <w:r w:rsidR="00BA3203">
        <w:rPr>
          <w:sz w:val="20"/>
          <w:szCs w:val="20"/>
        </w:rPr>
        <w:t>sta de Recursos Hídricos da Agência Nacional de Águas</w:t>
      </w:r>
    </w:p>
    <w:p w14:paraId="10C09E5D" w14:textId="24DB433C" w:rsidR="00985188" w:rsidRDefault="00985188" w:rsidP="00985188">
      <w:pPr>
        <w:pStyle w:val="Autores"/>
      </w:pPr>
      <w:r w:rsidRPr="00985188">
        <w:t>Dirceu S</w:t>
      </w:r>
      <w:r w:rsidR="00E52A7A">
        <w:t>ilveira</w:t>
      </w:r>
      <w:r w:rsidRPr="00985188">
        <w:t xml:space="preserve"> Reis J</w:t>
      </w:r>
      <w:r w:rsidR="00E52A7A">
        <w:t>unior</w:t>
      </w:r>
    </w:p>
    <w:p w14:paraId="243F5C36" w14:textId="713EA8CD" w:rsidR="00E52A7A" w:rsidRPr="00E52A7A" w:rsidRDefault="00E52A7A" w:rsidP="00985188">
      <w:pPr>
        <w:pStyle w:val="Autores"/>
        <w:rPr>
          <w:sz w:val="20"/>
          <w:szCs w:val="20"/>
        </w:rPr>
      </w:pPr>
      <w:r w:rsidRPr="00E52A7A">
        <w:rPr>
          <w:sz w:val="20"/>
          <w:szCs w:val="20"/>
        </w:rPr>
        <w:t>Professor do PTARH/UnB</w:t>
      </w:r>
    </w:p>
    <w:p w14:paraId="488802D1" w14:textId="77777777" w:rsidR="00985188" w:rsidRDefault="00985188" w:rsidP="00985188">
      <w:pPr>
        <w:pStyle w:val="Heading1"/>
      </w:pPr>
      <w:r>
        <w:t>Introdução</w:t>
      </w:r>
    </w:p>
    <w:p w14:paraId="638D2D4F" w14:textId="47E03963" w:rsidR="009F79B5" w:rsidRPr="00093A64" w:rsidRDefault="009F79B5" w:rsidP="009F79B5">
      <w:pPr>
        <w:ind w:firstLine="431"/>
        <w:rPr>
          <w:szCs w:val="24"/>
        </w:rPr>
      </w:pPr>
      <w:r w:rsidRPr="00093A64">
        <w:rPr>
          <w:szCs w:val="24"/>
        </w:rPr>
        <w:t xml:space="preserve">Os extremos </w:t>
      </w:r>
      <w:r w:rsidR="00E75C6E">
        <w:rPr>
          <w:szCs w:val="24"/>
        </w:rPr>
        <w:t>hidrometeorológicos</w:t>
      </w:r>
      <w:r w:rsidR="00E75C6E" w:rsidRPr="00093A64">
        <w:rPr>
          <w:szCs w:val="24"/>
        </w:rPr>
        <w:t xml:space="preserve"> </w:t>
      </w:r>
      <w:r w:rsidRPr="00093A64">
        <w:rPr>
          <w:szCs w:val="24"/>
        </w:rPr>
        <w:t xml:space="preserve">são eventos raros; entretanto, as mudanças no clima têm resultado em alterações na sua frequência e intensidade (Seneviratne </w:t>
      </w:r>
      <w:r w:rsidRPr="00E50BAA">
        <w:rPr>
          <w:i/>
          <w:iCs/>
          <w:szCs w:val="24"/>
        </w:rPr>
        <w:t>et al</w:t>
      </w:r>
      <w:r w:rsidRPr="00093A64">
        <w:rPr>
          <w:szCs w:val="24"/>
        </w:rPr>
        <w:t xml:space="preserve">., 2012). Seja pela ação de forças externas, como o aumento da emissão de gases do efeito estufa, ou resultado da variabilidade natural do clima, o cenário de </w:t>
      </w:r>
      <w:r w:rsidR="009522FB">
        <w:rPr>
          <w:szCs w:val="24"/>
        </w:rPr>
        <w:t>alterações</w:t>
      </w:r>
      <w:r w:rsidRPr="00093A64">
        <w:rPr>
          <w:szCs w:val="24"/>
        </w:rPr>
        <w:t xml:space="preserve"> visto para algumas variáveis hidrológicas, tais como a vazão e precipitação, varia de local para local. Essa constatação tem fomentado debates acerca da consideração de não-estacionariedade em problemas que vão desde a gestão de recursos hídricos até a elaboração de projetos de engenharia. </w:t>
      </w:r>
    </w:p>
    <w:p w14:paraId="182C35FA" w14:textId="28B03864" w:rsidR="009F79B5" w:rsidRPr="00093A64" w:rsidRDefault="009F79B5" w:rsidP="009F79B5">
      <w:pPr>
        <w:ind w:firstLine="431"/>
        <w:rPr>
          <w:szCs w:val="24"/>
        </w:rPr>
      </w:pPr>
      <w:r w:rsidRPr="00093A64">
        <w:rPr>
          <w:szCs w:val="24"/>
        </w:rPr>
        <w:t>Ao empregar métodos baseados na teoria dos valores extremos para o dimensionamento de projetos de estruturas hidráulicas, como diques e reservatórios, é usual assumir que o comportamento da série observada até o momento d</w:t>
      </w:r>
      <w:r w:rsidR="00BB15A8">
        <w:rPr>
          <w:szCs w:val="24"/>
        </w:rPr>
        <w:t>o</w:t>
      </w:r>
      <w:r w:rsidRPr="00093A64">
        <w:rPr>
          <w:szCs w:val="24"/>
        </w:rPr>
        <w:t xml:space="preserve"> projeto se perpetuará ao longo da vida útil do empreendimento, e, consequentemente, que os riscos hidrológicos associados permanecerão os mesmos. Esse pode não ser o caso de algumas localidades, que experimentam mudanças significativas em variáveis hidrológicas, por exemplo, na vazão, em período pós-construção de uma dada infraestrutura. Assim, negligenciar as alterações detectadas pode não ser a melhor alternativa, pois essa omissão pode resultar </w:t>
      </w:r>
      <w:r w:rsidR="00EF46ED">
        <w:rPr>
          <w:szCs w:val="24"/>
        </w:rPr>
        <w:t>em danos econômicos maiores do que aqueles previstos ou at</w:t>
      </w:r>
      <w:r w:rsidR="009F72BC">
        <w:rPr>
          <w:szCs w:val="24"/>
        </w:rPr>
        <w:t>é</w:t>
      </w:r>
      <w:r w:rsidR="00EF46ED">
        <w:rPr>
          <w:szCs w:val="24"/>
        </w:rPr>
        <w:t xml:space="preserve"> mesmo </w:t>
      </w:r>
      <w:r w:rsidRPr="00093A64">
        <w:rPr>
          <w:szCs w:val="24"/>
        </w:rPr>
        <w:t xml:space="preserve">no colapso das estruturas hidráulicas e/ou em perdas de vidas humanas, razão </w:t>
      </w:r>
      <w:r w:rsidRPr="00093A64">
        <w:rPr>
          <w:szCs w:val="24"/>
        </w:rPr>
        <w:lastRenderedPageBreak/>
        <w:t>pela qual discute-se a necessidade de se considerar as eventuais alterações observadas nas variáveis hidrológicas</w:t>
      </w:r>
    </w:p>
    <w:p w14:paraId="548FBF00" w14:textId="03C41CC8" w:rsidR="00ED29A8" w:rsidRPr="00093A64" w:rsidRDefault="00ED29A8" w:rsidP="00ED29A8">
      <w:pPr>
        <w:ind w:firstLine="431"/>
        <w:rPr>
          <w:szCs w:val="24"/>
        </w:rPr>
      </w:pPr>
      <w:r w:rsidRPr="00093A64">
        <w:rPr>
          <w:szCs w:val="24"/>
        </w:rPr>
        <w:t xml:space="preserve">Detectar uma mudança </w:t>
      </w:r>
      <w:r w:rsidR="00011509">
        <w:rPr>
          <w:szCs w:val="24"/>
        </w:rPr>
        <w:t>em variável hidromeoterológica</w:t>
      </w:r>
      <w:r w:rsidRPr="00093A64">
        <w:rPr>
          <w:szCs w:val="24"/>
        </w:rPr>
        <w:t xml:space="preserve"> equivale a identificar, a partir do emprego de metodologias de base estatística, alterações amostrais significativas em diferentes escalas de tempo e espaço. A tarefa de detecção é conceitualmente simples, mas de difícil aplicação, tanto pelas limitações de disponibilidade de base amostral</w:t>
      </w:r>
      <w:r w:rsidR="00011509">
        <w:rPr>
          <w:szCs w:val="24"/>
        </w:rPr>
        <w:t>,</w:t>
      </w:r>
      <w:r w:rsidRPr="00093A64">
        <w:rPr>
          <w:szCs w:val="24"/>
        </w:rPr>
        <w:t xml:space="preserve"> quanto pelas dificuldades intrínsecas à própria atividade. Diversos trabalhos de avaliação de estacionariedade de variáveis hidrológicas </w:t>
      </w:r>
      <w:r w:rsidR="00011509">
        <w:rPr>
          <w:szCs w:val="24"/>
        </w:rPr>
        <w:t xml:space="preserve">foram </w:t>
      </w:r>
      <w:r w:rsidRPr="00093A64">
        <w:rPr>
          <w:szCs w:val="24"/>
        </w:rPr>
        <w:t xml:space="preserve">publicados em periódicos internacionais </w:t>
      </w:r>
      <w:r w:rsidR="00011509">
        <w:rPr>
          <w:szCs w:val="24"/>
        </w:rPr>
        <w:t xml:space="preserve">nos últimos anos </w:t>
      </w:r>
      <w:r w:rsidRPr="00093A64">
        <w:rPr>
          <w:szCs w:val="24"/>
        </w:rPr>
        <w:t xml:space="preserve">(Lettenmaier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1994; Krakauer e Fung, 2008; Vogel et al., 2011; Alkama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2013; Hossain, 2014; Madsen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2014; Bayazit, 2015) e no Brasil (Muller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1998; Detzel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2011; Aires de Souza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2013; Alves </w:t>
      </w:r>
      <w:r w:rsidRPr="00EB1603">
        <w:rPr>
          <w:i/>
          <w:iCs/>
          <w:szCs w:val="24"/>
        </w:rPr>
        <w:t>et al</w:t>
      </w:r>
      <w:r w:rsidRPr="00093A64">
        <w:rPr>
          <w:szCs w:val="24"/>
        </w:rPr>
        <w:t xml:space="preserve">., 2013; Araújo e Aires de Souza, 2014; Scofield </w:t>
      </w:r>
      <w:r w:rsidRPr="003768EE">
        <w:rPr>
          <w:i/>
          <w:iCs/>
          <w:szCs w:val="24"/>
        </w:rPr>
        <w:t>et al</w:t>
      </w:r>
      <w:r w:rsidRPr="00093A64">
        <w:rPr>
          <w:szCs w:val="24"/>
        </w:rPr>
        <w:t xml:space="preserve">., 2014; Rosin </w:t>
      </w:r>
      <w:r w:rsidRPr="003768EE">
        <w:rPr>
          <w:i/>
          <w:iCs/>
          <w:szCs w:val="24"/>
        </w:rPr>
        <w:t>et al</w:t>
      </w:r>
      <w:r w:rsidRPr="00093A64">
        <w:rPr>
          <w:szCs w:val="24"/>
        </w:rPr>
        <w:t>., 2015).</w:t>
      </w:r>
    </w:p>
    <w:p w14:paraId="5381C234" w14:textId="1590D9DC" w:rsidR="00ED29A8" w:rsidRPr="00093A64" w:rsidRDefault="00ED29A8" w:rsidP="00093A64">
      <w:pPr>
        <w:ind w:firstLine="431"/>
        <w:rPr>
          <w:szCs w:val="24"/>
        </w:rPr>
      </w:pPr>
      <w:r w:rsidRPr="00093A64">
        <w:rPr>
          <w:szCs w:val="24"/>
        </w:rPr>
        <w:t>Em geral, estudos de detecção de tendência são normalmente realizados com base em testes de hipóteses</w:t>
      </w:r>
      <w:r w:rsidR="0040264E" w:rsidRPr="00093A64">
        <w:rPr>
          <w:szCs w:val="24"/>
        </w:rPr>
        <w:t xml:space="preserve"> paramétricos </w:t>
      </w:r>
      <w:r w:rsidR="00011509">
        <w:rPr>
          <w:szCs w:val="24"/>
        </w:rPr>
        <w:t>ou</w:t>
      </w:r>
      <w:r w:rsidR="0040264E" w:rsidRPr="00093A64">
        <w:rPr>
          <w:szCs w:val="24"/>
        </w:rPr>
        <w:t xml:space="preserve"> não-paramétricos, sendo a hipótese nula </w:t>
      </w:r>
      <w:r w:rsidRPr="00093A64">
        <w:rPr>
          <w:szCs w:val="24"/>
        </w:rPr>
        <w:t>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093A64">
        <w:rPr>
          <w:szCs w:val="24"/>
        </w:rPr>
        <w:t>)</w:t>
      </w:r>
      <w:r w:rsidR="0040264E" w:rsidRPr="00093A64">
        <w:rPr>
          <w:szCs w:val="24"/>
        </w:rPr>
        <w:t xml:space="preserve"> comumente assumida</w:t>
      </w:r>
      <w:r w:rsidRPr="00093A64">
        <w:rPr>
          <w:szCs w:val="24"/>
        </w:rPr>
        <w:t xml:space="preserve"> </w:t>
      </w:r>
      <w:r w:rsidR="0040264E" w:rsidRPr="00093A64">
        <w:rPr>
          <w:szCs w:val="24"/>
        </w:rPr>
        <w:t xml:space="preserve">como estacionária, ou seja, </w:t>
      </w:r>
      <w:r w:rsidR="00011509">
        <w:rPr>
          <w:szCs w:val="24"/>
        </w:rPr>
        <w:t xml:space="preserve">de que série </w:t>
      </w:r>
      <w:r w:rsidRPr="00093A64">
        <w:rPr>
          <w:szCs w:val="24"/>
        </w:rPr>
        <w:t>não possui tendência, enquanto a hipótese alternativa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</m:oMath>
      <w:r w:rsidRPr="00093A64">
        <w:rPr>
          <w:szCs w:val="24"/>
        </w:rPr>
        <w:t>) prevê que a mudança está de fato presente na série. A decisão sobre a presença ou não de estacionariedade na amostra é baseada na distribuição da hipótese nula da estatística do teste (</w:t>
      </w:r>
      <w:r w:rsidRPr="004C6AB8">
        <w:rPr>
          <w:i/>
          <w:iCs/>
          <w:szCs w:val="24"/>
        </w:rPr>
        <w:t>T</w:t>
      </w:r>
      <w:r w:rsidRPr="00093A64">
        <w:rPr>
          <w:szCs w:val="24"/>
        </w:rPr>
        <w:t>) específica para cada tipo de teste.</w:t>
      </w:r>
    </w:p>
    <w:p w14:paraId="1DBCB65E" w14:textId="4E4D3E56" w:rsidR="00ED29A8" w:rsidRPr="00093A64" w:rsidRDefault="00ED29A8" w:rsidP="00ED29A8">
      <w:pPr>
        <w:ind w:firstLine="431"/>
        <w:rPr>
          <w:szCs w:val="24"/>
        </w:rPr>
      </w:pPr>
      <w:r w:rsidRPr="00093A64">
        <w:rPr>
          <w:szCs w:val="24"/>
        </w:rPr>
        <w:t xml:space="preserve">A distribuição nula é o nome que se dá à distribuição da estatística do teste </w:t>
      </w:r>
      <w:r w:rsidRPr="00F60D83">
        <w:rPr>
          <w:i/>
          <w:iCs/>
          <w:szCs w:val="24"/>
        </w:rPr>
        <w:t>T</w:t>
      </w:r>
      <w:r w:rsidRPr="00093A64">
        <w:rPr>
          <w:szCs w:val="24"/>
        </w:rPr>
        <w:t xml:space="preserve">, quando a hipótese nula é verdadeira. A hipótese nula é geralmente rejeitada quando o valor amostral de </w:t>
      </w:r>
      <w:r w:rsidRPr="00F60D83">
        <w:rPr>
          <w:i/>
          <w:iCs/>
          <w:szCs w:val="24"/>
        </w:rPr>
        <w:t>T</w:t>
      </w:r>
      <w:r w:rsidRPr="00093A64">
        <w:rPr>
          <w:szCs w:val="24"/>
        </w:rPr>
        <w:t xml:space="preserve"> se localiza na cauda da distribuição, indicando uma baixa probabilidade de se observar tal amostra, caso essa conjectura fosse realmente verdadeira. Embora não muito provável, é possível observar uma série estacionária, cujo valor de </w:t>
      </w:r>
      <w:r w:rsidRPr="00853A3C">
        <w:rPr>
          <w:i/>
          <w:iCs/>
          <w:szCs w:val="24"/>
        </w:rPr>
        <w:t>T</w:t>
      </w:r>
      <w:r w:rsidRPr="00093A64">
        <w:rPr>
          <w:szCs w:val="24"/>
        </w:rPr>
        <w:t xml:space="preserve"> esteja na cauda da distribuição nula (</w:t>
      </w:r>
      <w:r w:rsidR="00853A3C">
        <w:rPr>
          <w:szCs w:val="24"/>
        </w:rPr>
        <w:t xml:space="preserve">e.g. </w:t>
      </w:r>
      <m:oMath>
        <m:r>
          <w:rPr>
            <w:rFonts w:ascii="Cambria Math" w:hAnsi="Cambria Math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m:t>&lt;0.05)</m:t>
        </m:r>
      </m:oMath>
      <w:r w:rsidRPr="00093A64">
        <w:rPr>
          <w:szCs w:val="24"/>
        </w:rPr>
        <w:t xml:space="preserve">. Vem daí a definição do erro tipo I em testes de hipótese e sua relação com a definição da região de rejeição do teste, </w:t>
      </w:r>
      <w:r w:rsidRPr="006F1C5C">
        <w:rPr>
          <w:i/>
          <w:iCs/>
          <w:szCs w:val="24"/>
        </w:rPr>
        <w:t>R</w:t>
      </w:r>
      <w:r w:rsidRPr="00093A64">
        <w:rPr>
          <w:szCs w:val="24"/>
        </w:rPr>
        <w:t>.</w:t>
      </w:r>
    </w:p>
    <w:p w14:paraId="3DB6BDD9" w14:textId="08915DF2" w:rsidR="00C9792A" w:rsidRPr="00093A64" w:rsidRDefault="00ED29A8" w:rsidP="0040264E">
      <w:pPr>
        <w:ind w:firstLine="431"/>
        <w:rPr>
          <w:szCs w:val="24"/>
        </w:rPr>
      </w:pPr>
      <w:r w:rsidRPr="00093A64">
        <w:rPr>
          <w:szCs w:val="24"/>
        </w:rPr>
        <w:t xml:space="preserve">Existe uma relação direta entre a região de rejeição </w:t>
      </w:r>
      <w:r w:rsidRPr="008D624C">
        <w:rPr>
          <w:i/>
          <w:iCs/>
          <w:szCs w:val="24"/>
        </w:rPr>
        <w:t>R</w:t>
      </w:r>
      <w:r w:rsidRPr="00093A64">
        <w:rPr>
          <w:szCs w:val="24"/>
        </w:rPr>
        <w:t xml:space="preserve"> da estatística</w:t>
      </w:r>
      <w:r w:rsidR="008D624C">
        <w:rPr>
          <w:szCs w:val="24"/>
        </w:rPr>
        <w:t>-</w:t>
      </w:r>
      <w:r w:rsidRPr="00093A64">
        <w:rPr>
          <w:szCs w:val="24"/>
        </w:rPr>
        <w:t xml:space="preserve">teste e a probabilidade de se cometer um erro tipo I, que ocorre quando se rejeita erroneamente a hipótese nula. A probabilidade de se cometer esse engano define o nível de significância do teste, </w:t>
      </w:r>
      <w:r w:rsidRPr="001E60EC">
        <w:rPr>
          <w:i/>
          <w:iCs/>
          <w:szCs w:val="24"/>
        </w:rPr>
        <w:t>α</w:t>
      </w:r>
      <w:r w:rsidRPr="00093A64">
        <w:rPr>
          <w:szCs w:val="24"/>
        </w:rPr>
        <w:t>, que pode ser compreendido como a materialização do risco que se está disposto a correr em permitir que determinada hipótese seja rejeitada equivocadamente</w:t>
      </w:r>
      <w:r w:rsidR="001E60EC">
        <w:rPr>
          <w:szCs w:val="24"/>
        </w:rPr>
        <w:t>,</w:t>
      </w:r>
    </w:p>
    <w:p w14:paraId="7403617A" w14:textId="5954FEDA" w:rsidR="00C9792A" w:rsidRPr="00093A64" w:rsidRDefault="0040264E" w:rsidP="00C9792A">
      <w:pPr>
        <w:ind w:left="1440" w:firstLine="720"/>
        <w:rPr>
          <w:szCs w:val="24"/>
          <w:lang w:val="en-US"/>
        </w:rPr>
      </w:pPr>
      <w:r w:rsidRPr="00093A64">
        <w:rPr>
          <w:szCs w:val="24"/>
          <w:lang w:val="en-US"/>
        </w:rPr>
        <w:t>P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Erro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do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Tipo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Cs w:val="24"/>
            <w:lang w:val="en-US"/>
          </w:rPr>
          <m:t>=</m:t>
        </m:r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∈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d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= </m:t>
        </m:r>
        <m:r>
          <w:rPr>
            <w:rFonts w:ascii="Cambria Math" w:hAnsi="Cambria Math"/>
            <w:szCs w:val="24"/>
          </w:rPr>
          <m:t>α</m:t>
        </m:r>
      </m:oMath>
      <w:r w:rsidRPr="00093A64">
        <w:rPr>
          <w:szCs w:val="24"/>
          <w:lang w:val="en-US"/>
        </w:rPr>
        <w:t xml:space="preserve">. </w:t>
      </w:r>
    </w:p>
    <w:p w14:paraId="29BDC9C5" w14:textId="34C477D3" w:rsidR="00ED29A8" w:rsidRPr="00093A64" w:rsidRDefault="00ED29A8" w:rsidP="0040264E">
      <w:pPr>
        <w:ind w:firstLine="431"/>
        <w:rPr>
          <w:szCs w:val="24"/>
        </w:rPr>
      </w:pPr>
      <w:r w:rsidRPr="00093A64">
        <w:rPr>
          <w:szCs w:val="24"/>
        </w:rPr>
        <w:t>Outro erro passível de ser cometido quando se realiza um teste de hipóteses é o de tipo II, definido como a probabilidade de não rejeição da hipótese nu</w:t>
      </w:r>
      <w:r w:rsidR="0040264E" w:rsidRPr="00093A64">
        <w:rPr>
          <w:szCs w:val="24"/>
        </w:rPr>
        <w:t xml:space="preserve">la </w:t>
      </w:r>
      <w:r w:rsidR="001E5FB0">
        <w:rPr>
          <w:szCs w:val="24"/>
        </w:rPr>
        <w:t>quando a hipótese alternativa é verdadeira,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616"/>
        <w:gridCol w:w="1113"/>
      </w:tblGrid>
      <w:tr w:rsidR="00ED29A8" w:rsidRPr="00093A64" w14:paraId="560687AD" w14:textId="77777777" w:rsidTr="006615F1">
        <w:trPr>
          <w:trHeight w:val="688"/>
        </w:trPr>
        <w:tc>
          <w:tcPr>
            <w:tcW w:w="993" w:type="dxa"/>
            <w:vAlign w:val="center"/>
          </w:tcPr>
          <w:p w14:paraId="70F24336" w14:textId="77777777" w:rsidR="00ED29A8" w:rsidRPr="00093A64" w:rsidRDefault="00ED29A8" w:rsidP="00C903B3">
            <w:pPr>
              <w:pStyle w:val="Subtitle"/>
            </w:pPr>
          </w:p>
        </w:tc>
        <w:tc>
          <w:tcPr>
            <w:tcW w:w="6662" w:type="dxa"/>
            <w:vAlign w:val="center"/>
            <w:hideMark/>
          </w:tcPr>
          <w:p w14:paraId="190954BF" w14:textId="77777777" w:rsidR="00ED29A8" w:rsidRPr="00093A64" w:rsidRDefault="00ED29A8" w:rsidP="00C903B3">
            <w:pPr>
              <w:pStyle w:val="Subtitle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Erro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Tipo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∉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122" w:type="dxa"/>
            <w:vAlign w:val="center"/>
          </w:tcPr>
          <w:p w14:paraId="1604ED0B" w14:textId="6C4F00DE" w:rsidR="00ED29A8" w:rsidRPr="00093A64" w:rsidRDefault="00ED29A8" w:rsidP="00C903B3">
            <w:pPr>
              <w:pStyle w:val="Subtitle"/>
            </w:pPr>
          </w:p>
        </w:tc>
      </w:tr>
    </w:tbl>
    <w:p w14:paraId="38D3A959" w14:textId="4A5ED624" w:rsidR="00ED29A8" w:rsidRPr="00093A64" w:rsidRDefault="00292C30" w:rsidP="00C9792A">
      <w:pPr>
        <w:spacing w:after="0"/>
        <w:ind w:firstLine="720"/>
        <w:rPr>
          <w:szCs w:val="24"/>
        </w:rPr>
      </w:pPr>
      <w:r>
        <w:rPr>
          <w:szCs w:val="24"/>
        </w:rPr>
        <w:t>A</w:t>
      </w:r>
      <w:r w:rsidR="00ED29A8" w:rsidRPr="00093A64">
        <w:rPr>
          <w:szCs w:val="24"/>
        </w:rPr>
        <w:t xml:space="preserve"> probabilidade complementar a </w:t>
      </w:r>
      <m:oMath>
        <m:r>
          <w:rPr>
            <w:rFonts w:ascii="Cambria Math" w:hAnsi="Cambria Math"/>
            <w:szCs w:val="24"/>
          </w:rPr>
          <m:t>β</m:t>
        </m:r>
      </m:oMath>
      <w:r w:rsidR="00ED29A8" w:rsidRPr="00093A64">
        <w:rPr>
          <w:szCs w:val="24"/>
        </w:rPr>
        <w:t xml:space="preserve">, </w:t>
      </w:r>
      <w:r w:rsidR="00F026B7">
        <w:rPr>
          <w:szCs w:val="24"/>
        </w:rPr>
        <w:t>cham</w:t>
      </w:r>
      <w:r w:rsidR="00E9657D">
        <w:rPr>
          <w:szCs w:val="24"/>
        </w:rPr>
        <w:t>a</w:t>
      </w:r>
      <w:r w:rsidR="00F026B7">
        <w:rPr>
          <w:szCs w:val="24"/>
        </w:rPr>
        <w:t xml:space="preserve">da de </w:t>
      </w:r>
      <w:r w:rsidR="00ED29A8" w:rsidRPr="00093A64">
        <w:rPr>
          <w:szCs w:val="24"/>
        </w:rPr>
        <w:t xml:space="preserve">poder do teste, é outro parâmetro de interesse por representar a propensão de se rejeitar uma hipótese nula falsa, ou seja, reflete o “poder” de detecção real de evidências que levem </w:t>
      </w:r>
      <w:r w:rsidR="00F026B7">
        <w:rPr>
          <w:szCs w:val="24"/>
        </w:rPr>
        <w:t>à</w:t>
      </w:r>
      <w:r w:rsidR="00ED29A8" w:rsidRPr="00093A64">
        <w:rPr>
          <w:szCs w:val="24"/>
        </w:rPr>
        <w:t xml:space="preserve"> rejeição do teste realizado  </w:t>
      </w:r>
    </w:p>
    <w:p w14:paraId="781B239D" w14:textId="77777777" w:rsidR="00C9792A" w:rsidRPr="00093A64" w:rsidRDefault="00C9792A" w:rsidP="00C9792A">
      <w:pPr>
        <w:spacing w:after="0"/>
        <w:ind w:firstLine="720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6615"/>
        <w:gridCol w:w="1113"/>
      </w:tblGrid>
      <w:tr w:rsidR="00ED29A8" w:rsidRPr="00093A64" w14:paraId="7D9F1191" w14:textId="77777777" w:rsidTr="006615F1">
        <w:trPr>
          <w:trHeight w:val="686"/>
        </w:trPr>
        <w:tc>
          <w:tcPr>
            <w:tcW w:w="993" w:type="dxa"/>
            <w:vAlign w:val="center"/>
          </w:tcPr>
          <w:p w14:paraId="2B1487E9" w14:textId="77777777" w:rsidR="00ED29A8" w:rsidRPr="00093A64" w:rsidRDefault="00ED29A8" w:rsidP="006615F1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662" w:type="dxa"/>
            <w:vAlign w:val="center"/>
          </w:tcPr>
          <w:p w14:paraId="4DAEC18C" w14:textId="77777777" w:rsidR="00ED29A8" w:rsidRPr="00093A64" w:rsidRDefault="00ED29A8" w:rsidP="006615F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Poder do Teste=P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T∈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1-β</m:t>
                </m:r>
              </m:oMath>
            </m:oMathPara>
          </w:p>
        </w:tc>
        <w:tc>
          <w:tcPr>
            <w:tcW w:w="1122" w:type="dxa"/>
            <w:vAlign w:val="center"/>
          </w:tcPr>
          <w:p w14:paraId="4443F1C6" w14:textId="56DC25FE" w:rsidR="00ED29A8" w:rsidRPr="00093A64" w:rsidRDefault="00ED29A8" w:rsidP="006615F1">
            <w:pPr>
              <w:pStyle w:val="Caption"/>
              <w:jc w:val="right"/>
              <w:rPr>
                <w:sz w:val="24"/>
                <w:szCs w:val="24"/>
              </w:rPr>
            </w:pPr>
          </w:p>
        </w:tc>
      </w:tr>
    </w:tbl>
    <w:p w14:paraId="4DB7972C" w14:textId="42D99BF6" w:rsidR="00E25336" w:rsidRDefault="00E25336" w:rsidP="00093A64">
      <w:pPr>
        <w:ind w:firstLine="720"/>
        <w:rPr>
          <w:szCs w:val="24"/>
        </w:rPr>
      </w:pPr>
      <w:r>
        <w:rPr>
          <w:szCs w:val="24"/>
        </w:rPr>
        <w:t xml:space="preserve">Mas os erros tipo I e tipo II não são os únicos erros que podem ser cometidos </w:t>
      </w:r>
      <w:r w:rsidR="0053183F" w:rsidRPr="00093A64">
        <w:rPr>
          <w:szCs w:val="24"/>
        </w:rPr>
        <w:t>durante a etapa de detecção de mudanças</w:t>
      </w:r>
      <w:r>
        <w:rPr>
          <w:szCs w:val="24"/>
        </w:rPr>
        <w:t>. M</w:t>
      </w:r>
      <w:r w:rsidR="0053183F" w:rsidRPr="00093A64">
        <w:rPr>
          <w:szCs w:val="24"/>
        </w:rPr>
        <w:t xml:space="preserve">ais </w:t>
      </w:r>
      <w:r w:rsidR="00C9792A" w:rsidRPr="00093A64">
        <w:rPr>
          <w:szCs w:val="24"/>
        </w:rPr>
        <w:t xml:space="preserve">recentemente, em estudo ligado à área da medicina, iniciou-se uma discussão acerca de outros tipos de erros que podem prejudicar as análises dos resultados obtidos em estudos de detecção a nível local. Trata-se dos erros Tipo S e Tipo M (Gelman e Carlin, 2014). </w:t>
      </w:r>
    </w:p>
    <w:p w14:paraId="01422878" w14:textId="0FF1C32F" w:rsidR="00E25336" w:rsidRDefault="00C9792A" w:rsidP="00093A64">
      <w:pPr>
        <w:ind w:firstLine="720"/>
        <w:rPr>
          <w:szCs w:val="24"/>
        </w:rPr>
      </w:pPr>
      <w:r w:rsidRPr="00093A64">
        <w:rPr>
          <w:szCs w:val="24"/>
        </w:rPr>
        <w:t xml:space="preserve">O </w:t>
      </w:r>
      <w:r w:rsidR="00E25336">
        <w:rPr>
          <w:szCs w:val="24"/>
        </w:rPr>
        <w:t xml:space="preserve">erro Tipo S </w:t>
      </w:r>
      <w:r w:rsidRPr="00093A64">
        <w:rPr>
          <w:szCs w:val="24"/>
        </w:rPr>
        <w:t xml:space="preserve">está relacionado com a estimativa equivocada (contrária) do sinal (S) de mudança, ou seja, quando da realização de um teste de hipótese, existe a probabilidade de se obter uma estimativa de tendência crescente (decrescente) quando na verdade a </w:t>
      </w:r>
      <w:r w:rsidR="0053183F" w:rsidRPr="00093A64">
        <w:rPr>
          <w:szCs w:val="24"/>
        </w:rPr>
        <w:t>mesma é decrescente (crescente)</w:t>
      </w:r>
      <w:r w:rsidR="00E25336">
        <w:rPr>
          <w:szCs w:val="24"/>
        </w:rPr>
        <w:t>. Esse tipo de erro pode resultar numa visão totalmente distorcida da realidade.</w:t>
      </w:r>
    </w:p>
    <w:p w14:paraId="4E604357" w14:textId="4CCD4691" w:rsidR="00E25336" w:rsidRDefault="00C9792A" w:rsidP="00093A64">
      <w:pPr>
        <w:ind w:firstLine="720"/>
        <w:rPr>
          <w:szCs w:val="24"/>
        </w:rPr>
      </w:pPr>
      <w:r w:rsidRPr="00093A64">
        <w:rPr>
          <w:szCs w:val="24"/>
        </w:rPr>
        <w:t>O erro Tipo M</w:t>
      </w:r>
      <w:r w:rsidR="00E25336">
        <w:rPr>
          <w:szCs w:val="24"/>
        </w:rPr>
        <w:t>, por sua vez,</w:t>
      </w:r>
      <w:r w:rsidRPr="00093A64">
        <w:rPr>
          <w:szCs w:val="24"/>
        </w:rPr>
        <w:t xml:space="preserve"> refere-se </w:t>
      </w:r>
      <w:r w:rsidR="0079508C">
        <w:rPr>
          <w:szCs w:val="24"/>
        </w:rPr>
        <w:t>à</w:t>
      </w:r>
      <w:r w:rsidRPr="00093A64">
        <w:rPr>
          <w:szCs w:val="24"/>
        </w:rPr>
        <w:t xml:space="preserve"> superestima</w:t>
      </w:r>
      <w:r w:rsidR="00E25336">
        <w:rPr>
          <w:szCs w:val="24"/>
        </w:rPr>
        <w:t>tiva d</w:t>
      </w:r>
      <w:r w:rsidRPr="00093A64">
        <w:rPr>
          <w:szCs w:val="24"/>
        </w:rPr>
        <w:t>a magnitude das tendências</w:t>
      </w:r>
      <w:r w:rsidR="00E25336">
        <w:rPr>
          <w:szCs w:val="24"/>
        </w:rPr>
        <w:t>. Esse tipo de erro ambém pode ser grave, dependendo do grau de superestimativa, que pode chegar, dependendo do caso em questão, a algumas vezes a magnitude verdadeira.</w:t>
      </w:r>
    </w:p>
    <w:p w14:paraId="0EB62C63" w14:textId="1F677472" w:rsidR="00C9792A" w:rsidRPr="00093A64" w:rsidRDefault="00E25336" w:rsidP="00093A64">
      <w:pPr>
        <w:ind w:firstLine="720"/>
        <w:rPr>
          <w:szCs w:val="24"/>
        </w:rPr>
      </w:pPr>
      <w:r>
        <w:rPr>
          <w:szCs w:val="24"/>
        </w:rPr>
        <w:t xml:space="preserve">Ambos os erros se tornam mais frequentes e relevantes à medida que </w:t>
      </w:r>
      <w:r w:rsidR="00C9792A" w:rsidRPr="00093A64">
        <w:rPr>
          <w:szCs w:val="24"/>
        </w:rPr>
        <w:t xml:space="preserve">o poder do teste </w:t>
      </w:r>
      <w:r>
        <w:rPr>
          <w:szCs w:val="24"/>
        </w:rPr>
        <w:t>se torna menor</w:t>
      </w:r>
      <w:r w:rsidR="00C9792A" w:rsidRPr="00093A64">
        <w:rPr>
          <w:szCs w:val="24"/>
        </w:rPr>
        <w:t xml:space="preserve">. Esses dois erros não são discutidos na literatura de detecção </w:t>
      </w:r>
      <w:r>
        <w:rPr>
          <w:szCs w:val="24"/>
        </w:rPr>
        <w:t xml:space="preserve">de tendências </w:t>
      </w:r>
      <w:r w:rsidR="00C9792A" w:rsidRPr="00093A64">
        <w:rPr>
          <w:szCs w:val="24"/>
        </w:rPr>
        <w:t>em variáveis hidrometeorológicas, apesar da importância de seu entendimento no pr</w:t>
      </w:r>
      <w:r w:rsidR="00864DF1" w:rsidRPr="00093A64">
        <w:rPr>
          <w:szCs w:val="24"/>
        </w:rPr>
        <w:t>ocesso de análise de resultados</w:t>
      </w:r>
      <w:r w:rsidR="0053183F" w:rsidRPr="00093A64">
        <w:rPr>
          <w:szCs w:val="24"/>
        </w:rPr>
        <w:t xml:space="preserve"> </w:t>
      </w:r>
      <w:r>
        <w:rPr>
          <w:szCs w:val="24"/>
        </w:rPr>
        <w:t xml:space="preserve">e no </w:t>
      </w:r>
      <w:r w:rsidR="00864DF1" w:rsidRPr="00093A64">
        <w:rPr>
          <w:szCs w:val="24"/>
        </w:rPr>
        <w:t xml:space="preserve">planejamento </w:t>
      </w:r>
      <w:r>
        <w:rPr>
          <w:szCs w:val="24"/>
        </w:rPr>
        <w:t xml:space="preserve">da </w:t>
      </w:r>
      <w:r w:rsidR="00864DF1" w:rsidRPr="00093A64">
        <w:rPr>
          <w:szCs w:val="24"/>
        </w:rPr>
        <w:t>tomada de decisões em questões que envolvem a gestão de recursos hídricos, por exemplo</w:t>
      </w:r>
      <w:r w:rsidR="00C9792A" w:rsidRPr="00093A64">
        <w:rPr>
          <w:szCs w:val="24"/>
        </w:rPr>
        <w:t>. Afinal, tão importante quanto a detecção é a estimativa, de forma precisa, da magnitude da mudança, que irá sinalizar aos gestores sua gravidade e a necessidade ou não de intervenção imediata.</w:t>
      </w:r>
    </w:p>
    <w:p w14:paraId="401653E3" w14:textId="410C0F48" w:rsidR="0095500E" w:rsidRPr="00093A64" w:rsidRDefault="006E2A13" w:rsidP="004A59B3">
      <w:pPr>
        <w:ind w:firstLine="431"/>
        <w:rPr>
          <w:szCs w:val="24"/>
        </w:rPr>
      </w:pPr>
      <w:r>
        <w:rPr>
          <w:szCs w:val="24"/>
        </w:rPr>
        <w:t>Este</w:t>
      </w:r>
      <w:r w:rsidR="00864DF1" w:rsidRPr="00093A64">
        <w:rPr>
          <w:szCs w:val="24"/>
        </w:rPr>
        <w:t xml:space="preserve"> capítulo tem o objetivo de a</w:t>
      </w:r>
      <w:r w:rsidR="009F79B5" w:rsidRPr="00093A64">
        <w:rPr>
          <w:szCs w:val="24"/>
        </w:rPr>
        <w:t>valiar, por meio de estudo de Simulação Monte Carlo, como o tamanho da série histórica (</w:t>
      </w:r>
      <w:r w:rsidR="009F79B5" w:rsidRPr="007C75A6">
        <w:rPr>
          <w:i/>
          <w:iCs/>
          <w:szCs w:val="24"/>
        </w:rPr>
        <w:t>n</w:t>
      </w:r>
      <w:r w:rsidR="009F79B5" w:rsidRPr="00093A64">
        <w:rPr>
          <w:szCs w:val="24"/>
        </w:rPr>
        <w:t>), magnitude da tendência (</w:t>
      </w:r>
      <w:r w:rsidR="009F79B5" w:rsidRPr="007C75A6">
        <w:rPr>
          <w:i/>
          <w:iCs/>
          <w:szCs w:val="24"/>
        </w:rPr>
        <w:t>b</w:t>
      </w:r>
      <w:r w:rsidR="009F79B5" w:rsidRPr="00093A64">
        <w:rPr>
          <w:szCs w:val="24"/>
        </w:rPr>
        <w:t>), coeficiente de variação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9F79B5" w:rsidRPr="00093A64">
        <w:rPr>
          <w:szCs w:val="24"/>
        </w:rPr>
        <w:t xml:space="preserve"> e parâmetro de forma (</w:t>
      </w:r>
      <w:r w:rsidR="009F79B5" w:rsidRPr="007C75A6">
        <w:rPr>
          <w:i/>
          <w:iCs/>
          <w:szCs w:val="24"/>
        </w:rPr>
        <w:t>κ</w:t>
      </w:r>
      <w:r w:rsidR="009F79B5" w:rsidRPr="00093A64">
        <w:rPr>
          <w:szCs w:val="24"/>
        </w:rPr>
        <w:t xml:space="preserve">) da distribuição generalizada de valores extremos (GEV) afetam os erros do tipo S e M associados ao estimador de </w:t>
      </w:r>
      <w:r w:rsidR="009F79B5" w:rsidRPr="001B5BB6">
        <w:rPr>
          <w:szCs w:val="24"/>
        </w:rPr>
        <w:t>magnitude da mudança proposto por Sen (1968) – B_SEN</w:t>
      </w:r>
      <w:r w:rsidR="004A59B3" w:rsidRPr="001B5BB6">
        <w:rPr>
          <w:szCs w:val="24"/>
        </w:rPr>
        <w:t xml:space="preserve">. </w:t>
      </w:r>
    </w:p>
    <w:p w14:paraId="39FCD16A" w14:textId="7F086495" w:rsidR="00651A9F" w:rsidRDefault="00651A9F" w:rsidP="00651A9F">
      <w:pPr>
        <w:pStyle w:val="Heading1"/>
      </w:pPr>
      <w:r w:rsidRPr="00C26928">
        <w:t>Erros T</w:t>
      </w:r>
      <w:r>
        <w:t>ipo S e M: Conceitos e Importância</w:t>
      </w:r>
    </w:p>
    <w:p w14:paraId="385C9697" w14:textId="4F0CCC9E" w:rsidR="0095500E" w:rsidRPr="00093A64" w:rsidRDefault="0095500E" w:rsidP="00E8735D">
      <w:pPr>
        <w:ind w:firstLine="431"/>
        <w:rPr>
          <w:szCs w:val="24"/>
        </w:rPr>
      </w:pPr>
      <w:r w:rsidRPr="00093A64">
        <w:rPr>
          <w:szCs w:val="24"/>
        </w:rPr>
        <w:t xml:space="preserve">Os efeitos da alteração na frequência e intensidade de eventos hidrológicos têm motivado a realização de estudos de detecção de tendências para subsidiar o processo de gestão dos recursos hídricos. Diversos fatores influenciam a capacidade de detecção de tendências verdadeiras, tais como a presença de autocorrelação temporal, a questão da multiplicidade de testes em análises regionais, e o fato de que o poder do teste empregado na análise e o grau de tendenciosidade na estimativa da magnitude da tendência dependem de características da série histórica (tamanho, graus de variabilidade e assimetria, distribuição geradora, e magnitude real de tendência) (Amorim, 2018). </w:t>
      </w:r>
    </w:p>
    <w:p w14:paraId="5309F7B8" w14:textId="47FB281C" w:rsidR="0095500E" w:rsidRPr="00093A64" w:rsidRDefault="0095500E" w:rsidP="00C26928">
      <w:pPr>
        <w:ind w:firstLine="408"/>
        <w:rPr>
          <w:szCs w:val="24"/>
        </w:rPr>
      </w:pPr>
      <w:r w:rsidRPr="00093A64">
        <w:rPr>
          <w:szCs w:val="24"/>
        </w:rPr>
        <w:t>Mais recentemente, em estudo</w:t>
      </w:r>
      <w:r w:rsidR="00B81CAD">
        <w:rPr>
          <w:szCs w:val="24"/>
        </w:rPr>
        <w:t>s</w:t>
      </w:r>
      <w:r w:rsidRPr="00093A64">
        <w:rPr>
          <w:szCs w:val="24"/>
        </w:rPr>
        <w:t xml:space="preserve"> ligados à área da medicina, iniciou-se uma discussão acerca de outros tipos de erros, além dos tradicionais tipos I e II, que podem prejudicar as análises dos resultados obtidos em estudos de detecção a nível local e regional. Trata-se dos erros Tipo S e Tipo M, que foram formalmente definidos por Gelman e Carlin (2014) como:</w:t>
      </w:r>
    </w:p>
    <w:p w14:paraId="40713804" w14:textId="21DFAC46" w:rsidR="0095500E" w:rsidRPr="00093A64" w:rsidRDefault="0095500E" w:rsidP="0095500E">
      <w:pPr>
        <w:pStyle w:val="ListParagraph"/>
        <w:numPr>
          <w:ilvl w:val="0"/>
          <w:numId w:val="5"/>
        </w:numPr>
        <w:spacing w:before="240" w:after="200"/>
        <w:ind w:left="408" w:hanging="357"/>
        <w:rPr>
          <w:rFonts w:eastAsiaTheme="minorEastAsia" w:cs="Times New Roman"/>
          <w:szCs w:val="24"/>
        </w:rPr>
      </w:pPr>
      <w:r w:rsidRPr="00093A64">
        <w:rPr>
          <w:rFonts w:eastAsiaTheme="minorEastAsia" w:cs="Times New Roman"/>
          <w:i/>
          <w:szCs w:val="24"/>
        </w:rPr>
        <w:t>Erro tipo S</w:t>
      </w:r>
      <w:r w:rsidRPr="00093A64">
        <w:rPr>
          <w:rFonts w:eastAsiaTheme="minorEastAsia" w:cs="Times New Roman"/>
          <w:szCs w:val="24"/>
        </w:rPr>
        <w:t>: a probabilidade de a estimativa do sinal de mudança apresentar sinal incorreto, dado que o mesmo é estat</w:t>
      </w:r>
      <w:r w:rsidR="000820CB">
        <w:rPr>
          <w:rFonts w:eastAsiaTheme="minorEastAsia" w:cs="Times New Roman"/>
          <w:szCs w:val="24"/>
        </w:rPr>
        <w:t>i</w:t>
      </w:r>
      <w:r w:rsidRPr="00093A64">
        <w:rPr>
          <w:rFonts w:eastAsiaTheme="minorEastAsia" w:cs="Times New Roman"/>
          <w:szCs w:val="24"/>
        </w:rPr>
        <w:t xml:space="preserve">sticamente significante diferente de zero. Em outras palavras, o Erro Tipo S </w:t>
      </w:r>
      <w:r w:rsidRPr="00093A64">
        <w:rPr>
          <w:szCs w:val="24"/>
        </w:rPr>
        <w:t>está relacionado com a estimativa equivocada (contrária) do sinal (S) de mudança, ou seja, quando da realização de um teste de hipótese, existe a probabilidade de se obter uma estimativa de tendência crescente (decrescente) quando na verdade a mesma é decrescente (crescente).</w:t>
      </w:r>
    </w:p>
    <w:p w14:paraId="527EDA0D" w14:textId="77777777" w:rsidR="0095500E" w:rsidRPr="00093A64" w:rsidRDefault="0095500E" w:rsidP="0095500E">
      <w:pPr>
        <w:pStyle w:val="ListParagraph"/>
        <w:spacing w:after="200"/>
        <w:ind w:left="408"/>
        <w:rPr>
          <w:rFonts w:eastAsiaTheme="minorEastAsia" w:cs="Times New Roman"/>
          <w:szCs w:val="24"/>
        </w:rPr>
      </w:pPr>
      <w:r w:rsidRPr="00093A64">
        <w:rPr>
          <w:szCs w:val="24"/>
        </w:rPr>
        <w:t xml:space="preserve">  </w:t>
      </w:r>
    </w:p>
    <w:p w14:paraId="379D0639" w14:textId="2D25EFF6" w:rsidR="0095500E" w:rsidRPr="00093A64" w:rsidRDefault="0095500E" w:rsidP="0095500E">
      <w:pPr>
        <w:pStyle w:val="ListParagraph"/>
        <w:numPr>
          <w:ilvl w:val="0"/>
          <w:numId w:val="5"/>
        </w:numPr>
        <w:spacing w:before="240" w:after="240"/>
        <w:rPr>
          <w:szCs w:val="24"/>
        </w:rPr>
      </w:pPr>
      <w:r w:rsidRPr="00093A64">
        <w:rPr>
          <w:szCs w:val="24"/>
        </w:rPr>
        <w:t>Erro Tipo M: relacionado à magnitude da tendência estimada; representa a expectativa do valor absoluto da estimativa dividido pelo tamanho efetivo, se estat</w:t>
      </w:r>
      <w:r w:rsidR="00E541B5">
        <w:rPr>
          <w:szCs w:val="24"/>
        </w:rPr>
        <w:t>i</w:t>
      </w:r>
      <w:r w:rsidRPr="00093A64">
        <w:rPr>
          <w:szCs w:val="24"/>
        </w:rPr>
        <w:t>sticamente significante diferente de zero.</w:t>
      </w:r>
    </w:p>
    <w:p w14:paraId="1E048403" w14:textId="77777777" w:rsidR="0095500E" w:rsidRPr="00093A64" w:rsidRDefault="0095500E" w:rsidP="00C26928">
      <w:pPr>
        <w:ind w:firstLine="410"/>
        <w:rPr>
          <w:szCs w:val="24"/>
        </w:rPr>
      </w:pPr>
      <w:r w:rsidRPr="00093A64">
        <w:rPr>
          <w:szCs w:val="24"/>
        </w:rPr>
        <w:t xml:space="preserve">A inexistência de discussões a respeito dos </w:t>
      </w:r>
      <w:r w:rsidRPr="00093A64">
        <w:rPr>
          <w:i/>
          <w:szCs w:val="24"/>
        </w:rPr>
        <w:t>Erros do tipo S</w:t>
      </w:r>
      <w:r w:rsidRPr="00093A64">
        <w:rPr>
          <w:szCs w:val="24"/>
        </w:rPr>
        <w:t xml:space="preserve"> e </w:t>
      </w:r>
      <w:r w:rsidRPr="00093A64">
        <w:rPr>
          <w:i/>
          <w:szCs w:val="24"/>
        </w:rPr>
        <w:t>M</w:t>
      </w:r>
      <w:r w:rsidRPr="00093A64">
        <w:rPr>
          <w:szCs w:val="24"/>
        </w:rPr>
        <w:t xml:space="preserve"> na literatura de detecção de tendências em variáveis hidrometeorológicas e a relevância de seu entendimento no processo de análise de resultados foram os aspectos motivadores para o presente capítulo. Afinal, tão importante quanto a detecção é a estimativa, de forma precisa, da magnitude da mudança, que irá sinalizar aos gestores sua gravidade e a necessidade ou não de intervenção imediata.</w:t>
      </w:r>
    </w:p>
    <w:p w14:paraId="3936C2C0" w14:textId="0F4EC696" w:rsidR="0064138D" w:rsidRPr="00093A64" w:rsidRDefault="00651A9F" w:rsidP="0064138D">
      <w:pPr>
        <w:pStyle w:val="Heading1"/>
        <w:rPr>
          <w:szCs w:val="24"/>
        </w:rPr>
      </w:pPr>
      <w:r w:rsidRPr="00093A64">
        <w:rPr>
          <w:szCs w:val="24"/>
        </w:rPr>
        <w:t>Estudo Monte Ca</w:t>
      </w:r>
      <w:r w:rsidR="00C26928" w:rsidRPr="00093A64">
        <w:rPr>
          <w:szCs w:val="24"/>
        </w:rPr>
        <w:t>rlo</w:t>
      </w:r>
    </w:p>
    <w:p w14:paraId="69DD0076" w14:textId="648BA377" w:rsidR="0095500E" w:rsidRPr="00093A64" w:rsidRDefault="0095500E" w:rsidP="00D62695">
      <w:pPr>
        <w:spacing w:after="0"/>
        <w:ind w:firstLine="431"/>
        <w:rPr>
          <w:rFonts w:eastAsiaTheme="minorEastAsia" w:cs="Times New Roman"/>
          <w:szCs w:val="24"/>
        </w:rPr>
      </w:pPr>
      <w:r w:rsidRPr="00093A64">
        <w:rPr>
          <w:rFonts w:eastAsiaTheme="minorEastAsia" w:cs="Times New Roman"/>
          <w:szCs w:val="24"/>
        </w:rPr>
        <w:t xml:space="preserve">A simulação Monte Carlo pode ser definida como um método estatístico que se baseia em amostragens massivas para a obtenção de resultados numéricos, isto é, repete-se sucessivas simulações um elevado número de vezes para calcular probabilidades heuristicamente. Esse tipo de método é utilizado em simulações estocásticas com diversas aplicações em áreas como a física, matemática e biologia e bastante utilizada na obtenção de aproximações numéricas de funções complexas em que não é viável, ou é mesmo impossível, obter-se uma solução analítica. </w:t>
      </w:r>
    </w:p>
    <w:p w14:paraId="54D8B93B" w14:textId="3CDD5863" w:rsidR="004A59B3" w:rsidRPr="00093A64" w:rsidRDefault="00D62695" w:rsidP="00093A64">
      <w:pPr>
        <w:spacing w:after="0"/>
        <w:ind w:firstLine="431"/>
        <w:rPr>
          <w:rFonts w:eastAsiaTheme="minorEastAsia" w:cs="Times New Roman"/>
          <w:szCs w:val="24"/>
        </w:rPr>
      </w:pPr>
      <w:r w:rsidRPr="00093A64">
        <w:rPr>
          <w:rFonts w:eastAsiaTheme="minorEastAsia" w:cs="Times New Roman"/>
          <w:szCs w:val="24"/>
        </w:rPr>
        <w:t>Na sequência, apresenta</w:t>
      </w:r>
      <w:r w:rsidR="00093A64" w:rsidRPr="00093A64">
        <w:rPr>
          <w:rFonts w:eastAsiaTheme="minorEastAsia" w:cs="Times New Roman"/>
          <w:szCs w:val="24"/>
        </w:rPr>
        <w:t>m</w:t>
      </w:r>
      <w:r w:rsidRPr="00093A64">
        <w:rPr>
          <w:rFonts w:eastAsiaTheme="minorEastAsia" w:cs="Times New Roman"/>
          <w:szCs w:val="24"/>
        </w:rPr>
        <w:t>-se a l</w:t>
      </w:r>
      <w:r w:rsidR="004A59B3" w:rsidRPr="00093A64">
        <w:rPr>
          <w:rFonts w:eastAsiaTheme="minorEastAsia" w:cs="Times New Roman"/>
          <w:szCs w:val="24"/>
        </w:rPr>
        <w:t xml:space="preserve">ógica e </w:t>
      </w:r>
      <w:r w:rsidR="00C26928" w:rsidRPr="00093A64">
        <w:rPr>
          <w:rFonts w:eastAsiaTheme="minorEastAsia" w:cs="Times New Roman"/>
          <w:szCs w:val="24"/>
        </w:rPr>
        <w:t>o passo</w:t>
      </w:r>
      <w:r w:rsidR="00093A64" w:rsidRPr="00093A64">
        <w:rPr>
          <w:rFonts w:eastAsiaTheme="minorEastAsia" w:cs="Times New Roman"/>
          <w:szCs w:val="24"/>
        </w:rPr>
        <w:t xml:space="preserve"> a passo</w:t>
      </w:r>
      <w:r w:rsidR="004A59B3" w:rsidRPr="00093A64">
        <w:rPr>
          <w:rFonts w:eastAsiaTheme="minorEastAsia" w:cs="Times New Roman"/>
          <w:szCs w:val="24"/>
        </w:rPr>
        <w:t xml:space="preserve"> adotado para a geração de séries com e sem tendências lineares distribuídas conforme GEV</w:t>
      </w:r>
      <w:r w:rsidR="00093A64" w:rsidRPr="00093A64">
        <w:rPr>
          <w:rFonts w:eastAsiaTheme="minorEastAsia" w:cs="Times New Roman"/>
          <w:szCs w:val="24"/>
        </w:rPr>
        <w:t>, via simulação Monte Carlo; a metodologia empregada</w:t>
      </w:r>
      <w:r w:rsidR="004A59B3" w:rsidRPr="00093A64">
        <w:rPr>
          <w:rFonts w:eastAsiaTheme="minorEastAsia" w:cs="Times New Roman"/>
          <w:szCs w:val="24"/>
        </w:rPr>
        <w:t xml:space="preserve"> </w:t>
      </w:r>
      <w:r w:rsidR="00093A64" w:rsidRPr="00093A64">
        <w:rPr>
          <w:rFonts w:eastAsiaTheme="minorEastAsia" w:cs="Times New Roman"/>
          <w:szCs w:val="24"/>
        </w:rPr>
        <w:t>na estimativa da magnitude da tendência e, por fim,</w:t>
      </w:r>
      <w:r w:rsidR="004A59B3" w:rsidRPr="00093A64">
        <w:rPr>
          <w:rFonts w:eastAsiaTheme="minorEastAsia" w:cs="Times New Roman"/>
          <w:szCs w:val="24"/>
        </w:rPr>
        <w:t xml:space="preserve"> </w:t>
      </w:r>
      <w:r w:rsidR="00093A64" w:rsidRPr="00093A64">
        <w:rPr>
          <w:rFonts w:eastAsiaTheme="minorEastAsia" w:cs="Times New Roman"/>
          <w:szCs w:val="24"/>
        </w:rPr>
        <w:t>as m</w:t>
      </w:r>
      <w:r w:rsidR="004A59B3" w:rsidRPr="00093A64">
        <w:rPr>
          <w:rFonts w:eastAsiaTheme="minorEastAsia" w:cs="Times New Roman"/>
          <w:szCs w:val="24"/>
        </w:rPr>
        <w:t xml:space="preserve">étricas </w:t>
      </w:r>
      <w:r w:rsidR="00093A64" w:rsidRPr="00093A64">
        <w:rPr>
          <w:rFonts w:eastAsiaTheme="minorEastAsia" w:cs="Times New Roman"/>
          <w:szCs w:val="24"/>
        </w:rPr>
        <w:t xml:space="preserve">definidas </w:t>
      </w:r>
      <w:r w:rsidR="004A59B3" w:rsidRPr="00093A64">
        <w:rPr>
          <w:rFonts w:eastAsiaTheme="minorEastAsia" w:cs="Times New Roman"/>
          <w:szCs w:val="24"/>
        </w:rPr>
        <w:t>para estimativa dos erros do tipo S e tipo M</w:t>
      </w:r>
    </w:p>
    <w:p w14:paraId="1BBB1B27" w14:textId="3D502FE0" w:rsidR="00651A9F" w:rsidRPr="00093A64" w:rsidRDefault="00651A9F" w:rsidP="00D62695">
      <w:pPr>
        <w:pStyle w:val="Heading2"/>
        <w:spacing w:after="240"/>
        <w:rPr>
          <w:szCs w:val="24"/>
        </w:rPr>
      </w:pPr>
      <w:r w:rsidRPr="00093A64">
        <w:rPr>
          <w:szCs w:val="24"/>
        </w:rPr>
        <w:t>Lógica do experimento</w:t>
      </w:r>
    </w:p>
    <w:p w14:paraId="501094B7" w14:textId="41022F9C" w:rsidR="0095500E" w:rsidRPr="00093A64" w:rsidRDefault="00D62695" w:rsidP="00093A64">
      <w:pPr>
        <w:ind w:firstLine="431"/>
        <w:rPr>
          <w:szCs w:val="24"/>
        </w:rPr>
      </w:pPr>
      <w:r w:rsidRPr="00093A64">
        <w:rPr>
          <w:szCs w:val="24"/>
        </w:rPr>
        <w:t>A</w:t>
      </w:r>
      <w:r w:rsidR="0095500E" w:rsidRPr="00093A64">
        <w:rPr>
          <w:szCs w:val="24"/>
        </w:rPr>
        <w:t xml:space="preserve"> simulação Monte Carlo foi empregada na geração de diferentes amostras aleatórias do tipo GEV. Para tal, a seleção dos valores assumidos para parâmetros ditos variáveis durante o processo MC, </w:t>
      </w:r>
      <w:r w:rsidR="0095500E" w:rsidRPr="00F45AC8">
        <w:rPr>
          <w:i/>
          <w:iCs/>
          <w:szCs w:val="24"/>
        </w:rPr>
        <w:t>n</w:t>
      </w:r>
      <w:r w:rsidR="0095500E" w:rsidRPr="00093A64">
        <w:rPr>
          <w:szCs w:val="24"/>
        </w:rPr>
        <w:t xml:space="preserve">, </w:t>
      </w:r>
      <w:r w:rsidR="0095500E" w:rsidRPr="00F45AC8">
        <w:rPr>
          <w:i/>
          <w:iCs/>
          <w:szCs w:val="24"/>
        </w:rPr>
        <w:t>Cv</w:t>
      </w:r>
      <w:r w:rsidR="0095500E" w:rsidRPr="00093A64">
        <w:rPr>
          <w:szCs w:val="24"/>
        </w:rPr>
        <w:t xml:space="preserve">, </w:t>
      </w:r>
      <w:r w:rsidR="0095500E" w:rsidRPr="00F45AC8">
        <w:rPr>
          <w:i/>
          <w:iCs/>
          <w:szCs w:val="24"/>
        </w:rPr>
        <w:t>b</w:t>
      </w:r>
      <w:r w:rsidR="0095500E" w:rsidRPr="00093A64">
        <w:rPr>
          <w:szCs w:val="24"/>
        </w:rPr>
        <w:t xml:space="preserve"> e </w:t>
      </w:r>
      <w:r w:rsidR="0095500E" w:rsidRPr="00F45AC8">
        <w:rPr>
          <w:i/>
          <w:iCs/>
          <w:szCs w:val="24"/>
        </w:rPr>
        <w:t>κ</w:t>
      </w:r>
      <w:r w:rsidR="0095500E" w:rsidRPr="00093A64">
        <w:rPr>
          <w:szCs w:val="24"/>
        </w:rPr>
        <w:t>, foi pautada naqueles usualmente utilizados/vistos na hidrologia. Diante disso, escolheu-se os tamanhos amostrais, coeficientes de variação, parâmetros de forma e magnitudes de tendência iguais a, respectivamente, (</w:t>
      </w:r>
      <m:oMath>
        <m:r>
          <w:rPr>
            <w:rFonts w:ascii="Cambria Math" w:hAnsi="Cambria Math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=20 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20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100</m:t>
        </m:r>
      </m:oMath>
      <w:r w:rsidR="0095500E" w:rsidRPr="00093A64">
        <w:rPr>
          <w:szCs w:val="24"/>
        </w:rPr>
        <w:t xml:space="preserve">), </w:t>
      </w:r>
      <m:oMath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=0.2 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0.2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1.0</m:t>
        </m:r>
      </m:oMath>
      <w:r w:rsidR="0095500E" w:rsidRPr="00093A64">
        <w:rPr>
          <w:szCs w:val="24"/>
        </w:rPr>
        <w:t xml:space="preserve">), </w:t>
      </w:r>
      <m:oMath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κ</m:t>
        </m:r>
        <m:r>
          <m:rPr>
            <m:sty m:val="p"/>
          </m:rPr>
          <w:rPr>
            <w:rFonts w:ascii="Cambria Math" w:hAnsi="Cambria Math"/>
            <w:szCs w:val="24"/>
          </w:rPr>
          <m:t>=-0.3,-0.1, 0, 0.1, 0.3)</m:t>
        </m:r>
      </m:oMath>
      <w:r w:rsidR="0095500E" w:rsidRPr="00093A64">
        <w:rPr>
          <w:szCs w:val="24"/>
        </w:rPr>
        <w:t xml:space="preserve"> e (</w:t>
      </w:r>
      <m:oMath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=-0.01 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0.002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0.01)</m:t>
        </m:r>
      </m:oMath>
      <w:r w:rsidR="0095500E" w:rsidRPr="00093A64">
        <w:rPr>
          <w:szCs w:val="24"/>
        </w:rPr>
        <w:t>.</w:t>
      </w:r>
      <w:r w:rsidR="007743D8">
        <w:rPr>
          <w:szCs w:val="24"/>
        </w:rPr>
        <w:t xml:space="preserve"> </w:t>
      </w:r>
      <w:r w:rsidR="0095500E" w:rsidRPr="00093A64">
        <w:rPr>
          <w:szCs w:val="24"/>
        </w:rPr>
        <w:t xml:space="preserve">A seleção do parâmetro de forma da GEV baseou-se no estudo desenvolvido por Martins e Stedinger (2000), em que se define o intervalo compreendido entre -0.30 e +0.30 como razoável para a definição dos valores de </w:t>
      </w:r>
      <w:r w:rsidR="0095500E" w:rsidRPr="001272E8">
        <w:rPr>
          <w:i/>
          <w:iCs/>
          <w:szCs w:val="24"/>
        </w:rPr>
        <w:t>κ</w:t>
      </w:r>
      <w:r w:rsidR="0095500E" w:rsidRPr="00093A64">
        <w:rPr>
          <w:szCs w:val="24"/>
        </w:rPr>
        <w:t xml:space="preserve"> em aplicações hidrológicas. </w:t>
      </w:r>
    </w:p>
    <w:p w14:paraId="7A9EE762" w14:textId="55F27B6C" w:rsidR="0095500E" w:rsidRPr="00E202B2" w:rsidRDefault="0095500E" w:rsidP="00E202B2">
      <w:pPr>
        <w:ind w:firstLine="431"/>
        <w:rPr>
          <w:rFonts w:eastAsiaTheme="minorEastAsia" w:cs="Times New Roman"/>
          <w:szCs w:val="24"/>
        </w:rPr>
      </w:pPr>
      <w:r w:rsidRPr="00093A64">
        <w:rPr>
          <w:szCs w:val="24"/>
        </w:rPr>
        <w:t>Em posse dos valores previamente arbitrados (</w:t>
      </w:r>
      <w:r w:rsidRPr="008C2C06">
        <w:rPr>
          <w:i/>
          <w:iCs/>
          <w:szCs w:val="24"/>
        </w:rPr>
        <w:t>n</w:t>
      </w:r>
      <w:r w:rsidRPr="00093A64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v</m:t>
            </m:r>
          </m:sub>
        </m:sSub>
      </m:oMath>
      <w:r w:rsidRPr="00093A6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κ</m:t>
        </m:r>
      </m:oMath>
      <w:r w:rsidRPr="00093A64">
        <w:rPr>
          <w:szCs w:val="24"/>
        </w:rPr>
        <w:t xml:space="preserve"> e </w:t>
      </w:r>
      <m:oMath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093A64">
        <w:rPr>
          <w:szCs w:val="24"/>
        </w:rPr>
        <w:t xml:space="preserve">, </w:t>
      </w:r>
      <w:r w:rsidR="00650E40">
        <w:rPr>
          <w:szCs w:val="24"/>
        </w:rPr>
        <w:t xml:space="preserve">passa-se ao processo de geração das séries, como discutido na próxima </w:t>
      </w:r>
      <w:r w:rsidR="00D2488C">
        <w:rPr>
          <w:szCs w:val="24"/>
        </w:rPr>
        <w:t>seção.</w:t>
      </w:r>
    </w:p>
    <w:p w14:paraId="6FD91E2D" w14:textId="43965CF0" w:rsidR="00651A9F" w:rsidRDefault="00651A9F" w:rsidP="00651A9F">
      <w:pPr>
        <w:pStyle w:val="Heading2"/>
      </w:pPr>
      <w:r>
        <w:t>Geração de variáveis GEV</w:t>
      </w:r>
      <w:r w:rsidR="006D7DEF">
        <w:t xml:space="preserve"> com e sem </w:t>
      </w:r>
      <w:r w:rsidR="00A33D37">
        <w:t xml:space="preserve">a presença de </w:t>
      </w:r>
      <w:r w:rsidR="006D7DEF">
        <w:t>tendência</w:t>
      </w:r>
    </w:p>
    <w:p w14:paraId="3E66CA35" w14:textId="4D1DC401" w:rsidR="00E00C76" w:rsidRPr="00E00C76" w:rsidRDefault="00E00C76" w:rsidP="00093A64">
      <w:pPr>
        <w:pStyle w:val="Heading3"/>
        <w:spacing w:after="0"/>
      </w:pPr>
      <w:r>
        <w:t>A distribuição GEV</w:t>
      </w:r>
    </w:p>
    <w:p w14:paraId="2CD63278" w14:textId="77777777" w:rsidR="00093A64" w:rsidRDefault="00093A64" w:rsidP="00093A64">
      <w:pPr>
        <w:spacing w:after="0"/>
        <w:ind w:firstLine="578"/>
        <w:rPr>
          <w:szCs w:val="24"/>
        </w:rPr>
      </w:pPr>
    </w:p>
    <w:p w14:paraId="4F1DA25B" w14:textId="72C93A80" w:rsidR="00B66834" w:rsidRPr="00B66834" w:rsidRDefault="00B66834" w:rsidP="00B66834">
      <w:pPr>
        <w:ind w:firstLine="578"/>
        <w:rPr>
          <w:szCs w:val="24"/>
        </w:rPr>
      </w:pPr>
      <w:r w:rsidRPr="00B66834">
        <w:rPr>
          <w:szCs w:val="24"/>
        </w:rPr>
        <w:t>A distribuição Generalizada de Valores Extremos engloba três distribuições frequentemente utilizadas na descrição probabilística de variáveis meteorológicas e hidrológicas máximas e mínimas, denominadas EV1 (Gumbel), EV2 (Fréchet) e EV3 (Weibull), cuja função de distribuição acumulada é dada por: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69"/>
        <w:gridCol w:w="2471"/>
      </w:tblGrid>
      <w:tr w:rsidR="00B66834" w:rsidRPr="00B66834" w14:paraId="157B56CC" w14:textId="77777777" w:rsidTr="0095500E">
        <w:trPr>
          <w:jc w:val="center"/>
        </w:trPr>
        <w:tc>
          <w:tcPr>
            <w:tcW w:w="1384" w:type="dxa"/>
          </w:tcPr>
          <w:p w14:paraId="3EEA5433" w14:textId="77777777" w:rsidR="00B66834" w:rsidRPr="00B66834" w:rsidRDefault="00B66834" w:rsidP="00B66834">
            <w:pPr>
              <w:rPr>
                <w:sz w:val="24"/>
                <w:szCs w:val="24"/>
              </w:rPr>
            </w:pPr>
          </w:p>
        </w:tc>
        <w:tc>
          <w:tcPr>
            <w:tcW w:w="4769" w:type="dxa"/>
          </w:tcPr>
          <w:p w14:paraId="3EAD0BE2" w14:textId="77777777" w:rsidR="00B66834" w:rsidRPr="00B66834" w:rsidRDefault="00B66834" w:rsidP="00B6683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1-κ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(x-ξ)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κ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    κ≠0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-exp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(x-ξ)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α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         κ=0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71" w:type="dxa"/>
            <w:vAlign w:val="bottom"/>
          </w:tcPr>
          <w:p w14:paraId="0FADB166" w14:textId="6B1C2297" w:rsidR="00B66834" w:rsidRPr="00B66834" w:rsidRDefault="00B66834" w:rsidP="00B66834">
            <w:pPr>
              <w:rPr>
                <w:sz w:val="24"/>
                <w:szCs w:val="24"/>
              </w:rPr>
            </w:pPr>
            <w:r w:rsidRPr="00B66834">
              <w:rPr>
                <w:sz w:val="24"/>
                <w:szCs w:val="24"/>
              </w:rPr>
              <w:t>(1)</w:t>
            </w:r>
          </w:p>
        </w:tc>
      </w:tr>
    </w:tbl>
    <w:p w14:paraId="7C11E74D" w14:textId="5FB4AC16" w:rsidR="00B66834" w:rsidRPr="00B66834" w:rsidRDefault="00255E5A" w:rsidP="00B66834">
      <w:pPr>
        <w:rPr>
          <w:rFonts w:eastAsiaTheme="minorEastAsia"/>
          <w:szCs w:val="24"/>
        </w:rPr>
      </w:pPr>
      <w:r>
        <w:rPr>
          <w:szCs w:val="24"/>
        </w:rPr>
        <w:t>em que</w:t>
      </w:r>
      <w:r w:rsidR="00B66834" w:rsidRPr="00B66834">
        <w:rPr>
          <w:szCs w:val="24"/>
        </w:rPr>
        <w:t xml:space="preserve"> ξ, α e κ são os parâmetros de posição, escala e forma, respectivamente. Se </w:t>
      </w:r>
      <m:oMath>
        <m:r>
          <w:rPr>
            <w:rFonts w:ascii="Cambria Math" w:hAnsi="Cambria Math"/>
            <w:szCs w:val="24"/>
          </w:rPr>
          <m:t>κ&lt;0</m:t>
        </m:r>
      </m:oMath>
      <w:r w:rsidR="00B66834" w:rsidRPr="00B66834">
        <w:rPr>
          <w:rFonts w:eastAsiaTheme="minorEastAsia"/>
          <w:szCs w:val="24"/>
        </w:rPr>
        <w:t xml:space="preserve"> (EV2), </w:t>
      </w:r>
      <w:r w:rsidR="00E524E1">
        <w:rPr>
          <w:rFonts w:eastAsiaTheme="minorEastAsia"/>
          <w:szCs w:val="24"/>
        </w:rPr>
        <w:t xml:space="preserve">o suporte da </w:t>
      </w:r>
      <w:r w:rsidR="00B66834" w:rsidRPr="00B66834">
        <w:rPr>
          <w:rFonts w:eastAsiaTheme="minorEastAsia"/>
          <w:szCs w:val="24"/>
        </w:rPr>
        <w:t xml:space="preserve">distribuição possui </w:t>
      </w:r>
      <w:r w:rsidR="00E524E1">
        <w:rPr>
          <w:rFonts w:eastAsiaTheme="minorEastAsia"/>
          <w:szCs w:val="24"/>
        </w:rPr>
        <w:t xml:space="preserve">um limite </w:t>
      </w:r>
      <w:r w:rsidR="00B66834" w:rsidRPr="00B66834">
        <w:rPr>
          <w:rFonts w:eastAsiaTheme="minorEastAsia"/>
          <w:szCs w:val="24"/>
        </w:rPr>
        <w:t>inferior (</w:t>
      </w:r>
      <m:oMath>
        <m:r>
          <w:rPr>
            <w:rFonts w:ascii="Cambria Math" w:eastAsiaTheme="minorEastAsia" w:hAnsi="Cambria Math"/>
            <w:szCs w:val="24"/>
          </w:rPr>
          <m:t>x≥ξ+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κ</m:t>
            </m:r>
          </m:den>
        </m:f>
        <m:r>
          <w:rPr>
            <w:rFonts w:ascii="Cambria Math" w:eastAsiaTheme="minorEastAsia" w:hAnsi="Cambria Math"/>
            <w:szCs w:val="24"/>
          </w:rPr>
          <m:t>)</m:t>
        </m:r>
      </m:oMath>
      <w:r w:rsidR="00B66834" w:rsidRPr="00B66834">
        <w:rPr>
          <w:rFonts w:eastAsiaTheme="minorEastAsia"/>
          <w:szCs w:val="24"/>
        </w:rPr>
        <w:t xml:space="preserve">, mas, se </w:t>
      </w:r>
      <w:r w:rsidR="00B66834" w:rsidRPr="00B66834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κ&gt;0</m:t>
        </m:r>
      </m:oMath>
      <w:r w:rsidR="00B66834" w:rsidRPr="00B66834">
        <w:rPr>
          <w:rFonts w:eastAsiaTheme="minorEastAsia"/>
          <w:szCs w:val="24"/>
        </w:rPr>
        <w:t xml:space="preserve"> (EV3), nota-se a existência de restrição superior </w:t>
      </w:r>
      <m:oMath>
        <m:r>
          <w:rPr>
            <w:rFonts w:ascii="Cambria Math" w:eastAsiaTheme="minorEastAsia" w:hAnsi="Cambria Math"/>
            <w:szCs w:val="24"/>
          </w:rPr>
          <m:t>x≤ξ+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κ</m:t>
            </m:r>
          </m:den>
        </m:f>
        <m:r>
          <w:rPr>
            <w:rFonts w:ascii="Cambria Math" w:eastAsiaTheme="minorEastAsia" w:hAnsi="Cambria Math"/>
            <w:szCs w:val="24"/>
          </w:rPr>
          <m:t>)</m:t>
        </m:r>
      </m:oMath>
      <w:r w:rsidR="00B66834" w:rsidRPr="00B66834">
        <w:rPr>
          <w:rFonts w:eastAsiaTheme="minorEastAsia"/>
          <w:szCs w:val="24"/>
        </w:rPr>
        <w:t xml:space="preserve">. Para </w:t>
      </w:r>
      <m:oMath>
        <m:r>
          <w:rPr>
            <w:rFonts w:ascii="Cambria Math" w:hAnsi="Cambria Math"/>
            <w:szCs w:val="24"/>
          </w:rPr>
          <m:t>κ=0</m:t>
        </m:r>
      </m:oMath>
      <w:r w:rsidR="00B66834" w:rsidRPr="00B66834">
        <w:rPr>
          <w:rFonts w:eastAsiaTheme="minorEastAsia"/>
          <w:szCs w:val="24"/>
        </w:rPr>
        <w:t xml:space="preserve">, a GEV converge, no limite, para uma distribuição de Gumbel </w:t>
      </w:r>
      <w:r w:rsidR="00E524E1">
        <w:rPr>
          <w:rFonts w:eastAsiaTheme="minorEastAsia"/>
          <w:szCs w:val="24"/>
        </w:rPr>
        <w:t xml:space="preserve">de suporte </w:t>
      </w:r>
      <w:r w:rsidR="00B66834" w:rsidRPr="00B66834">
        <w:rPr>
          <w:rFonts w:eastAsiaTheme="minorEastAsia"/>
          <w:szCs w:val="24"/>
        </w:rPr>
        <w:t>ilimitad</w:t>
      </w:r>
      <w:r w:rsidR="00E524E1">
        <w:rPr>
          <w:rFonts w:eastAsiaTheme="minorEastAsia"/>
          <w:szCs w:val="24"/>
        </w:rPr>
        <w:t>o</w:t>
      </w:r>
      <w:r w:rsidR="00B66834" w:rsidRPr="00B66834">
        <w:rPr>
          <w:rFonts w:eastAsiaTheme="minorEastAsia"/>
          <w:szCs w:val="24"/>
        </w:rPr>
        <w:t xml:space="preserve">, ou seja, </w:t>
      </w:r>
      <m:oMath>
        <m:r>
          <w:rPr>
            <w:rFonts w:ascii="Cambria Math" w:eastAsiaTheme="minorEastAsia" w:hAnsi="Cambria Math"/>
            <w:szCs w:val="24"/>
          </w:rPr>
          <m:t>-∞≤x≤∞</m:t>
        </m:r>
      </m:oMath>
      <w:r w:rsidR="00B66834" w:rsidRPr="00B66834">
        <w:rPr>
          <w:rFonts w:eastAsiaTheme="minorEastAsia"/>
          <w:szCs w:val="24"/>
        </w:rPr>
        <w:t xml:space="preserve"> .</w:t>
      </w:r>
    </w:p>
    <w:p w14:paraId="55E35F25" w14:textId="77777777" w:rsidR="00B66834" w:rsidRPr="00B66834" w:rsidRDefault="00B66834" w:rsidP="00B66834">
      <w:pPr>
        <w:ind w:firstLine="720"/>
        <w:rPr>
          <w:szCs w:val="24"/>
        </w:rPr>
      </w:pPr>
      <w:r w:rsidRPr="00B66834">
        <w:rPr>
          <w:szCs w:val="24"/>
        </w:rPr>
        <w:t>Ao contrário de outras distribuições empregadas na avaliação de extremos, tal como a LP3, a GEV possui expressão analítica para o cálculo de quantis: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69"/>
        <w:gridCol w:w="2471"/>
      </w:tblGrid>
      <w:tr w:rsidR="00B66834" w:rsidRPr="00B66834" w14:paraId="1DE10D28" w14:textId="77777777" w:rsidTr="0095500E">
        <w:tc>
          <w:tcPr>
            <w:tcW w:w="1384" w:type="dxa"/>
          </w:tcPr>
          <w:p w14:paraId="0EC5F71F" w14:textId="77777777" w:rsidR="00B66834" w:rsidRPr="00B66834" w:rsidRDefault="00B66834" w:rsidP="00B66834">
            <w:pPr>
              <w:rPr>
                <w:sz w:val="24"/>
                <w:szCs w:val="24"/>
              </w:rPr>
            </w:pPr>
          </w:p>
        </w:tc>
        <w:tc>
          <w:tcPr>
            <w:tcW w:w="4769" w:type="dxa"/>
          </w:tcPr>
          <w:p w14:paraId="5BA60A38" w14:textId="77777777" w:rsidR="00B66834" w:rsidRPr="00B66834" w:rsidRDefault="008E38D1" w:rsidP="00B66834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κ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κ≠0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ξ-∝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,             κ=0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71" w:type="dxa"/>
            <w:vAlign w:val="bottom"/>
          </w:tcPr>
          <w:p w14:paraId="0BE2FBC3" w14:textId="7893B42F" w:rsidR="00B66834" w:rsidRPr="00B66834" w:rsidRDefault="00B66834" w:rsidP="00B66834">
            <w:pPr>
              <w:rPr>
                <w:sz w:val="24"/>
                <w:szCs w:val="24"/>
              </w:rPr>
            </w:pPr>
            <w:r w:rsidRPr="00B66834">
              <w:rPr>
                <w:sz w:val="24"/>
                <w:szCs w:val="24"/>
              </w:rPr>
              <w:t>(2)</w:t>
            </w:r>
          </w:p>
        </w:tc>
      </w:tr>
    </w:tbl>
    <w:p w14:paraId="5DC27C8A" w14:textId="0FC8E6AA" w:rsidR="00B66834" w:rsidRPr="00B66834" w:rsidRDefault="004B31DA" w:rsidP="00B6683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em que</w:t>
      </w:r>
      <w:r w:rsidR="00B66834" w:rsidRPr="00B66834">
        <w:rPr>
          <w:rFonts w:eastAsiaTheme="minorEastAsia"/>
          <w:szCs w:val="24"/>
        </w:rPr>
        <w:t xml:space="preserve"> </w:t>
      </w:r>
      <w:r w:rsidR="00B66834" w:rsidRPr="00B66834">
        <w:rPr>
          <w:rFonts w:eastAsiaTheme="minorEastAsia"/>
          <w:i/>
          <w:szCs w:val="24"/>
        </w:rPr>
        <w:t>p</w:t>
      </w:r>
      <w:r w:rsidR="00B66834" w:rsidRPr="00B66834">
        <w:rPr>
          <w:rFonts w:eastAsiaTheme="minorEastAsia"/>
          <w:szCs w:val="24"/>
        </w:rPr>
        <w:t xml:space="preserve"> é a probabilidade acumulada e os parâmetros da GEV, </w:t>
      </w:r>
      <w:r w:rsidR="00B66834" w:rsidRPr="00B66834">
        <w:rPr>
          <w:szCs w:val="24"/>
        </w:rPr>
        <w:t>ξ, α e κ, podem ser empregados no cômputo dos valores da média (</w:t>
      </w:r>
      <m:oMath>
        <m:r>
          <w:rPr>
            <w:rFonts w:ascii="Cambria Math" w:hAnsi="Cambria Math"/>
            <w:szCs w:val="24"/>
          </w:rPr>
          <m:t>μ)</m:t>
        </m:r>
      </m:oMath>
      <w:r w:rsidR="00B66834" w:rsidRPr="00B66834">
        <w:rPr>
          <w:rFonts w:eastAsiaTheme="minorEastAsia"/>
          <w:szCs w:val="24"/>
        </w:rPr>
        <w:t xml:space="preserve">, desvio padrão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</m:d>
      </m:oMath>
      <w:r w:rsidR="00B66834" w:rsidRPr="00B66834">
        <w:rPr>
          <w:rFonts w:eastAsiaTheme="minorEastAsia"/>
          <w:szCs w:val="24"/>
        </w:rPr>
        <w:t xml:space="preserve"> e coeficiente de assimetria </w:t>
      </w:r>
      <m:oMath>
        <m:r>
          <w:rPr>
            <w:rFonts w:ascii="Cambria Math" w:eastAsiaTheme="minorEastAsia" w:hAnsi="Cambria Math"/>
            <w:szCs w:val="24"/>
          </w:rPr>
          <m:t>(γ)</m:t>
        </m:r>
      </m:oMath>
      <w:r w:rsidR="00B66834" w:rsidRPr="00B66834">
        <w:rPr>
          <w:rFonts w:eastAsiaTheme="minorEastAsia"/>
          <w:szCs w:val="24"/>
        </w:rPr>
        <w:t xml:space="preserve"> populacionais, a saber: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"/>
        <w:gridCol w:w="6770"/>
        <w:gridCol w:w="1245"/>
      </w:tblGrid>
      <w:tr w:rsidR="00B66834" w:rsidRPr="00B66834" w14:paraId="7BC2BF95" w14:textId="77777777" w:rsidTr="00E00C76">
        <w:tc>
          <w:tcPr>
            <w:tcW w:w="699" w:type="dxa"/>
          </w:tcPr>
          <w:p w14:paraId="09309F24" w14:textId="77777777" w:rsidR="00B66834" w:rsidRPr="00B66834" w:rsidRDefault="00B66834" w:rsidP="00B6683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6770" w:type="dxa"/>
          </w:tcPr>
          <w:p w14:paraId="2955D5DC" w14:textId="77777777" w:rsidR="00B66834" w:rsidRPr="00B66834" w:rsidRDefault="00B66834" w:rsidP="00B66834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μ=ξ+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κ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(1+κ)</m:t>
                    </m:r>
                  </m:e>
                </m:d>
              </m:oMath>
            </m:oMathPara>
          </w:p>
          <w:p w14:paraId="5CFA3216" w14:textId="77777777" w:rsidR="00B66834" w:rsidRPr="00B66834" w:rsidRDefault="00B66834" w:rsidP="00B66834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κ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(1+2κ+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(1+κ)</m:t>
                        </m:r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056055AE" w14:textId="77777777" w:rsidR="00B66834" w:rsidRPr="00B66834" w:rsidRDefault="00B66834" w:rsidP="00B66834">
            <w:pPr>
              <w:rPr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γ=sinal(κ)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1+3κ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1+κ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1+2κ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(1+κ)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1+2κ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²(1+κ)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245" w:type="dxa"/>
            <w:vAlign w:val="bottom"/>
          </w:tcPr>
          <w:p w14:paraId="5BC3A5F6" w14:textId="1C1967F1" w:rsidR="00B66834" w:rsidRPr="00B66834" w:rsidRDefault="00B66834" w:rsidP="00B66834">
            <w:pPr>
              <w:rPr>
                <w:sz w:val="24"/>
                <w:szCs w:val="24"/>
              </w:rPr>
            </w:pPr>
            <w:r w:rsidRPr="00B66834">
              <w:rPr>
                <w:sz w:val="24"/>
                <w:szCs w:val="24"/>
              </w:rPr>
              <w:t>(3)</w:t>
            </w:r>
          </w:p>
        </w:tc>
      </w:tr>
    </w:tbl>
    <w:p w14:paraId="21E370AD" w14:textId="004D1740" w:rsidR="00E00C76" w:rsidRPr="00E00C76" w:rsidRDefault="00E00C76" w:rsidP="00093A64">
      <w:pPr>
        <w:pStyle w:val="Heading3"/>
        <w:spacing w:after="160"/>
      </w:pPr>
      <w:r>
        <w:t>Geração de variável GEV sem tendência</w:t>
      </w:r>
    </w:p>
    <w:p w14:paraId="793CA293" w14:textId="198EC922" w:rsidR="00B66834" w:rsidRPr="00B66834" w:rsidRDefault="00B66834" w:rsidP="00B66834">
      <w:pPr>
        <w:ind w:firstLine="720"/>
        <w:rPr>
          <w:rFonts w:eastAsiaTheme="minorEastAsia"/>
          <w:szCs w:val="24"/>
        </w:rPr>
      </w:pPr>
      <w:r w:rsidRPr="00B66834">
        <w:rPr>
          <w:rFonts w:eastAsiaTheme="minorEastAsia"/>
          <w:szCs w:val="24"/>
        </w:rPr>
        <w:t xml:space="preserve">Diferentemente das equações apresentadas para o cálculo de </w:t>
      </w:r>
      <m:oMath>
        <m:r>
          <w:rPr>
            <w:rFonts w:ascii="Cambria Math" w:eastAsiaTheme="minorEastAsia" w:hAnsi="Cambria Math"/>
            <w:szCs w:val="24"/>
          </w:rPr>
          <m:t>μ</m:t>
        </m:r>
      </m:oMath>
      <w:r w:rsidRPr="00B66834">
        <w:rPr>
          <w:rFonts w:eastAsiaTheme="minorEastAsia"/>
          <w:szCs w:val="24"/>
        </w:rPr>
        <w:t xml:space="preserve"> e </w:t>
      </w:r>
      <m:oMath>
        <m:r>
          <w:rPr>
            <w:rFonts w:ascii="Cambria Math" w:eastAsiaTheme="minorEastAsia" w:hAnsi="Cambria Math"/>
            <w:szCs w:val="24"/>
          </w:rPr>
          <m:t>σ</m:t>
        </m:r>
      </m:oMath>
      <w:r w:rsidRPr="00B66834">
        <w:rPr>
          <w:rFonts w:eastAsiaTheme="minorEastAsia"/>
          <w:szCs w:val="24"/>
        </w:rPr>
        <w:t xml:space="preserve">, que são dependentes de mais de um parâmetro da distribuição GEV, inclusive sendo restritas à valores de </w:t>
      </w:r>
      <m:oMath>
        <m:r>
          <w:rPr>
            <w:rFonts w:ascii="Cambria Math" w:eastAsiaTheme="minorEastAsia" w:hAnsi="Cambria Math"/>
            <w:szCs w:val="24"/>
          </w:rPr>
          <m:t>κ≥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3</m:t>
            </m:r>
          </m:den>
        </m:f>
      </m:oMath>
      <w:r w:rsidRPr="00B66834">
        <w:rPr>
          <w:rFonts w:eastAsiaTheme="minorEastAsia"/>
          <w:szCs w:val="24"/>
        </w:rPr>
        <w:t xml:space="preserve">, a expressão utilizada para a estimativa do coeficiente de assimetria possui relação exclusiva com o parâmetro de forma </w:t>
      </w:r>
      <w:r w:rsidRPr="00526992">
        <w:rPr>
          <w:rFonts w:eastAsiaTheme="minorEastAsia"/>
          <w:i/>
          <w:iCs/>
          <w:szCs w:val="24"/>
        </w:rPr>
        <w:t>κ</w:t>
      </w:r>
      <w:r w:rsidRPr="00B66834">
        <w:rPr>
          <w:rFonts w:eastAsiaTheme="minorEastAsia"/>
          <w:szCs w:val="24"/>
        </w:rPr>
        <w:t xml:space="preserve">. Essa dependência única favorece o processo de geração de amostras do tipo GEV a partir de um determinado valor fixado de assimetria populacional. </w:t>
      </w:r>
    </w:p>
    <w:p w14:paraId="2635CD87" w14:textId="09F6E535" w:rsidR="00B66834" w:rsidRPr="00B66834" w:rsidRDefault="00B66834" w:rsidP="00B66834">
      <w:pPr>
        <w:ind w:firstLine="720"/>
        <w:rPr>
          <w:rFonts w:eastAsiaTheme="minorEastAsia"/>
          <w:szCs w:val="24"/>
        </w:rPr>
      </w:pPr>
      <w:r w:rsidRPr="00B66834">
        <w:rPr>
          <w:rFonts w:eastAsiaTheme="minorEastAsia"/>
          <w:szCs w:val="24"/>
        </w:rPr>
        <w:t>Contudo, o coeficiente de variação (</w:t>
      </w:r>
      <m:oMath>
        <m:r>
          <w:rPr>
            <w:rFonts w:ascii="Cambria Math" w:eastAsiaTheme="minorEastAsia" w:hAnsi="Cambria Math"/>
            <w:szCs w:val="24"/>
          </w:rPr>
          <m:t>Cv=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μ)</m:t>
            </m:r>
          </m:den>
        </m:f>
      </m:oMath>
      <w:r w:rsidRPr="00B66834">
        <w:rPr>
          <w:rFonts w:eastAsiaTheme="minorEastAsia"/>
          <w:szCs w:val="24"/>
        </w:rPr>
        <w:t xml:space="preserve">, que é uma estatística populacional que também deve ser controlada durante a obtenção aleatória de séries temporais, depende dos três parâmetros distributivos da GEV, </w:t>
      </w:r>
      <w:r w:rsidRPr="00B66834">
        <w:rPr>
          <w:szCs w:val="24"/>
        </w:rPr>
        <w:t>ξ, α e κ</w:t>
      </w:r>
      <w:r w:rsidRPr="00B66834">
        <w:rPr>
          <w:rFonts w:eastAsiaTheme="minorEastAsia"/>
          <w:szCs w:val="24"/>
        </w:rPr>
        <w:t xml:space="preserve">. Isso pode ser mostrado a partir da manipulação das equações acima apresentadas, sendo inclusive possível reescrevê-las de modo a correlacioná-lo a dois fatores, o parâmetro de forma </w:t>
      </w:r>
      <m:oMath>
        <m:r>
          <w:rPr>
            <w:rFonts w:ascii="Cambria Math" w:eastAsiaTheme="minorEastAsia" w:hAnsi="Cambria Math"/>
            <w:szCs w:val="24"/>
          </w:rPr>
          <m:t>(k)</m:t>
        </m:r>
      </m:oMath>
      <w:r w:rsidRPr="00B66834">
        <w:rPr>
          <w:rFonts w:eastAsiaTheme="minorEastAsia"/>
          <w:szCs w:val="24"/>
        </w:rPr>
        <w:t xml:space="preserve"> e uma variável adimensional </w:t>
      </w:r>
      <m:oMath>
        <m:r>
          <w:rPr>
            <w:rFonts w:ascii="Cambria Math" w:eastAsiaTheme="minorEastAsia" w:hAnsi="Cambria Math"/>
            <w:szCs w:val="24"/>
          </w:rPr>
          <m:t>(ϕ=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ξ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α</m:t>
            </m:r>
          </m:den>
        </m:f>
        <m:r>
          <w:rPr>
            <w:rFonts w:ascii="Cambria Math" w:eastAsiaTheme="minorEastAsia" w:hAnsi="Cambria Math"/>
            <w:szCs w:val="24"/>
          </w:rPr>
          <m:t>)</m:t>
        </m:r>
      </m:oMath>
      <w:r w:rsidRPr="00B66834">
        <w:rPr>
          <w:rFonts w:eastAsiaTheme="minorEastAsia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716"/>
        <w:gridCol w:w="2438"/>
      </w:tblGrid>
      <w:tr w:rsidR="00B66834" w:rsidRPr="00B66834" w14:paraId="1BE7744C" w14:textId="77777777" w:rsidTr="0095500E">
        <w:tc>
          <w:tcPr>
            <w:tcW w:w="1350" w:type="dxa"/>
          </w:tcPr>
          <w:p w14:paraId="791A6BB6" w14:textId="77777777" w:rsidR="00B66834" w:rsidRPr="00B66834" w:rsidRDefault="00B66834" w:rsidP="00B66834">
            <w:pPr>
              <w:rPr>
                <w:sz w:val="24"/>
                <w:szCs w:val="24"/>
              </w:rPr>
            </w:pPr>
          </w:p>
        </w:tc>
        <w:tc>
          <w:tcPr>
            <w:tcW w:w="4716" w:type="dxa"/>
          </w:tcPr>
          <w:p w14:paraId="05A323C0" w14:textId="77777777" w:rsidR="00B66834" w:rsidRPr="00B66834" w:rsidRDefault="00B66834" w:rsidP="00B66834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(1+2κ+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²(1+κ)</m:t>
                            </m:r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κ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(1+κ)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38" w:type="dxa"/>
            <w:vAlign w:val="bottom"/>
          </w:tcPr>
          <w:p w14:paraId="5E9F2F53" w14:textId="3A65E24E" w:rsidR="00B66834" w:rsidRPr="00B66834" w:rsidRDefault="00B66834" w:rsidP="00B66834">
            <w:pPr>
              <w:rPr>
                <w:sz w:val="24"/>
                <w:szCs w:val="24"/>
              </w:rPr>
            </w:pPr>
            <w:r w:rsidRPr="00B66834">
              <w:rPr>
                <w:sz w:val="24"/>
                <w:szCs w:val="24"/>
              </w:rPr>
              <w:t>(4)</w:t>
            </w:r>
          </w:p>
        </w:tc>
      </w:tr>
    </w:tbl>
    <w:p w14:paraId="5D30BA4C" w14:textId="0C83CD71" w:rsidR="00B66834" w:rsidRPr="00B66834" w:rsidRDefault="00B66834" w:rsidP="00B66834">
      <w:pPr>
        <w:ind w:firstLine="720"/>
        <w:rPr>
          <w:rFonts w:eastAsiaTheme="minorEastAsia"/>
          <w:szCs w:val="24"/>
        </w:rPr>
      </w:pPr>
      <w:r w:rsidRPr="00B66834">
        <w:rPr>
          <w:rFonts w:eastAsiaTheme="minorEastAsia"/>
          <w:szCs w:val="24"/>
        </w:rPr>
        <w:t xml:space="preserve">Então, para gerar amostras aleatórias baseadas em uma distribuição GEV de coeficientes de assimetria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(γ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B66834">
        <w:rPr>
          <w:rFonts w:eastAsiaTheme="minorEastAsia"/>
          <w:szCs w:val="24"/>
        </w:rPr>
        <w:t xml:space="preserve"> e variação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B66834">
        <w:rPr>
          <w:rFonts w:eastAsiaTheme="minorEastAsia"/>
          <w:szCs w:val="24"/>
        </w:rPr>
        <w:t xml:space="preserve">, primeiramente determina-se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, com base na Eq. </w:t>
      </w:r>
      <w:r w:rsidR="00971496">
        <w:rPr>
          <w:rFonts w:eastAsiaTheme="minorEastAsia"/>
          <w:szCs w:val="24"/>
        </w:rPr>
        <w:t>(</w:t>
      </w:r>
      <w:r w:rsidRPr="00B66834">
        <w:rPr>
          <w:rFonts w:eastAsiaTheme="minorEastAsia"/>
          <w:szCs w:val="24"/>
        </w:rPr>
        <w:t>3</w:t>
      </w:r>
      <w:r w:rsidR="00971496">
        <w:rPr>
          <w:rFonts w:eastAsiaTheme="minorEastAsia"/>
          <w:szCs w:val="24"/>
        </w:rPr>
        <w:t>)</w:t>
      </w:r>
      <w:r w:rsidRPr="00B66834">
        <w:rPr>
          <w:rFonts w:eastAsiaTheme="minorEastAsia"/>
          <w:szCs w:val="24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ξ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α</m:t>
            </m:r>
          </m:den>
        </m:f>
      </m:oMath>
      <w:r w:rsidRPr="00B66834">
        <w:rPr>
          <w:rFonts w:eastAsiaTheme="minorEastAsia"/>
          <w:szCs w:val="24"/>
        </w:rPr>
        <w:t xml:space="preserve"> utilizando-se a Eq. </w:t>
      </w:r>
      <w:r w:rsidR="00971496">
        <w:rPr>
          <w:rFonts w:eastAsiaTheme="minorEastAsia"/>
          <w:szCs w:val="24"/>
        </w:rPr>
        <w:t>(</w:t>
      </w:r>
      <w:r w:rsidRPr="00B66834">
        <w:rPr>
          <w:rFonts w:eastAsiaTheme="minorEastAsia"/>
          <w:szCs w:val="24"/>
        </w:rPr>
        <w:t>4</w:t>
      </w:r>
      <w:r w:rsidR="00971496">
        <w:rPr>
          <w:rFonts w:eastAsiaTheme="minorEastAsia"/>
          <w:szCs w:val="24"/>
        </w:rPr>
        <w:t>)</w:t>
      </w:r>
      <w:r w:rsidRPr="00B66834">
        <w:rPr>
          <w:rFonts w:eastAsiaTheme="minorEastAsia"/>
          <w:szCs w:val="24"/>
        </w:rPr>
        <w:t xml:space="preserve">. Com os valores de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definidos, pode-se, por exemplo, escolher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=1</m:t>
        </m:r>
      </m:oMath>
      <w:r w:rsidRPr="00B66834">
        <w:rPr>
          <w:rFonts w:eastAsiaTheme="minorEastAsia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. Salienta-se que essa última parte é arbitrária, pois qualquer escolha de </w:t>
      </w:r>
      <m:oMath>
        <m:r>
          <w:rPr>
            <w:rFonts w:ascii="Cambria Math" w:eastAsiaTheme="minorEastAsia" w:hAnsi="Cambria Math"/>
            <w:szCs w:val="24"/>
          </w:rPr>
          <m:t>ξ</m:t>
        </m:r>
      </m:oMath>
      <w:r w:rsidRPr="00B66834">
        <w:rPr>
          <w:rFonts w:eastAsiaTheme="minorEastAsia"/>
          <w:szCs w:val="24"/>
        </w:rPr>
        <w:t xml:space="preserve"> e α que resultem em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ξ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α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proverá um conjunto de amostras distribuídas segundo uma GEV oriundas de população de </w:t>
      </w:r>
      <m:oMath>
        <m:r>
          <w:rPr>
            <w:rFonts w:ascii="Cambria Math" w:eastAsiaTheme="minorEastAsia" w:hAnsi="Cambria Math"/>
            <w:szCs w:val="24"/>
          </w:rPr>
          <m:t>Cv=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. Entretanto, para a realização de Simulação Monte Carlo, escolhe-se valores de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que resultem em </w:t>
      </w:r>
      <m:oMath>
        <m:r>
          <w:rPr>
            <w:rFonts w:ascii="Cambria Math" w:eastAsiaTheme="minorEastAsia" w:hAnsi="Cambria Math"/>
            <w:szCs w:val="24"/>
          </w:rPr>
          <m:t>μ=1</m:t>
        </m:r>
      </m:oMath>
      <w:r w:rsidRPr="00B66834">
        <w:rPr>
          <w:rFonts w:eastAsiaTheme="minorEastAsia"/>
          <w:szCs w:val="24"/>
        </w:rPr>
        <w:t xml:space="preserve">. Informa-se que o uso do μ unitário está relacionada à geração de séries temporais não-estacionárias, mais especificamente à magnitude das tendências adotadas neste trabalho. </w:t>
      </w:r>
    </w:p>
    <w:p w14:paraId="3167EB9F" w14:textId="414E2625" w:rsidR="00B66834" w:rsidRPr="00B66834" w:rsidRDefault="00B66834" w:rsidP="00B66834">
      <w:pPr>
        <w:ind w:firstLine="720"/>
        <w:rPr>
          <w:rFonts w:eastAsiaTheme="minorEastAsia"/>
          <w:szCs w:val="24"/>
        </w:rPr>
      </w:pPr>
      <w:r w:rsidRPr="00B66834">
        <w:rPr>
          <w:rFonts w:eastAsiaTheme="minorEastAsia"/>
          <w:szCs w:val="24"/>
        </w:rPr>
        <w:t>Logo, por conveniência</w:t>
      </w:r>
      <w:r w:rsidR="00BA17E6">
        <w:rPr>
          <w:rFonts w:eastAsiaTheme="minorEastAsia"/>
          <w:szCs w:val="24"/>
        </w:rPr>
        <w:t>,</w:t>
      </w:r>
      <w:r w:rsidRPr="00B66834">
        <w:rPr>
          <w:rFonts w:eastAsiaTheme="minorEastAsia"/>
          <w:szCs w:val="24"/>
        </w:rPr>
        <w:t xml:space="preserve"> e sem perder a generalidade,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B66834">
        <w:rPr>
          <w:rFonts w:eastAsiaTheme="minorEastAsia"/>
          <w:szCs w:val="24"/>
        </w:rPr>
        <w:t xml:space="preserve"> devem ser calculados de modo a ter </w:t>
      </w:r>
      <m:oMath>
        <m:r>
          <w:rPr>
            <w:rFonts w:ascii="Cambria Math" w:eastAsiaTheme="minorEastAsia" w:hAnsi="Cambria Math"/>
            <w:szCs w:val="24"/>
          </w:rPr>
          <m:t>μ=1</m:t>
        </m:r>
      </m:oMath>
      <w:r w:rsidRPr="00B66834">
        <w:rPr>
          <w:rFonts w:eastAsiaTheme="minorEastAsia"/>
          <w:szCs w:val="24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4710"/>
        <w:gridCol w:w="2441"/>
      </w:tblGrid>
      <w:tr w:rsidR="00B66834" w:rsidRPr="00B66834" w14:paraId="66AB2332" w14:textId="77777777" w:rsidTr="0095500E">
        <w:trPr>
          <w:trHeight w:val="100"/>
          <w:jc w:val="center"/>
        </w:trPr>
        <w:tc>
          <w:tcPr>
            <w:tcW w:w="1353" w:type="dxa"/>
          </w:tcPr>
          <w:p w14:paraId="7AC70FD2" w14:textId="77777777" w:rsidR="00B66834" w:rsidRPr="00B66834" w:rsidRDefault="00B66834" w:rsidP="00B66834">
            <w:p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41B6DC0E" w14:textId="77777777" w:rsidR="00B66834" w:rsidRPr="00B66834" w:rsidRDefault="008E38D1" w:rsidP="00B66834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41" w:type="dxa"/>
            <w:vAlign w:val="center"/>
          </w:tcPr>
          <w:p w14:paraId="1F24ED2A" w14:textId="46832D55" w:rsidR="00B66834" w:rsidRPr="00B66834" w:rsidRDefault="00B66834" w:rsidP="00B66834">
            <w:pPr>
              <w:rPr>
                <w:sz w:val="24"/>
                <w:szCs w:val="24"/>
              </w:rPr>
            </w:pPr>
            <w:r w:rsidRPr="00B66834">
              <w:rPr>
                <w:sz w:val="24"/>
                <w:szCs w:val="24"/>
              </w:rPr>
              <w:t>(5)</w:t>
            </w:r>
          </w:p>
        </w:tc>
      </w:tr>
      <w:tr w:rsidR="00B66834" w:rsidRPr="00B66834" w14:paraId="3214FABD" w14:textId="77777777" w:rsidTr="0095500E">
        <w:trPr>
          <w:jc w:val="center"/>
        </w:trPr>
        <w:tc>
          <w:tcPr>
            <w:tcW w:w="1353" w:type="dxa"/>
          </w:tcPr>
          <w:p w14:paraId="4E72252E" w14:textId="77777777" w:rsidR="00B66834" w:rsidRPr="00B66834" w:rsidRDefault="00B66834" w:rsidP="00B66834">
            <w:pPr>
              <w:rPr>
                <w:sz w:val="24"/>
                <w:szCs w:val="24"/>
              </w:rPr>
            </w:pPr>
          </w:p>
        </w:tc>
        <w:tc>
          <w:tcPr>
            <w:tcW w:w="4710" w:type="dxa"/>
          </w:tcPr>
          <w:p w14:paraId="0C0944C2" w14:textId="77777777" w:rsidR="00B66834" w:rsidRPr="00B66834" w:rsidRDefault="008E38D1" w:rsidP="00B66834">
            <w:pPr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41" w:type="dxa"/>
            <w:vAlign w:val="center"/>
          </w:tcPr>
          <w:p w14:paraId="5A9F814B" w14:textId="065CC9A0" w:rsidR="00B66834" w:rsidRPr="00B66834" w:rsidRDefault="00B66834" w:rsidP="00B66834">
            <w:pPr>
              <w:rPr>
                <w:sz w:val="24"/>
                <w:szCs w:val="24"/>
              </w:rPr>
            </w:pPr>
            <w:r w:rsidRPr="00B66834">
              <w:rPr>
                <w:sz w:val="24"/>
                <w:szCs w:val="24"/>
              </w:rPr>
              <w:t>(6)</w:t>
            </w:r>
          </w:p>
          <w:p w14:paraId="34300AA4" w14:textId="48B0F253" w:rsidR="00F61F13" w:rsidRPr="00B66834" w:rsidRDefault="00F61F13" w:rsidP="00B66834">
            <w:pPr>
              <w:rPr>
                <w:sz w:val="24"/>
                <w:szCs w:val="24"/>
              </w:rPr>
            </w:pPr>
          </w:p>
        </w:tc>
      </w:tr>
    </w:tbl>
    <w:p w14:paraId="1640FDFC" w14:textId="4A1C2FE1" w:rsidR="00F61F13" w:rsidRDefault="00F61F13" w:rsidP="00563D28">
      <w:pPr>
        <w:ind w:firstLine="360"/>
      </w:pPr>
      <w:r>
        <w:t>Em posse dos valores previamente arbitrados (</w:t>
      </w:r>
      <w:r w:rsidRPr="00BA17E6">
        <w:rPr>
          <w:i/>
          <w:iCs/>
        </w:rPr>
        <w:t>n</w:t>
      </w:r>
      <w:r>
        <w:t xml:space="preserve">, </w:t>
      </w:r>
      <m:oMath>
        <m:r>
          <w:rPr>
            <w:rFonts w:ascii="Cambria Math" w:eastAsiaTheme="minorEastAsia" w:hAnsi="Cambria Math"/>
            <w:szCs w:val="24"/>
          </w:rPr>
          <m:t>Cv</m:t>
        </m:r>
      </m:oMath>
      <w:r>
        <w:t xml:space="preserve"> </w:t>
      </w:r>
      <w:r w:rsidRPr="00BA17E6">
        <w:rPr>
          <w:i/>
          <w:iCs/>
        </w:rPr>
        <w:t>κ</w:t>
      </w:r>
      <w:r>
        <w:t xml:space="preserve"> e </w:t>
      </w:r>
      <w:r w:rsidRPr="00BA17E6">
        <w:rPr>
          <w:i/>
          <w:iCs/>
        </w:rPr>
        <w:t>b</w:t>
      </w:r>
      <w:r>
        <w:t>), gerar amostras estacionárias independentes e distribuídas conforme uma GEV é relativamente simples, dada a existência de expressão analítica para a determinação dos quantis. Isso permite que seja empregado o método da Transformação Inversa, que possui dois passos metodológicos básicos:</w:t>
      </w:r>
    </w:p>
    <w:p w14:paraId="565C730E" w14:textId="54B277BD" w:rsidR="00F61F13" w:rsidRDefault="00F61F13" w:rsidP="00F61F13">
      <w:pPr>
        <w:pStyle w:val="ListParagraph"/>
        <w:numPr>
          <w:ilvl w:val="0"/>
          <w:numId w:val="3"/>
        </w:numPr>
      </w:pPr>
      <w:r>
        <w:t xml:space="preserve">Gerar </w:t>
      </w:r>
      <w:r w:rsidRPr="00F61F13">
        <w:rPr>
          <w:i/>
          <w:iCs/>
        </w:rPr>
        <w:t>p</w:t>
      </w:r>
      <w:r>
        <w:t xml:space="preserve"> utilizando-se uma distribuição uniforme entre 0 e 1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p~U(0,1)</m:t>
            </m:r>
          </m:e>
        </m:d>
      </m:oMath>
      <w:r>
        <w:t>;</w:t>
      </w:r>
    </w:p>
    <w:p w14:paraId="03976FD1" w14:textId="79F5E7FE" w:rsidR="00F61F13" w:rsidRDefault="00F61F13" w:rsidP="00F61F13">
      <w:pPr>
        <w:pStyle w:val="ListParagraph"/>
        <w:numPr>
          <w:ilvl w:val="0"/>
          <w:numId w:val="3"/>
        </w:numPr>
      </w:pPr>
      <w:r>
        <w:t xml:space="preserve">Calcular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</m:t>
            </m:r>
          </m:sub>
        </m:sSub>
      </m:oMath>
      <w:r>
        <w:t xml:space="preserve"> com base na Equação 4.2</w:t>
      </w:r>
    </w:p>
    <w:p w14:paraId="63A95F38" w14:textId="2E6E09AD" w:rsidR="00F61F13" w:rsidRDefault="00F61F13" w:rsidP="00563D28">
      <w:pPr>
        <w:ind w:firstLine="360"/>
      </w:pPr>
      <w:r>
        <w:t xml:space="preserve">Mais especificamente, para gerar uma série do tipo GEV com </w:t>
      </w:r>
      <w:r w:rsidRPr="00563D28">
        <w:rPr>
          <w:i/>
          <w:iCs/>
        </w:rPr>
        <w:t>n</w:t>
      </w:r>
      <w:r>
        <w:t xml:space="preserve"> observações de uma determinada população com coeficientes de assimetria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(γ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t xml:space="preserve"> e </w:t>
      </w:r>
      <w:r w:rsidR="00BA17E6">
        <w:t xml:space="preserve">de </w:t>
      </w:r>
      <w:r>
        <w:t>variação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>), são necessários seguir as seguintes etapas metodológicas:</w:t>
      </w:r>
    </w:p>
    <w:p w14:paraId="73B6CD51" w14:textId="08A439AC" w:rsidR="00F61F13" w:rsidRDefault="00F61F13" w:rsidP="00BA17E6">
      <w:pPr>
        <w:pStyle w:val="ListParagraph"/>
        <w:numPr>
          <w:ilvl w:val="0"/>
          <w:numId w:val="4"/>
        </w:numPr>
      </w:pPr>
      <w:r>
        <w:t xml:space="preserve">Calcular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utilizando-se da última </w:t>
      </w:r>
      <w:r w:rsidR="00A97834">
        <w:t>função</w:t>
      </w:r>
      <w:r w:rsidR="002C6794">
        <w:t xml:space="preserve"> na </w:t>
      </w:r>
      <w:r w:rsidR="00716D50">
        <w:t>E</w:t>
      </w:r>
      <w:r>
        <w:t>q</w:t>
      </w:r>
      <w:r w:rsidR="00716D50">
        <w:t>.</w:t>
      </w:r>
      <w:r>
        <w:t xml:space="preserve"> </w:t>
      </w:r>
      <w:r w:rsidR="002C6794">
        <w:t>(</w:t>
      </w:r>
      <w:r>
        <w:t>3</w:t>
      </w:r>
      <w:r w:rsidR="002C6794">
        <w:t>)</w:t>
      </w:r>
      <w:r>
        <w:t xml:space="preserve"> para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;</w:t>
      </w:r>
    </w:p>
    <w:p w14:paraId="46EFA4CC" w14:textId="3BDC61CD" w:rsidR="00F61F13" w:rsidRDefault="00F61F13" w:rsidP="00BA17E6">
      <w:pPr>
        <w:pStyle w:val="ListParagraph"/>
        <w:numPr>
          <w:ilvl w:val="0"/>
          <w:numId w:val="4"/>
        </w:numPr>
      </w:pPr>
      <w:r>
        <w:t xml:space="preserve">Determinar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utilizando-se da Eq</w:t>
      </w:r>
      <w:r w:rsidR="00716D50">
        <w:t>. (</w:t>
      </w:r>
      <w:r>
        <w:t>4</w:t>
      </w:r>
      <w:r w:rsidR="00716D50">
        <w:t>)</w:t>
      </w:r>
      <w:r>
        <w:t xml:space="preserve"> com </w:t>
      </w:r>
      <m:oMath>
        <m:r>
          <w:rPr>
            <w:rFonts w:ascii="Cambria Math" w:eastAsiaTheme="minorEastAsia" w:hAnsi="Cambria Math"/>
            <w:szCs w:val="24"/>
          </w:rPr>
          <m:t>Cv=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κ=κ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>;</w:t>
      </w:r>
    </w:p>
    <w:p w14:paraId="7291F010" w14:textId="1854C836" w:rsidR="00F61F13" w:rsidRDefault="00F61F13" w:rsidP="00BA17E6">
      <w:pPr>
        <w:pStyle w:val="ListParagraph"/>
        <w:numPr>
          <w:ilvl w:val="0"/>
          <w:numId w:val="4"/>
        </w:numPr>
      </w:pPr>
      <w:r>
        <w:t>Calcular os valores de</w:t>
      </w:r>
      <w:r w:rsidR="00BA17E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</w:t>
      </w:r>
      <w:r w:rsidR="00BA17E6"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– por conveniência, o cálculo foi realizado utilizando as Equações </w:t>
      </w:r>
      <w:r w:rsidR="00716D50">
        <w:t>(</w:t>
      </w:r>
      <w:r>
        <w:t>5</w:t>
      </w:r>
      <w:r w:rsidR="00716D50">
        <w:t>)</w:t>
      </w:r>
      <w:r>
        <w:t xml:space="preserve"> e </w:t>
      </w:r>
      <w:r w:rsidR="00716D50">
        <w:t>(</w:t>
      </w:r>
      <w:r>
        <w:t>6</w:t>
      </w:r>
      <w:r w:rsidR="00716D50">
        <w:t>)</w:t>
      </w:r>
      <w:r>
        <w:t>;</w:t>
      </w:r>
    </w:p>
    <w:p w14:paraId="04BAFCA6" w14:textId="08C1FA8A" w:rsidR="00F61F13" w:rsidRDefault="00F61F13" w:rsidP="00BA17E6">
      <w:pPr>
        <w:pStyle w:val="ListParagraph"/>
        <w:numPr>
          <w:ilvl w:val="0"/>
          <w:numId w:val="4"/>
        </w:numPr>
      </w:pPr>
      <w:r>
        <w:t xml:space="preserve">Gerar </w:t>
      </w:r>
      <w:r w:rsidR="00311ADC" w:rsidRPr="00311ADC">
        <w:rPr>
          <w:i/>
          <w:iCs/>
        </w:rPr>
        <w:t>R</w:t>
      </w:r>
      <w:r w:rsidR="00311ADC">
        <w:t xml:space="preserve"> (por ex. </w:t>
      </w:r>
      <w:r>
        <w:t>10,000</w:t>
      </w:r>
      <w:r w:rsidR="00311ADC">
        <w:t>)</w:t>
      </w:r>
      <w:r>
        <w:t xml:space="preserve"> amostras do tipo GEV seguindo os dois passos executivos básicos do método da Transformação Inversa; para tal, emprega-se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</m:t>
        </m:r>
      </m:oMath>
      <w:r w:rsidR="00311ADC">
        <w:rPr>
          <w:rFonts w:eastAsiaTheme="minorEastAsia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</w:t>
      </w:r>
      <w:r w:rsidR="00311ADC">
        <w:t>para</w:t>
      </w:r>
      <w:r>
        <w:t xml:space="preserve"> a estimativa de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p</m:t>
            </m:r>
          </m:sub>
        </m:sSub>
      </m:oMath>
      <w:r>
        <w:t>, por meio da Eq</w:t>
      </w:r>
      <w:r w:rsidR="009C770F">
        <w:t>. (</w:t>
      </w:r>
      <w:r>
        <w:t>2</w:t>
      </w:r>
      <w:r w:rsidR="009C770F">
        <w:t>)</w:t>
      </w:r>
      <w:r>
        <w:t>.</w:t>
      </w:r>
    </w:p>
    <w:p w14:paraId="44D720A9" w14:textId="7993B4A3" w:rsidR="00A174B0" w:rsidRPr="00E00C76" w:rsidRDefault="00A174B0" w:rsidP="00093A64">
      <w:pPr>
        <w:pStyle w:val="Heading3"/>
        <w:spacing w:after="160"/>
      </w:pPr>
      <w:r>
        <w:t>Geração de variável GEV com tendência</w:t>
      </w:r>
    </w:p>
    <w:p w14:paraId="7FB8FECB" w14:textId="534E5790" w:rsidR="001B57B7" w:rsidRDefault="001B57B7" w:rsidP="001B57B7">
      <w:pPr>
        <w:ind w:firstLine="720"/>
      </w:pPr>
      <w:r>
        <w:t xml:space="preserve">No caso da geração de amostras do tipo GEV com a presença de tendências lineares, um termo não-estacionário é adicionado à série independente obtida por meio dos procedimentos anteriormente descritos. Supondo-se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como sendo o conjunto das observações independentes e distribuídas segundo uma GEV de parâmetros populacionais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e média igual a unidade (</w:t>
      </w:r>
      <w:r w:rsidRPr="00334535">
        <w:rPr>
          <w:i/>
          <w:iCs/>
        </w:rPr>
        <w:t>μ</w:t>
      </w:r>
      <w:r w:rsidR="00334535">
        <w:t xml:space="preserve"> </w:t>
      </w:r>
      <w:r>
        <w:t>=</w:t>
      </w:r>
      <w:r w:rsidR="00334535">
        <w:t xml:space="preserve"> </w:t>
      </w:r>
      <w:r>
        <w:t xml:space="preserve">1), a série monotônica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pode ser expressa por:</w:t>
      </w:r>
    </w:p>
    <w:p w14:paraId="46F547C0" w14:textId="5AEF91B7" w:rsidR="001B57B7" w:rsidRDefault="008E38D1" w:rsidP="00334535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+b×t</m:t>
        </m:r>
      </m:oMath>
      <w:r w:rsidR="001B57B7">
        <w:tab/>
        <w:t>(7)</w:t>
      </w:r>
    </w:p>
    <w:p w14:paraId="4ACE6365" w14:textId="2BBF58D8" w:rsidR="001B57B7" w:rsidRDefault="00334535" w:rsidP="001B57B7">
      <w:r>
        <w:t xml:space="preserve">em que </w:t>
      </w:r>
      <w:r w:rsidR="001B57B7" w:rsidRPr="00334535">
        <w:rPr>
          <w:i/>
          <w:iCs/>
        </w:rPr>
        <w:t>b</w:t>
      </w:r>
      <w:r w:rsidR="001B57B7">
        <w:t xml:space="preserve"> é a magnitude da tendência ou a taxa da mudança em relação à média por unidade de tempo. Por exemplo, se </w:t>
      </w:r>
      <w:r w:rsidR="001B57B7" w:rsidRPr="00334535">
        <w:rPr>
          <w:i/>
          <w:iCs/>
        </w:rPr>
        <w:t>b</w:t>
      </w:r>
      <w:r w:rsidR="001B57B7">
        <w:t xml:space="preserve"> =0.01 e a série é de base anual, então </w:t>
      </w:r>
      <w:r>
        <w:t xml:space="preserve">as taxas de variação por ano e por década saõ de </w:t>
      </w:r>
      <w:r w:rsidR="001B57B7">
        <w:t xml:space="preserve">1% e 10%, respectivamente. Esclarece-se que caso fossem utilizados valores de μ diferentes da unidade, por exemplo μ = 10, o termo não-estacionário </w:t>
      </w:r>
      <w:r w:rsidR="00F145A3">
        <w:t>na E. (</w:t>
      </w:r>
      <w:r w:rsidR="001B57B7">
        <w:t>7), b×t, representaria um percentual de mudança médio pequeno, o que poderia levar a não-percepção de tendência quando de fato a mesma está presente na série.</w:t>
      </w:r>
    </w:p>
    <w:p w14:paraId="60238E79" w14:textId="01906A0A" w:rsidR="00B66834" w:rsidRPr="00B66834" w:rsidRDefault="001B57B7" w:rsidP="00897985">
      <w:pPr>
        <w:ind w:firstLine="578"/>
      </w:pPr>
      <w:r>
        <w:t xml:space="preserve">Salienta-se que essa configuração permite a extrapolação dos resultados a serem obtidos a partir da realização da simulação Monte Carlo proposta, visto que, para um dado valor de </w:t>
      </w:r>
      <w:r w:rsidRPr="00897985">
        <w:rPr>
          <w:i/>
          <w:iCs/>
        </w:rPr>
        <w:t>b</w:t>
      </w:r>
      <w:r>
        <w:t>, que representa a taxa de mudança relativa da média por unidade de tempo, e</w:t>
      </w:r>
      <w:r w:rsidR="0089798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associado aos valores populacionais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t xml:space="preserve"> da série, conclusões sobre o desempenho dos métodos de detecção podem ser atribuídas a quaisquer outras séries que possuam as mesmas características</w:t>
      </w:r>
      <w:r w:rsidR="00C02A16">
        <w:t xml:space="preserve"> em termos de</w:t>
      </w:r>
      <w:r>
        <w:t xml:space="preserve"> </w:t>
      </w:r>
      <m:oMath>
        <m:r>
          <w:rPr>
            <w:rFonts w:ascii="Cambria Math" w:hAnsi="Cambria Math"/>
          </w:rPr>
          <m:t>γ</m:t>
        </m:r>
      </m:oMath>
      <w:r>
        <w:t xml:space="preserve">, </w:t>
      </w:r>
      <m:oMath>
        <m:r>
          <w:rPr>
            <w:rFonts w:ascii="Cambria Math" w:eastAsiaTheme="minorEastAsia" w:hAnsi="Cambria Math"/>
            <w:szCs w:val="24"/>
          </w:rPr>
          <m:t>Cv</m:t>
        </m:r>
      </m:oMath>
      <w:r>
        <w:t xml:space="preserve"> e percentual de mudança em rela</w:t>
      </w:r>
      <w:r>
        <w:rPr>
          <w:rFonts w:hint="eastAsia"/>
        </w:rPr>
        <w:t>çã</w:t>
      </w:r>
      <w:r>
        <w:t>o à média</w:t>
      </w:r>
      <w:r w:rsidR="00C02A16">
        <w:t xml:space="preserve"> (</w:t>
      </w:r>
      <w:r w:rsidR="00C02A16" w:rsidRPr="00C02A16">
        <w:rPr>
          <w:i/>
          <w:iCs/>
        </w:rPr>
        <w:t>b</w:t>
      </w:r>
      <w:r w:rsidR="00C02A16">
        <w:t>)</w:t>
      </w:r>
      <w:r>
        <w:t>.</w:t>
      </w:r>
    </w:p>
    <w:p w14:paraId="01BF25A3" w14:textId="3CA73469" w:rsidR="00651A9F" w:rsidRDefault="00651A9F" w:rsidP="00651A9F">
      <w:pPr>
        <w:pStyle w:val="Heading2"/>
      </w:pPr>
      <w:r>
        <w:t>Estimativa da magnitude da tendência</w:t>
      </w:r>
    </w:p>
    <w:p w14:paraId="3DB0D3DC" w14:textId="69650B4D" w:rsidR="00996BF6" w:rsidRDefault="00996BF6" w:rsidP="00996BF6">
      <w:pPr>
        <w:ind w:firstLine="578"/>
      </w:pPr>
      <w:r>
        <w:t xml:space="preserve">Alternativamente ao coeficiente de regressão </w:t>
      </w:r>
      <w:r w:rsidRPr="00825585">
        <w:rPr>
          <w:i/>
          <w:iCs/>
        </w:rPr>
        <w:t>β</w:t>
      </w:r>
      <w:r w:rsidR="00311009">
        <w:t xml:space="preserve">, </w:t>
      </w:r>
      <w:r>
        <w:t xml:space="preserve">obtido pelo método dos mínimos quadrados (OLS), Sen (1968) sugere o emprego de estimador não-paramétrico baseado no Coeficiente de Correlação Tau de Kendall para a determinação da magnitude de tendências, a fim de evitar a influência de pontos amostrais discrepantes na estimativa de </w:t>
      </w:r>
      <w:r w:rsidRPr="00311009">
        <w:rPr>
          <w:i/>
          <w:iCs/>
        </w:rPr>
        <w:t>b</w:t>
      </w:r>
      <w:r>
        <w:t xml:space="preserve">. </w:t>
      </w:r>
    </w:p>
    <w:p w14:paraId="2F43D018" w14:textId="5A354A2D" w:rsidR="00996BF6" w:rsidRDefault="00996BF6" w:rsidP="00825585">
      <w:pPr>
        <w:ind w:firstLine="578"/>
      </w:pPr>
      <w:r>
        <w:t xml:space="preserve">O estimador proposto por Sen (1968), Sen (b), prevê que seja calculada para cada um dos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pares de observação amostrais possíveis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, a chamada inclinação do par ordenado,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, dada por:</w:t>
      </w:r>
    </w:p>
    <w:p w14:paraId="5792E675" w14:textId="6EAD6625" w:rsidR="00996BF6" w:rsidRDefault="008E38D1" w:rsidP="00093A64">
      <w:pPr>
        <w:ind w:firstLine="578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j-i</m:t>
            </m:r>
          </m:den>
        </m:f>
      </m:oMath>
      <w:r w:rsidR="00996BF6">
        <w:tab/>
        <w:t>(9)</w:t>
      </w:r>
    </w:p>
    <w:p w14:paraId="64BC5579" w14:textId="7C5556CB" w:rsidR="00996BF6" w:rsidRPr="00C606C7" w:rsidRDefault="00804086" w:rsidP="00C606C7">
      <w:pPr>
        <w:rPr>
          <w:rFonts w:eastAsiaTheme="minorEastAsia"/>
        </w:rPr>
      </w:pPr>
      <w:r>
        <w:t xml:space="preserve">em que </w:t>
      </w:r>
      <w:r w:rsidR="00996BF6" w:rsidRPr="00804086">
        <w:rPr>
          <w:i/>
          <w:iCs/>
        </w:rPr>
        <w:t>i</w:t>
      </w:r>
      <w:r w:rsidR="00996BF6">
        <w:t xml:space="preserve"> e </w:t>
      </w:r>
      <w:r w:rsidR="00996BF6" w:rsidRPr="00804086">
        <w:rPr>
          <w:i/>
          <w:iCs/>
        </w:rPr>
        <w:t>j</w:t>
      </w:r>
      <w:r w:rsidR="00996BF6">
        <w:t xml:space="preserve"> são os índices de tempo das posições amostrais ocupadas, respectivamente,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96BF6">
        <w:t>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96BF6">
        <w:t xml:space="preserve">, sendo que </w:t>
      </w:r>
      <m:oMath>
        <m:r>
          <w:rPr>
            <w:rFonts w:ascii="Cambria Math" w:hAnsi="Cambria Math"/>
          </w:rPr>
          <m:t>1≤i≤j≤n</m:t>
        </m:r>
      </m:oMath>
      <w:r>
        <w:t xml:space="preserve">, sendo </w:t>
      </w:r>
      <w:r w:rsidR="00996BF6">
        <w:t xml:space="preserve">.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 tamanho da série.</w:t>
      </w:r>
    </w:p>
    <w:p w14:paraId="2827FE4A" w14:textId="38935C63" w:rsidR="00996BF6" w:rsidRDefault="00996BF6" w:rsidP="007420FB">
      <w:pPr>
        <w:ind w:firstLine="720"/>
      </w:pPr>
      <w:r>
        <w:t>Formalmente, define-se o estimador de Sen (</w:t>
      </w:r>
      <w:r w:rsidRPr="00344FD3">
        <w:rPr>
          <w:i/>
          <w:iCs/>
        </w:rPr>
        <w:t>b</w:t>
      </w:r>
      <w:r>
        <w:t xml:space="preserve">) como sendo a mediana de todos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calculados, a saber:</w:t>
      </w:r>
    </w:p>
    <w:p w14:paraId="7592787B" w14:textId="1A997E25" w:rsidR="00996BF6" w:rsidRPr="00692138" w:rsidRDefault="00344FD3" w:rsidP="00093A64">
      <w:pPr>
        <w:ind w:firstLine="720"/>
        <w:jc w:val="center"/>
        <w:rPr>
          <w:lang w:val="en-US"/>
        </w:rPr>
      </w:pPr>
      <m:oMath>
        <m:r>
          <w:rPr>
            <w:rFonts w:ascii="Cambria Math" w:hAnsi="Cambria Math"/>
          </w:rPr>
          <m:t>b=med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96BF6">
        <w:tab/>
        <w:t>(10)</w:t>
      </w:r>
    </w:p>
    <w:p w14:paraId="3E792300" w14:textId="338655C5" w:rsidR="0064138D" w:rsidRDefault="00651A9F" w:rsidP="0064138D">
      <w:pPr>
        <w:pStyle w:val="Heading2"/>
      </w:pPr>
      <w:r>
        <w:t>Métricas para estimativa dos erros do tipo S e tipo M</w:t>
      </w:r>
    </w:p>
    <w:p w14:paraId="290127BC" w14:textId="3F8CED08" w:rsidR="00B57731" w:rsidRPr="00E00C76" w:rsidRDefault="00B57731" w:rsidP="00B57731">
      <w:pPr>
        <w:pStyle w:val="Heading3"/>
      </w:pPr>
      <w:r>
        <w:t>Erro tipo S</w:t>
      </w:r>
    </w:p>
    <w:p w14:paraId="09EE7F03" w14:textId="6DCEFE9C" w:rsidR="00B57731" w:rsidRDefault="009D1E2C" w:rsidP="00B57731">
      <w:pPr>
        <w:ind w:firstLine="720"/>
      </w:pPr>
      <w:r>
        <w:t>O e</w:t>
      </w:r>
      <w:r w:rsidR="00B57731">
        <w:t xml:space="preserve">rro Tipo S </w:t>
      </w:r>
      <w:r>
        <w:t xml:space="preserve">ocorre quando a estimativa da tendência de mudança possui sinal contrário ao do valor populacional da tendência. O que se deseja determinar é </w:t>
      </w:r>
      <w:r w:rsidR="00B57731">
        <w:t>a probabilidade d</w:t>
      </w:r>
      <w:r w:rsidR="00DF24D8">
        <w:t>a</w:t>
      </w:r>
      <w:r w:rsidR="00B57731">
        <w:t xml:space="preserve"> estimativa </w:t>
      </w:r>
      <w:r w:rsidR="00DF24D8">
        <w:t>de</w:t>
      </w:r>
      <w:r w:rsidR="00B57731">
        <w:t xml:space="preserve"> </w:t>
      </w:r>
      <w:r w:rsidR="00DF24D8">
        <w:t xml:space="preserve">tendência de </w:t>
      </w:r>
      <w:r w:rsidR="00B57731">
        <w:t xml:space="preserve">mudança apresentar sinal incorreto, dado que </w:t>
      </w:r>
      <w:r w:rsidR="00DF24D8">
        <w:t xml:space="preserve">a tendência foi considerada </w:t>
      </w:r>
      <w:r w:rsidR="00B57731">
        <w:t>estatisticamente diferente de zero</w:t>
      </w:r>
      <w:r w:rsidR="00DF24D8">
        <w:t xml:space="preserve">. A estimativa da probabilidade de se obter um sinal trocado é </w:t>
      </w:r>
      <w:r>
        <w:t xml:space="preserve">obtida por meio da taxa, calcualda </w:t>
      </w:r>
      <w:r w:rsidR="00DF24D8">
        <w:t>pela</w:t>
      </w:r>
      <w:r w:rsidR="00B57731">
        <w:t xml:space="preserve"> equação abaixo</w:t>
      </w:r>
      <w:r>
        <w:t>, tendo como base as amostra</w:t>
      </w:r>
      <w:r w:rsidR="00093A64">
        <w:t>s geradas no estudo Monte Carlo</w:t>
      </w:r>
      <w:r w:rsidR="00B5773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0"/>
        <w:gridCol w:w="1103"/>
      </w:tblGrid>
      <w:tr w:rsidR="00B57731" w:rsidRPr="00D34C6F" w14:paraId="3DF33AD8" w14:textId="77777777" w:rsidTr="0095500E">
        <w:trPr>
          <w:trHeight w:val="476"/>
        </w:trPr>
        <w:tc>
          <w:tcPr>
            <w:tcW w:w="6640" w:type="dxa"/>
            <w:vAlign w:val="center"/>
            <w:hideMark/>
          </w:tcPr>
          <w:p w14:paraId="1157A9DE" w14:textId="77777777" w:rsidR="00B57731" w:rsidRPr="00D34C6F" w:rsidRDefault="00B57731" w:rsidP="00C903B3">
            <w:pPr>
              <w:pStyle w:val="Subtitle"/>
            </w:pPr>
            <m:oMathPara>
              <m:oMath>
                <m: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Tipo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| </m:t>
                </m:r>
                <m:r>
                  <w:rPr>
                    <w:rFonts w:ascii="Cambria Math" w:hAnsi="Cambria Math"/>
                  </w:rPr>
                  <m:t>Significativo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Erro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tipo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Significativas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03" w:type="dxa"/>
            <w:vAlign w:val="center"/>
          </w:tcPr>
          <w:p w14:paraId="6B1C764C" w14:textId="66DF0612" w:rsidR="00B57731" w:rsidRPr="00C903B3" w:rsidRDefault="00B57731" w:rsidP="00C903B3">
            <w:pPr>
              <w:pStyle w:val="Subtitle"/>
            </w:pPr>
            <w:r w:rsidRPr="00C903B3">
              <w:t>(11)</w:t>
            </w:r>
          </w:p>
        </w:tc>
      </w:tr>
    </w:tbl>
    <w:p w14:paraId="0D3E3115" w14:textId="002B7109" w:rsidR="00B57731" w:rsidRDefault="00B57731" w:rsidP="00B57731">
      <w:r>
        <w:t xml:space="preserve">em que N_(Erro tipo S) é o número de vezes em que o sinal da tendência estimado por B_SEN é contrário ao assumido durante </w:t>
      </w:r>
      <w:r w:rsidR="0094212F">
        <w:t>o processo</w:t>
      </w:r>
      <w:r>
        <w:t xml:space="preserve"> de geração serial e N_significativos é o número de séries declaradas como não estacionárias após a aplicação do teste de Mann-Kendall para um dado conjunto de parâmetros </w:t>
      </w:r>
      <w:r w:rsidRPr="00B57731">
        <w:rPr>
          <w:i/>
          <w:iCs/>
        </w:rPr>
        <w:t>n</w:t>
      </w:r>
      <w:r>
        <w:t xml:space="preserve">, </w:t>
      </w:r>
      <w:r w:rsidRPr="00B57731">
        <w:rPr>
          <w:i/>
          <w:iCs/>
        </w:rPr>
        <w:t>b</w:t>
      </w:r>
      <w:r>
        <w:t xml:space="preserve">, </w:t>
      </w:r>
      <w:r w:rsidRPr="00B57731">
        <w:rPr>
          <w:i/>
          <w:iCs/>
        </w:rPr>
        <w:t>Cv</w:t>
      </w:r>
      <w:r>
        <w:t xml:space="preserve"> e </w:t>
      </w:r>
      <w:r w:rsidRPr="00B57731">
        <w:rPr>
          <w:i/>
          <w:iCs/>
        </w:rPr>
        <w:t>κ</w:t>
      </w:r>
      <w:r>
        <w:t>, sendo b≠0;</w:t>
      </w:r>
    </w:p>
    <w:p w14:paraId="7E495850" w14:textId="57CB902F" w:rsidR="00093A64" w:rsidRDefault="00093A64" w:rsidP="00B57731">
      <w:r>
        <w:t>3.4.2. Erro tipo M</w:t>
      </w:r>
    </w:p>
    <w:p w14:paraId="16837B87" w14:textId="77777777" w:rsidR="00F47120" w:rsidRDefault="0094212F" w:rsidP="00624288">
      <w:pPr>
        <w:ind w:firstLine="720"/>
      </w:pPr>
      <w:r>
        <w:t>O erro tipo M ocorre quando a magnitude da tendência é incorretamente estimada, dado que a presença de mudança foi considerada estatisticamente diferente de zero</w:t>
      </w:r>
      <w:r w:rsidR="009102F6">
        <w:t xml:space="preserve">. </w:t>
      </w:r>
      <w:r w:rsidR="00D06E6F">
        <w:t>Duas métricas são empregadas aqui para avaliar essa questão</w:t>
      </w:r>
      <w:r w:rsidR="00F47120">
        <w:t>. A primeira mede o viés relativo dessa estimativa, determinado da seguinte forma,</w:t>
      </w:r>
    </w:p>
    <w:p w14:paraId="5D842857" w14:textId="2D74C203" w:rsidR="00F47120" w:rsidRDefault="00F47120" w:rsidP="00624288">
      <w:pPr>
        <w:ind w:firstLine="720"/>
      </w:pPr>
      <w:r w:rsidRPr="00F47120">
        <w:rPr>
          <w:rFonts w:eastAsiaTheme="minorEastAsia"/>
          <w:szCs w:val="20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</w:rPr>
                  <m:t>SEN</m:t>
                </m:r>
              </m:sub>
            </m:sSub>
          </m:e>
        </m:acc>
        <m:r>
          <w:rPr>
            <w:rFonts w:ascii="Cambria Math" w:eastAsiaTheme="minorEastAsia" w:hAnsi="Cambria Math"/>
            <w:szCs w:val="20"/>
          </w:rPr>
          <m:t>/b</m:t>
        </m:r>
      </m:oMath>
      <w:r w:rsidRPr="00F47120">
        <w:rPr>
          <w:rFonts w:eastAsiaTheme="minorEastAsia"/>
          <w:szCs w:val="20"/>
        </w:rPr>
        <w:t>)</w:t>
      </w:r>
      <w:r w:rsidR="00C73EE9" w:rsidRPr="00C73EE9">
        <w:t xml:space="preserve"> </w:t>
      </w:r>
      <w:r w:rsidR="00C73EE9">
        <w:tab/>
      </w:r>
      <w:r w:rsidR="00C73EE9">
        <w:tab/>
      </w:r>
      <w:r w:rsidR="00C73EE9">
        <w:tab/>
      </w:r>
      <w:r w:rsidR="00C73EE9">
        <w:tab/>
      </w:r>
      <w:r w:rsidR="00C73EE9">
        <w:tab/>
      </w:r>
      <w:r w:rsidR="00C73EE9">
        <w:tab/>
      </w:r>
      <w:r w:rsidR="00C73EE9">
        <w:tab/>
        <w:t>(12</w:t>
      </w:r>
      <w:r w:rsidR="00C73EE9" w:rsidRPr="00D34C6F">
        <w:t>)</w:t>
      </w:r>
    </w:p>
    <w:p w14:paraId="7343C308" w14:textId="5E47AB34" w:rsidR="00243057" w:rsidRPr="00AD3C5D" w:rsidRDefault="00243057" w:rsidP="00243057">
      <w:r>
        <w:t xml:space="preserve">em que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</w:rPr>
                  <m:t>SEN</m:t>
                </m:r>
              </m:sub>
            </m:sSub>
          </m:e>
        </m:acc>
      </m:oMath>
      <w:r w:rsidR="00496324">
        <w:rPr>
          <w:rFonts w:eastAsiaTheme="minorEastAsia"/>
          <w:szCs w:val="20"/>
        </w:rPr>
        <w:t xml:space="preserve"> é a média dos valores das estimativas de b ao longo de todas as simulações, para cada conjunto de </w:t>
      </w:r>
      <w:r w:rsidR="00AD3C5D">
        <w:rPr>
          <w:rFonts w:eastAsiaTheme="minorEastAsia"/>
          <w:szCs w:val="20"/>
        </w:rPr>
        <w:t xml:space="preserve">valores populacionais de </w:t>
      </w:r>
      <w:r w:rsidR="00AD3C5D" w:rsidRPr="00B57731">
        <w:rPr>
          <w:i/>
          <w:iCs/>
        </w:rPr>
        <w:t>n</w:t>
      </w:r>
      <w:r w:rsidR="00AD3C5D">
        <w:t xml:space="preserve">, </w:t>
      </w:r>
      <w:r w:rsidR="00AD3C5D" w:rsidRPr="00B57731">
        <w:rPr>
          <w:i/>
          <w:iCs/>
        </w:rPr>
        <w:t>b</w:t>
      </w:r>
      <w:r w:rsidR="00AD3C5D">
        <w:t xml:space="preserve">, </w:t>
      </w:r>
      <w:r w:rsidR="00AD3C5D" w:rsidRPr="00B57731">
        <w:rPr>
          <w:i/>
          <w:iCs/>
        </w:rPr>
        <w:t>Cv</w:t>
      </w:r>
      <w:r w:rsidR="00AD3C5D">
        <w:t xml:space="preserve"> e </w:t>
      </w:r>
      <w:r w:rsidR="00AD3C5D" w:rsidRPr="00B57731">
        <w:rPr>
          <w:i/>
          <w:iCs/>
        </w:rPr>
        <w:t>κ</w:t>
      </w:r>
      <w:r w:rsidR="00AD3C5D">
        <w:t xml:space="preserve">, sendo </w:t>
      </w:r>
      <w:r w:rsidR="00AD3C5D" w:rsidRPr="00AD3C5D">
        <w:rPr>
          <w:i/>
          <w:iCs/>
        </w:rPr>
        <w:t>b</w:t>
      </w:r>
      <w:r w:rsidR="00AD3C5D">
        <w:t xml:space="preserve"> o valor populacional da tendência.</w:t>
      </w:r>
    </w:p>
    <w:p w14:paraId="521416A2" w14:textId="445A3D4A" w:rsidR="00093A64" w:rsidRPr="00624288" w:rsidRDefault="00AD3C5D" w:rsidP="00624288">
      <w:pPr>
        <w:ind w:firstLine="720"/>
      </w:pPr>
      <w:r>
        <w:t xml:space="preserve">A segunda métrica procura avaliar </w:t>
      </w:r>
      <w:r w:rsidR="00CD5D3D">
        <w:t xml:space="preserve">fornecer uma ideia da variância do estimador de </w:t>
      </w:r>
      <w:r w:rsidR="00CD5D3D" w:rsidRPr="00CD5D3D">
        <w:rPr>
          <w:i/>
          <w:iCs/>
        </w:rPr>
        <w:t>b</w:t>
      </w:r>
      <w:r w:rsidR="00CD5D3D">
        <w:t xml:space="preserve">. </w:t>
      </w:r>
      <w:r w:rsidR="000A2FD6">
        <w:t>Nesse caso, a</w:t>
      </w:r>
      <w:r w:rsidR="009102F6">
        <w:t xml:space="preserve"> diferença entre valores de magnitude da tendência correspondentes aos percentis de </w:t>
      </w:r>
      <w:r w:rsidR="009102F6" w:rsidRPr="009102F6">
        <w:t>97.5</w:t>
      </w:r>
      <w:r w:rsidR="009102F6">
        <w:t>%</w:t>
      </w:r>
      <w:r w:rsidR="009102F6" w:rsidRPr="009102F6">
        <w:t xml:space="preserve"> e 2.5%</w:t>
      </w:r>
      <w:r w:rsidR="009102F6">
        <w:t xml:space="preserve"> da totalidade dos </w:t>
      </w:r>
      <w:r w:rsidR="009102F6" w:rsidRPr="009102F6">
        <w:rPr>
          <w:i/>
        </w:rPr>
        <w:t>b’s</w:t>
      </w:r>
      <w:r w:rsidR="009102F6">
        <w:t xml:space="preserve"> estimados por B_SEN </w:t>
      </w:r>
      <w:r w:rsidR="00CD5D3D">
        <w:t>(</w:t>
      </w:r>
      <w:r w:rsidR="009102F6">
        <w:t xml:space="preserve">para um </w:t>
      </w:r>
      <w:r w:rsidR="009102F6" w:rsidRPr="009102F6">
        <w:t xml:space="preserve">dado </w:t>
      </w:r>
      <w:r w:rsidR="00CD5D3D">
        <w:t xml:space="preserve">conjunto de valores populacionais para </w:t>
      </w:r>
      <w:r w:rsidR="009102F6" w:rsidRPr="00CD5D3D">
        <w:rPr>
          <w:i/>
          <w:iCs/>
        </w:rPr>
        <w:t>n</w:t>
      </w:r>
      <w:r w:rsidR="009102F6" w:rsidRPr="009102F6">
        <w:t xml:space="preserve">, </w:t>
      </w:r>
      <w:r w:rsidR="009102F6" w:rsidRPr="00CD5D3D">
        <w:rPr>
          <w:i/>
          <w:iCs/>
        </w:rPr>
        <w:t>Cv</w:t>
      </w:r>
      <w:r w:rsidR="009102F6" w:rsidRPr="009102F6">
        <w:t xml:space="preserve">, </w:t>
      </w:r>
      <w:r w:rsidR="009102F6" w:rsidRPr="00CD5D3D">
        <w:rPr>
          <w:i/>
          <w:iCs/>
        </w:rPr>
        <w:t>κ</w:t>
      </w:r>
      <w:r w:rsidR="009102F6" w:rsidRPr="009102F6">
        <w:t xml:space="preserve"> e </w:t>
      </w:r>
      <w:r w:rsidR="009102F6" w:rsidRPr="00CD5D3D">
        <w:rPr>
          <w:i/>
          <w:iCs/>
        </w:rPr>
        <w:t>b</w:t>
      </w:r>
      <w:r w:rsidR="00CD5D3D">
        <w:t>)</w:t>
      </w:r>
      <w:r w:rsidR="009102F6">
        <w:t xml:space="preserve"> foi a maneira adotada de expressar</w:t>
      </w:r>
      <w:r w:rsidR="000A2FD6">
        <w:t xml:space="preserve"> a variabilidade</w:t>
      </w:r>
      <w:r w:rsidR="00F176A8">
        <w:t xml:space="preserve"> das estimativas</w:t>
      </w:r>
      <w:r w:rsidR="000A2FD6">
        <w:t xml:space="preserve"> constatada. Essa diferença foi denominada </w:t>
      </w:r>
      <w:r w:rsidR="000A2FD6" w:rsidRPr="000A2FD6">
        <w:rPr>
          <w:i/>
        </w:rPr>
        <w:t>Largura Relativa do Erro Tipo M</w:t>
      </w:r>
      <w:r w:rsidR="000A2FD6">
        <w:t xml:space="preserve"> e, após a sua divisão pelo valor da magnitude da tendência verdadeiro, </w:t>
      </w:r>
      <w:r w:rsidR="00F176A8">
        <w:t>definiu-se a métrica de avaliação dos erros do tipo M, a saber:</w:t>
      </w:r>
      <w:r w:rsidR="000A2FD6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6907"/>
        <w:gridCol w:w="968"/>
      </w:tblGrid>
      <w:tr w:rsidR="00093A64" w:rsidRPr="00D34C6F" w14:paraId="27787894" w14:textId="77777777" w:rsidTr="006615F1">
        <w:trPr>
          <w:trHeight w:val="476"/>
          <w:jc w:val="center"/>
        </w:trPr>
        <w:tc>
          <w:tcPr>
            <w:tcW w:w="846" w:type="dxa"/>
            <w:vAlign w:val="center"/>
          </w:tcPr>
          <w:p w14:paraId="67B5171F" w14:textId="77777777" w:rsidR="00093A64" w:rsidRPr="00D34C6F" w:rsidRDefault="00093A64" w:rsidP="00C903B3">
            <w:pPr>
              <w:pStyle w:val="Subtitle"/>
            </w:pPr>
          </w:p>
        </w:tc>
        <w:tc>
          <w:tcPr>
            <w:tcW w:w="6959" w:type="dxa"/>
            <w:vAlign w:val="center"/>
          </w:tcPr>
          <w:p w14:paraId="2944EB09" w14:textId="77777777" w:rsidR="00093A64" w:rsidRPr="00D34C6F" w:rsidRDefault="00093A64" w:rsidP="00C903B3">
            <w:pPr>
              <w:pStyle w:val="Subtitle"/>
            </w:pPr>
          </w:p>
        </w:tc>
        <w:tc>
          <w:tcPr>
            <w:tcW w:w="972" w:type="dxa"/>
            <w:vAlign w:val="center"/>
          </w:tcPr>
          <w:p w14:paraId="53F98BE3" w14:textId="77777777" w:rsidR="00093A64" w:rsidRPr="00D34C6F" w:rsidRDefault="00093A64" w:rsidP="00C903B3">
            <w:pPr>
              <w:pStyle w:val="Subtitle"/>
            </w:pPr>
          </w:p>
        </w:tc>
      </w:tr>
      <w:tr w:rsidR="00093A64" w:rsidRPr="00D34C6F" w14:paraId="549517B1" w14:textId="77777777" w:rsidTr="006615F1">
        <w:trPr>
          <w:trHeight w:val="476"/>
          <w:jc w:val="center"/>
        </w:trPr>
        <w:tc>
          <w:tcPr>
            <w:tcW w:w="846" w:type="dxa"/>
            <w:vAlign w:val="center"/>
          </w:tcPr>
          <w:p w14:paraId="53B69BEF" w14:textId="77777777" w:rsidR="00093A64" w:rsidRPr="00D34C6F" w:rsidRDefault="00093A64" w:rsidP="00C903B3">
            <w:pPr>
              <w:pStyle w:val="Subtitle"/>
            </w:pPr>
          </w:p>
        </w:tc>
        <w:tc>
          <w:tcPr>
            <w:tcW w:w="6959" w:type="dxa"/>
            <w:vAlign w:val="center"/>
            <w:hideMark/>
          </w:tcPr>
          <w:p w14:paraId="1F88F552" w14:textId="77777777" w:rsidR="00093A64" w:rsidRPr="00D34C6F" w:rsidRDefault="008E38D1" w:rsidP="00C903B3">
            <w:pPr>
              <w:pStyle w:val="Subtitl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97,5%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2,5%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972" w:type="dxa"/>
            <w:vAlign w:val="center"/>
          </w:tcPr>
          <w:p w14:paraId="643807EE" w14:textId="623D2CFA" w:rsidR="00093A64" w:rsidRPr="00D34C6F" w:rsidRDefault="00093A64" w:rsidP="00C903B3">
            <w:pPr>
              <w:pStyle w:val="Subtitle"/>
            </w:pPr>
            <w:r>
              <w:t>(1</w:t>
            </w:r>
            <w:r w:rsidR="00C73EE9">
              <w:t>3</w:t>
            </w:r>
            <w:r w:rsidRPr="00D34C6F">
              <w:t>)</w:t>
            </w:r>
          </w:p>
        </w:tc>
      </w:tr>
    </w:tbl>
    <w:p w14:paraId="76BAC028" w14:textId="77777777" w:rsidR="00093A64" w:rsidRPr="00D34C6F" w:rsidRDefault="00093A64" w:rsidP="00093A64">
      <w:pPr>
        <w:spacing w:after="0"/>
        <w:ind w:left="284"/>
        <w:rPr>
          <w:rFonts w:eastAsiaTheme="minorEastAsia" w:cs="Times New Roman"/>
          <w:sz w:val="20"/>
          <w:szCs w:val="20"/>
        </w:rPr>
      </w:pPr>
    </w:p>
    <w:p w14:paraId="756ABD15" w14:textId="6253BDA3" w:rsidR="00093A64" w:rsidRPr="00624288" w:rsidRDefault="00093A64" w:rsidP="00624288">
      <w:pPr>
        <w:spacing w:after="0"/>
        <w:rPr>
          <w:rFonts w:eastAsiaTheme="minorEastAsia" w:cs="Times New Roman"/>
          <w:szCs w:val="24"/>
        </w:rPr>
      </w:pPr>
      <w:r w:rsidRPr="00624288">
        <w:rPr>
          <w:rFonts w:eastAsiaTheme="minorEastAsia" w:cs="Times New Roman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sub>
        </m:sSub>
      </m:oMath>
      <w:r w:rsidRPr="00624288">
        <w:rPr>
          <w:rFonts w:eastAsiaTheme="minorEastAsia" w:cs="Times New Roman"/>
          <w:szCs w:val="24"/>
        </w:rPr>
        <w:t xml:space="preserve"> é a métrica indireta de avaliação </w:t>
      </w:r>
      <w:r w:rsidR="00223EEA">
        <w:rPr>
          <w:rFonts w:eastAsiaTheme="minorEastAsia" w:cs="Times New Roman"/>
          <w:szCs w:val="24"/>
        </w:rPr>
        <w:t xml:space="preserve">da variância </w:t>
      </w:r>
      <w:r w:rsidRPr="00624288">
        <w:rPr>
          <w:rFonts w:eastAsiaTheme="minorEastAsia" w:cs="Times New Roman"/>
          <w:szCs w:val="24"/>
        </w:rPr>
        <w:t xml:space="preserve">do erro tipo M, denominada Largura Relativa do Erro Tipo M,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97,5%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 xml:space="preserve"> e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2,5%</m:t>
            </m:r>
          </m:sub>
        </m:sSub>
      </m:oMath>
      <w:r w:rsidRPr="00624288">
        <w:rPr>
          <w:rFonts w:eastAsiaTheme="minorEastAsia" w:cs="Times New Roman"/>
          <w:szCs w:val="24"/>
        </w:rPr>
        <w:t xml:space="preserve"> são os valores de valor da magnitude de mudança estimados por B_SEN associados aos percentis de, respectivamente, 97.5 e 2.5% para um dado </w:t>
      </w:r>
      <w:r w:rsidRPr="00624288">
        <w:rPr>
          <w:rFonts w:eastAsiaTheme="minorEastAsia" w:cs="Times New Roman"/>
          <w:i/>
          <w:szCs w:val="24"/>
        </w:rPr>
        <w:t>n, Cv,</w:t>
      </w:r>
      <w:r w:rsidRPr="00624288">
        <w:rPr>
          <w:rFonts w:eastAsiaTheme="minorEastAsia" w:cs="Times New Roman"/>
          <w:szCs w:val="24"/>
        </w:rPr>
        <w:t xml:space="preserve"> κ e </w:t>
      </w:r>
      <w:r w:rsidRPr="00624288">
        <w:rPr>
          <w:rFonts w:eastAsiaTheme="minorEastAsia" w:cs="Times New Roman"/>
          <w:i/>
          <w:szCs w:val="24"/>
        </w:rPr>
        <w:t>b</w:t>
      </w:r>
      <w:r w:rsidRPr="00624288">
        <w:rPr>
          <w:rFonts w:eastAsiaTheme="minorEastAsia" w:cs="Times New Roman"/>
          <w:szCs w:val="24"/>
        </w:rPr>
        <w:t xml:space="preserve">, sendo também </w:t>
      </w:r>
      <m:oMath>
        <m:r>
          <w:rPr>
            <w:rFonts w:ascii="Cambria Math" w:eastAsiaTheme="minorEastAsia" w:hAnsi="Cambria Math" w:cs="Times New Roman"/>
            <w:szCs w:val="24"/>
          </w:rPr>
          <m:t>b≠0</m:t>
        </m:r>
      </m:oMath>
      <w:r w:rsidRPr="00624288">
        <w:rPr>
          <w:rFonts w:eastAsiaTheme="minorEastAsia" w:cs="Times New Roman"/>
          <w:szCs w:val="24"/>
        </w:rPr>
        <w:t xml:space="preserve">. </w:t>
      </w:r>
    </w:p>
    <w:p w14:paraId="106FB8C3" w14:textId="267219C2" w:rsidR="00D643FB" w:rsidRPr="00D643FB" w:rsidRDefault="009A063A" w:rsidP="00D643FB">
      <w:pPr>
        <w:pStyle w:val="Heading1"/>
      </w:pPr>
      <w:r>
        <w:t>Discussão dos Resultados</w:t>
      </w:r>
    </w:p>
    <w:p w14:paraId="4EF9235A" w14:textId="78AB2924" w:rsidR="001B5BB6" w:rsidRPr="001B5BB6" w:rsidRDefault="001B5BB6" w:rsidP="001B5BB6">
      <w:pPr>
        <w:ind w:firstLine="720"/>
      </w:pPr>
      <w:r w:rsidRPr="001B5BB6">
        <w:t xml:space="preserve">A </w:t>
      </w:r>
      <w:r w:rsidR="005D5C9F">
        <w:fldChar w:fldCharType="begin"/>
      </w:r>
      <w:r w:rsidR="005D5C9F">
        <w:instrText xml:space="preserve"> REF _Ref510207794 \h </w:instrText>
      </w:r>
      <w:r w:rsidR="005D5C9F">
        <w:fldChar w:fldCharType="separate"/>
      </w:r>
      <w:r w:rsidR="005D5C9F">
        <w:t xml:space="preserve">Figura </w:t>
      </w:r>
      <w:r w:rsidR="005D5C9F">
        <w:rPr>
          <w:noProof/>
        </w:rPr>
        <w:t>1</w:t>
      </w:r>
      <w:r w:rsidR="005D5C9F">
        <w:fldChar w:fldCharType="end"/>
      </w:r>
      <w:r w:rsidRPr="001B5BB6">
        <w:t xml:space="preserve"> mostra a dependência da probabilidade do Erro Tipo S para séries do tipo GEV ao se variar o tamanho amostral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=[20 40 60 80 100]</m:t>
        </m:r>
      </m:oMath>
      <w:r w:rsidRPr="001B5BB6">
        <w:t>), coeficiente de variação (</w:t>
      </w:r>
      <m:oMath>
        <m:r>
          <w:rPr>
            <w:rFonts w:ascii="Cambria Math" w:hAnsi="Cambria Math"/>
          </w:rPr>
          <m:t>Cv</m:t>
        </m:r>
        <m:r>
          <m:rPr>
            <m:sty m:val="p"/>
          </m:rPr>
          <w:rPr>
            <w:rFonts w:ascii="Cambria Math" w:hAnsi="Cambria Math"/>
          </w:rPr>
          <m:t>=[0.2 0.6 1.00])</m:t>
        </m:r>
      </m:oMath>
      <w:r w:rsidRPr="001B5BB6">
        <w:t xml:space="preserve"> e a magnitude da tendência decenal relativa positiva (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=[2.0 4.0 6.0 8.0 10.0%]</m:t>
        </m:r>
      </m:oMath>
      <w:r w:rsidR="005828CB">
        <w:rPr>
          <w:rFonts w:eastAsiaTheme="minorEastAsia"/>
        </w:rPr>
        <w:t>)</w:t>
      </w:r>
      <w:r w:rsidRPr="001B5BB6">
        <w:t xml:space="preserve">, mantendo-se fixo apenas o parâmetro de forma </w:t>
      </w:r>
      <m:oMath>
        <m:r>
          <w:rPr>
            <w:rFonts w:ascii="Cambria Math" w:hAnsi="Cambria Math"/>
          </w:rPr>
          <m:t>κ</m:t>
        </m:r>
        <m:r>
          <m:rPr>
            <m:sty m:val="p"/>
          </m:rPr>
          <w:rPr>
            <w:rFonts w:ascii="Cambria Math" w:hAnsi="Cambria Math"/>
          </w:rPr>
          <m:t>= -0.30</m:t>
        </m:r>
      </m:oMath>
      <w:r w:rsidRPr="001B5BB6">
        <w:t>. Assim, pode-se constatar que a proporção de séries que tiveram o seu sinal estimado por B_SEN contrário àquele assumido durante o processo de geração serial pode ser expressiva em diversas situações, ficando claro que a probabilidade do Erro Tipo S é decrescente à medida que se eleva o tamanho da amostra (</w:t>
      </w:r>
      <w:r w:rsidRPr="007276D0">
        <w:rPr>
          <w:i/>
          <w:iCs/>
        </w:rPr>
        <w:t>n</w:t>
      </w:r>
      <w:r w:rsidRPr="001B5BB6">
        <w:t xml:space="preserve">). Em outras palavras, ao se gerar 10,000 séries do tipo GEV, via MC, para um dado </w:t>
      </w:r>
      <w:r w:rsidRPr="00BE0127">
        <w:rPr>
          <w:i/>
          <w:iCs/>
        </w:rPr>
        <w:t>κ</w:t>
      </w:r>
      <w:r w:rsidRPr="001B5BB6">
        <w:t xml:space="preserve">, </w:t>
      </w:r>
      <w:r w:rsidRPr="00BE0127">
        <w:rPr>
          <w:i/>
          <w:iCs/>
        </w:rPr>
        <w:t>Cv</w:t>
      </w:r>
      <w:r w:rsidRPr="001B5BB6">
        <w:t xml:space="preserve">, </w:t>
      </w:r>
      <w:r w:rsidRPr="00BE0127">
        <w:rPr>
          <w:i/>
          <w:iCs/>
        </w:rPr>
        <w:t>b</w:t>
      </w:r>
      <w:r w:rsidRPr="001B5BB6">
        <w:t xml:space="preserve"> fixos e diversos </w:t>
      </w:r>
      <w:r w:rsidR="00661373">
        <w:t>n</w:t>
      </w:r>
      <w:r w:rsidRPr="001B5BB6">
        <w:t xml:space="preserve">, a taxa de equívocos de sinal estimados pela metodologia proposta por SEN será tão menor quanto maior o comprimento da série. Por exemplo, para </w:t>
      </w:r>
      <w:r w:rsidRPr="00661373">
        <w:rPr>
          <w:i/>
          <w:iCs/>
        </w:rPr>
        <w:t>Cv</w:t>
      </w:r>
      <w:r w:rsidRPr="001B5BB6">
        <w:t xml:space="preserve"> = 1.00 e </w:t>
      </w:r>
      <w:r w:rsidRPr="00661373">
        <w:rPr>
          <w:i/>
          <w:iCs/>
        </w:rPr>
        <w:t>b</w:t>
      </w:r>
      <w:r w:rsidRPr="001B5BB6">
        <w:t xml:space="preserve"> = 2.00%, o caso mais extremo dentre os considerados neste trabalho, a probabilidade de se obter uma tendência com sinal trocado é de 36.4% para </w:t>
      </w:r>
      <w:r w:rsidRPr="00661373">
        <w:rPr>
          <w:i/>
          <w:iCs/>
        </w:rPr>
        <w:t>n</w:t>
      </w:r>
      <w:r w:rsidRPr="001B5BB6">
        <w:t xml:space="preserve"> = 20, 18% para </w:t>
      </w:r>
      <w:r w:rsidRPr="00661373">
        <w:rPr>
          <w:i/>
          <w:iCs/>
        </w:rPr>
        <w:t>n</w:t>
      </w:r>
      <w:r w:rsidRPr="001B5BB6">
        <w:t xml:space="preserve"> = 40, 8% para </w:t>
      </w:r>
      <w:r w:rsidRPr="00661373">
        <w:rPr>
          <w:i/>
          <w:iCs/>
        </w:rPr>
        <w:t>n</w:t>
      </w:r>
      <w:r w:rsidRPr="001B5BB6">
        <w:t xml:space="preserve"> = 60, 2.5% para </w:t>
      </w:r>
      <w:r w:rsidRPr="00661373">
        <w:rPr>
          <w:i/>
          <w:iCs/>
        </w:rPr>
        <w:t>n</w:t>
      </w:r>
      <w:r w:rsidRPr="001B5BB6">
        <w:t xml:space="preserve"> =80 e menos de 1% para uma série de tamanho </w:t>
      </w:r>
      <w:r w:rsidRPr="00661373">
        <w:rPr>
          <w:i/>
          <w:iCs/>
        </w:rPr>
        <w:t>n</w:t>
      </w:r>
      <w:r w:rsidRPr="001B5BB6">
        <w:t xml:space="preserve"> = 100.</w:t>
      </w:r>
    </w:p>
    <w:p w14:paraId="6C8DAB0D" w14:textId="71430CF4" w:rsidR="001B5BB6" w:rsidRPr="001B5BB6" w:rsidRDefault="001B5BB6" w:rsidP="001B5BB6">
      <w:pPr>
        <w:ind w:firstLine="720"/>
      </w:pPr>
      <w:r w:rsidRPr="001B5BB6">
        <w:t xml:space="preserve">Naturalmente, os resultados apresentados acima estão relacionados com uma combinação extrema de </w:t>
      </w:r>
      <w:r w:rsidRPr="00483CDE">
        <w:rPr>
          <w:i/>
          <w:iCs/>
        </w:rPr>
        <w:t>Cv</w:t>
      </w:r>
      <w:r w:rsidRPr="001B5BB6">
        <w:t xml:space="preserve"> e </w:t>
      </w:r>
      <w:r w:rsidRPr="00483CDE">
        <w:rPr>
          <w:i/>
          <w:iCs/>
        </w:rPr>
        <w:t>b</w:t>
      </w:r>
      <w:r w:rsidRPr="001B5BB6">
        <w:t xml:space="preserve">, sendo outras combinações possíveis de serem encontradas na prática. Por exemplo, um comportamento similar ao observado para o tamanho amostral nos casos mencionados acima ocorre com o aumento da magnitude da tendência, em que a relação negativa fica evidente ao se constatar que as barras da </w:t>
      </w:r>
      <w:r w:rsidR="00934204">
        <w:fldChar w:fldCharType="begin"/>
      </w:r>
      <w:r w:rsidR="00934204">
        <w:instrText xml:space="preserve"> REF _Ref510207794 \h </w:instrText>
      </w:r>
      <w:r w:rsidR="00934204">
        <w:fldChar w:fldCharType="separate"/>
      </w:r>
      <w:r w:rsidR="00934204">
        <w:t xml:space="preserve">Figura </w:t>
      </w:r>
      <w:r w:rsidR="00934204">
        <w:rPr>
          <w:noProof/>
        </w:rPr>
        <w:t>1</w:t>
      </w:r>
      <w:r w:rsidR="00934204">
        <w:fldChar w:fldCharType="end"/>
      </w:r>
      <w:r w:rsidRPr="001B5BB6">
        <w:t xml:space="preserve"> diminuem de magnitude da esquerda para a direita, ou seja, no sentido de crescimento da tendência relativa decenal. Cita-se a diminuição no valor da probabilidade do Erro Tipo S em amostras cujo </w:t>
      </w:r>
      <w:r w:rsidRPr="00FB0366">
        <w:rPr>
          <w:i/>
          <w:iCs/>
        </w:rPr>
        <w:t>n</w:t>
      </w:r>
      <w:r w:rsidRPr="001B5BB6">
        <w:t xml:space="preserve"> = 40 e </w:t>
      </w:r>
      <w:r w:rsidRPr="00FB0366">
        <w:rPr>
          <w:i/>
          <w:iCs/>
        </w:rPr>
        <w:t>Cv</w:t>
      </w:r>
      <w:r w:rsidRPr="001B5BB6">
        <w:t xml:space="preserve"> =1.0, passando de 18.4%, quando </w:t>
      </w:r>
      <w:r w:rsidRPr="00FB0366">
        <w:rPr>
          <w:i/>
          <w:iCs/>
        </w:rPr>
        <w:t>b</w:t>
      </w:r>
      <w:r w:rsidRPr="001B5BB6">
        <w:t xml:space="preserve"> = 2.00%, para 6.3% quando </w:t>
      </w:r>
      <w:r w:rsidRPr="00FB0366">
        <w:rPr>
          <w:i/>
          <w:iCs/>
        </w:rPr>
        <w:t>b</w:t>
      </w:r>
      <w:r w:rsidRPr="001B5BB6">
        <w:t xml:space="preserve"> = 4.00%, o que mostra claramente que o problema tem em uma de suas causas a relação entre </w:t>
      </w:r>
      <w:r w:rsidRPr="00FB0366">
        <w:rPr>
          <w:i/>
          <w:iCs/>
        </w:rPr>
        <w:t>Cv</w:t>
      </w:r>
      <w:r w:rsidRPr="001B5BB6">
        <w:t xml:space="preserve"> e </w:t>
      </w:r>
      <w:r w:rsidRPr="00FB0366">
        <w:rPr>
          <w:i/>
          <w:iCs/>
        </w:rPr>
        <w:t>b</w:t>
      </w:r>
      <w:r w:rsidRPr="001B5BB6">
        <w:t>.</w:t>
      </w:r>
    </w:p>
    <w:p w14:paraId="0C302370" w14:textId="2D76D980" w:rsidR="001B5BB6" w:rsidRPr="001B5BB6" w:rsidRDefault="001B5BB6" w:rsidP="001B5BB6">
      <w:pPr>
        <w:ind w:firstLine="720"/>
      </w:pPr>
      <w:r w:rsidRPr="001B5BB6">
        <w:t>Além disso, a</w:t>
      </w:r>
      <w:r w:rsidR="00750246">
        <w:t xml:space="preserve"> </w:t>
      </w:r>
      <w:r w:rsidR="00750246">
        <w:fldChar w:fldCharType="begin"/>
      </w:r>
      <w:r w:rsidR="00750246">
        <w:instrText xml:space="preserve"> REF _Ref510207794 \h </w:instrText>
      </w:r>
      <w:r w:rsidR="00750246">
        <w:fldChar w:fldCharType="separate"/>
      </w:r>
      <w:r w:rsidR="00750246">
        <w:t xml:space="preserve">Figura </w:t>
      </w:r>
      <w:r w:rsidR="00750246">
        <w:rPr>
          <w:noProof/>
        </w:rPr>
        <w:t>1</w:t>
      </w:r>
      <w:r w:rsidR="00750246">
        <w:fldChar w:fldCharType="end"/>
      </w:r>
      <w:r w:rsidRPr="001B5BB6">
        <w:t xml:space="preserve"> evidencia o crescimento da probabilidade do Erro Tipo S com o aumento do coeficiente de variação, o que pode ser visto para amostras, por exemplo, de tamanho </w:t>
      </w:r>
      <w:r w:rsidRPr="00750246">
        <w:rPr>
          <w:i/>
          <w:iCs/>
        </w:rPr>
        <w:t>n</w:t>
      </w:r>
      <w:r w:rsidRPr="001B5BB6">
        <w:t xml:space="preserve">=20 e </w:t>
      </w:r>
      <w:r w:rsidRPr="00750246">
        <w:rPr>
          <w:i/>
          <w:iCs/>
        </w:rPr>
        <w:t>b</w:t>
      </w:r>
      <w:r w:rsidRPr="001B5BB6">
        <w:t xml:space="preserve"> = 2.00% e que tem o </w:t>
      </w:r>
      <w:r w:rsidRPr="00750246">
        <w:rPr>
          <w:i/>
          <w:iCs/>
        </w:rPr>
        <w:t>Cv</w:t>
      </w:r>
      <w:r w:rsidRPr="001B5BB6">
        <w:t xml:space="preserve"> aumentado de 0.20 (0.076) para 0.60 (0.295) e, posteriormente para 1.00 (0.364). Intuitivamente, essa relação entre </w:t>
      </w:r>
      <w:r w:rsidRPr="00750246">
        <w:rPr>
          <w:i/>
          <w:iCs/>
        </w:rPr>
        <w:t>Cv</w:t>
      </w:r>
      <w:r w:rsidRPr="001B5BB6">
        <w:t xml:space="preserve"> e o erro em questão era esperada, dado que o aumento do ruído serial proporciona maior variabilidade à série, conferindo a possibilidade de aumento no número de equívocos do sentido de sinal de mudança. Ratificando a impressão anteriormente relatada, a </w:t>
      </w:r>
      <w:r w:rsidR="00E215B2">
        <w:fldChar w:fldCharType="begin"/>
      </w:r>
      <w:r w:rsidR="00E215B2">
        <w:instrText xml:space="preserve"> REF _Ref510208450 \h </w:instrText>
      </w:r>
      <w:r w:rsidR="00E215B2">
        <w:fldChar w:fldCharType="separate"/>
      </w:r>
      <w:r w:rsidR="00E215B2">
        <w:t xml:space="preserve">Figura </w:t>
      </w:r>
      <w:r w:rsidR="00E215B2">
        <w:rPr>
          <w:noProof/>
        </w:rPr>
        <w:t>2</w:t>
      </w:r>
      <w:r w:rsidR="00E215B2">
        <w:fldChar w:fldCharType="end"/>
      </w:r>
      <w:r w:rsidRPr="001B5BB6">
        <w:t xml:space="preserve"> mostra que, mesmo para diferentes valores do parâmetro de forma (</w:t>
      </w:r>
      <w:r w:rsidRPr="007C2DC9">
        <w:rPr>
          <w:i/>
          <w:iCs/>
        </w:rPr>
        <w:t>κ</w:t>
      </w:r>
      <w:r w:rsidRPr="001B5BB6">
        <w:t xml:space="preserve">), a relação positiva entre </w:t>
      </w:r>
      <w:r w:rsidRPr="007C2DC9">
        <w:rPr>
          <w:i/>
          <w:iCs/>
        </w:rPr>
        <w:t>Cv</w:t>
      </w:r>
      <w:r w:rsidRPr="001B5BB6">
        <w:t xml:space="preserve"> e probabilidade do Erro Tipo S permanece, desde que os demais fatores intervenientes estudados sejam mantidos constantes. Diz-se isso ao observar que, para </w:t>
      </w:r>
      <w:r w:rsidRPr="00030923">
        <w:rPr>
          <w:i/>
          <w:iCs/>
        </w:rPr>
        <w:t>n</w:t>
      </w:r>
      <w:r w:rsidRPr="001B5BB6">
        <w:t xml:space="preserve"> = 50, </w:t>
      </w:r>
      <w:r w:rsidRPr="00030923">
        <w:rPr>
          <w:i/>
          <w:iCs/>
        </w:rPr>
        <w:t>b</w:t>
      </w:r>
      <w:r w:rsidRPr="001B5BB6">
        <w:t xml:space="preserve">=2.00% e </w:t>
      </w:r>
      <w:r w:rsidRPr="00030923">
        <w:rPr>
          <w:i/>
          <w:iCs/>
        </w:rPr>
        <w:t>k</w:t>
      </w:r>
      <w:r w:rsidRPr="001B5BB6">
        <w:t xml:space="preserve"> =0.3, os valores das ordenadas para </w:t>
      </w:r>
      <w:r w:rsidRPr="00030923">
        <w:rPr>
          <w:i/>
          <w:iCs/>
        </w:rPr>
        <w:t>Cv</w:t>
      </w:r>
      <w:r w:rsidRPr="001B5BB6">
        <w:t xml:space="preserve"> =0.2 e 1.0 são, respectivamente, iguais a 0.010 e 0.285. </w:t>
      </w:r>
    </w:p>
    <w:p w14:paraId="07199B68" w14:textId="7ACF4BFA" w:rsidR="001B5BB6" w:rsidRPr="001B5BB6" w:rsidRDefault="001B5BB6" w:rsidP="00DC3455">
      <w:pPr>
        <w:ind w:firstLine="720"/>
      </w:pPr>
      <w:r w:rsidRPr="001B5BB6">
        <w:t xml:space="preserve">Em relação à </w:t>
      </w:r>
      <w:r w:rsidR="00030923">
        <w:fldChar w:fldCharType="begin"/>
      </w:r>
      <w:r w:rsidR="00030923">
        <w:instrText xml:space="preserve"> REF _Ref510208450 \h </w:instrText>
      </w:r>
      <w:r w:rsidR="00030923">
        <w:fldChar w:fldCharType="separate"/>
      </w:r>
      <w:r w:rsidR="00030923">
        <w:t xml:space="preserve">Figura </w:t>
      </w:r>
      <w:r w:rsidR="00030923">
        <w:rPr>
          <w:noProof/>
        </w:rPr>
        <w:t>2</w:t>
      </w:r>
      <w:r w:rsidR="00030923">
        <w:fldChar w:fldCharType="end"/>
      </w:r>
      <w:r w:rsidRPr="001B5BB6">
        <w:t xml:space="preserve">, nota-se que os efeitos de aumento da magnitude de </w:t>
      </w:r>
      <w:r w:rsidRPr="00D75AAD">
        <w:rPr>
          <w:i/>
          <w:iCs/>
        </w:rPr>
        <w:t>b</w:t>
      </w:r>
      <w:r w:rsidRPr="001B5BB6">
        <w:t xml:space="preserve">, de maneira análoga ao que ocorre para o tamanho amostral, resultam em decréscimos no valor da probabilidade do Erro Tipo S observado para diferentes </w:t>
      </w:r>
      <w:r w:rsidRPr="00D75AAD">
        <w:rPr>
          <w:i/>
          <w:iCs/>
        </w:rPr>
        <w:t>Cv</w:t>
      </w:r>
      <w:r w:rsidRPr="001B5BB6">
        <w:t>’s simulados, ou seja, a relação de dependência entre essas variáveis é negativa.</w:t>
      </w:r>
    </w:p>
    <w:p w14:paraId="7C6B945B" w14:textId="26868BAA" w:rsidR="001B5BB6" w:rsidRPr="001B5BB6" w:rsidRDefault="001B5BB6" w:rsidP="001B5BB6">
      <w:pPr>
        <w:ind w:firstLine="720"/>
      </w:pPr>
      <w:r w:rsidRPr="001B5BB6">
        <w:t>A relação positiva existente entre o parâmetro de forma da GEV (</w:t>
      </w:r>
      <w:r w:rsidRPr="008D2F0F">
        <w:rPr>
          <w:i/>
          <w:iCs/>
        </w:rPr>
        <w:t>κ</w:t>
      </w:r>
      <w:r w:rsidRPr="001B5BB6">
        <w:t xml:space="preserve">) e a probabilidade de se cometer equívocos na indicação do sinal de tendência estimada por B_SEN, é facilmente constatada na </w:t>
      </w:r>
      <w:r w:rsidR="002902C2">
        <w:fldChar w:fldCharType="begin"/>
      </w:r>
      <w:r w:rsidR="002902C2">
        <w:instrText xml:space="preserve"> REF _Ref510208450 \h </w:instrText>
      </w:r>
      <w:r w:rsidR="002902C2">
        <w:fldChar w:fldCharType="separate"/>
      </w:r>
      <w:r w:rsidR="002902C2">
        <w:t xml:space="preserve">Figura </w:t>
      </w:r>
      <w:r w:rsidR="002902C2">
        <w:rPr>
          <w:noProof/>
        </w:rPr>
        <w:t>2</w:t>
      </w:r>
      <w:r w:rsidR="002902C2">
        <w:fldChar w:fldCharType="end"/>
      </w:r>
      <w:r w:rsidRPr="001B5BB6">
        <w:t xml:space="preserve"> ao se verificar que os menores e maiores valores de probabilidade do Erro Tipo S estão associados, respectivamente, ao menor (-0.3) e maior (0.3) </w:t>
      </w:r>
      <w:r w:rsidRPr="005E3DE1">
        <w:rPr>
          <w:i/>
          <w:iCs/>
        </w:rPr>
        <w:t>κ</w:t>
      </w:r>
      <w:r w:rsidRPr="001B5BB6">
        <w:t xml:space="preserve"> simulados, para </w:t>
      </w:r>
      <w:r w:rsidRPr="005E3DE1">
        <w:rPr>
          <w:i/>
          <w:iCs/>
        </w:rPr>
        <w:t>n</w:t>
      </w:r>
      <w:r w:rsidRPr="001B5BB6">
        <w:t xml:space="preserve">, </w:t>
      </w:r>
      <w:r w:rsidRPr="005E3DE1">
        <w:rPr>
          <w:i/>
          <w:iCs/>
        </w:rPr>
        <w:t>Cv</w:t>
      </w:r>
      <w:r w:rsidRPr="001B5BB6">
        <w:t xml:space="preserve"> e </w:t>
      </w:r>
      <w:r w:rsidRPr="005E3DE1">
        <w:rPr>
          <w:i/>
          <w:iCs/>
        </w:rPr>
        <w:t>b</w:t>
      </w:r>
      <w:r w:rsidRPr="001B5BB6">
        <w:t xml:space="preserve"> fixos. Traduzindo em números, tem-se que a diferença observada entre os Erros do Tipo S para </w:t>
      </w:r>
      <w:r w:rsidRPr="00970437">
        <w:rPr>
          <w:i/>
          <w:iCs/>
        </w:rPr>
        <w:t>κ</w:t>
      </w:r>
      <w:r w:rsidRPr="001B5BB6">
        <w:t xml:space="preserve"> = -0.30 e </w:t>
      </w:r>
      <w:r w:rsidRPr="00970437">
        <w:rPr>
          <w:i/>
          <w:iCs/>
        </w:rPr>
        <w:t>κ</w:t>
      </w:r>
      <w:r w:rsidRPr="001B5BB6">
        <w:t xml:space="preserve"> = 0.30, considerando-se </w:t>
      </w:r>
      <w:r w:rsidRPr="00970437">
        <w:rPr>
          <w:i/>
          <w:iCs/>
        </w:rPr>
        <w:t>n</w:t>
      </w:r>
      <w:r w:rsidRPr="001B5BB6">
        <w:t xml:space="preserve"> = 50, </w:t>
      </w:r>
      <w:r w:rsidRPr="00970437">
        <w:rPr>
          <w:i/>
          <w:iCs/>
        </w:rPr>
        <w:t>Cv</w:t>
      </w:r>
      <w:r w:rsidRPr="001B5BB6">
        <w:t xml:space="preserve"> = 0.60, </w:t>
      </w:r>
      <w:r w:rsidRPr="00970437">
        <w:rPr>
          <w:i/>
          <w:iCs/>
        </w:rPr>
        <w:t>b</w:t>
      </w:r>
      <w:r w:rsidRPr="001B5BB6">
        <w:t xml:space="preserve"> = 2.00% fixos, é de 13.2%. As relações do parâmetro de forma e a taxa de erro em análise com a variação da magnitude da tendência (</w:t>
      </w:r>
      <w:r w:rsidRPr="00970437">
        <w:rPr>
          <w:i/>
          <w:iCs/>
        </w:rPr>
        <w:t>b</w:t>
      </w:r>
      <w:r w:rsidRPr="001B5BB6">
        <w:t>) e o coeficiente de variação (</w:t>
      </w:r>
      <w:r w:rsidRPr="00970437">
        <w:rPr>
          <w:i/>
          <w:iCs/>
        </w:rPr>
        <w:t>Cv</w:t>
      </w:r>
      <w:r w:rsidRPr="001B5BB6">
        <w:t xml:space="preserve">) são, respectivamente, crescentes e decrescentes. </w:t>
      </w:r>
    </w:p>
    <w:p w14:paraId="72A85087" w14:textId="53CA6F00" w:rsidR="001B5BB6" w:rsidRPr="001B5BB6" w:rsidRDefault="001B5BB6" w:rsidP="001B5BB6">
      <w:pPr>
        <w:spacing w:after="0"/>
        <w:ind w:firstLine="720"/>
      </w:pPr>
      <w:r w:rsidRPr="001B5BB6">
        <w:t xml:space="preserve">Adicionalmente, o que chama a atenção é que, independente das variáveis intervenientes testadas, </w:t>
      </w:r>
      <w:r w:rsidRPr="00E50177">
        <w:rPr>
          <w:i/>
          <w:iCs/>
        </w:rPr>
        <w:t>n</w:t>
      </w:r>
      <w:r w:rsidRPr="001B5BB6">
        <w:t xml:space="preserve">, </w:t>
      </w:r>
      <w:r w:rsidRPr="00E50177">
        <w:rPr>
          <w:i/>
          <w:iCs/>
        </w:rPr>
        <w:t>Cv</w:t>
      </w:r>
      <w:r w:rsidRPr="001B5BB6">
        <w:t xml:space="preserve">, </w:t>
      </w:r>
      <w:r w:rsidRPr="00E50177">
        <w:rPr>
          <w:i/>
          <w:iCs/>
        </w:rPr>
        <w:t>b</w:t>
      </w:r>
      <w:r w:rsidRPr="001B5BB6">
        <w:t xml:space="preserve"> e </w:t>
      </w:r>
      <w:r w:rsidRPr="00E50177">
        <w:rPr>
          <w:i/>
          <w:iCs/>
        </w:rPr>
        <w:t>κ</w:t>
      </w:r>
      <w:r w:rsidRPr="001B5BB6">
        <w:t xml:space="preserve">, existem combinações possíveis entre elas que resultam em percentuais de sinais com indicação equivocada em torno de 30%. </w:t>
      </w:r>
    </w:p>
    <w:p w14:paraId="3E263A16" w14:textId="77777777" w:rsidR="001B5BB6" w:rsidRPr="001B5BB6" w:rsidRDefault="001B5BB6" w:rsidP="001B5BB6">
      <w:pPr>
        <w:spacing w:after="0"/>
      </w:pPr>
    </w:p>
    <w:p w14:paraId="5B8F3F53" w14:textId="77777777" w:rsidR="001B5BB6" w:rsidRDefault="001B5BB6" w:rsidP="001B5BB6">
      <w:pPr>
        <w:keepNext/>
        <w:spacing w:after="0"/>
      </w:pPr>
      <w:r w:rsidRPr="00DD3450">
        <w:rPr>
          <w:noProof/>
          <w:lang w:eastAsia="pt-BR"/>
        </w:rPr>
        <w:drawing>
          <wp:inline distT="0" distB="0" distL="0" distR="0" wp14:anchorId="452353E1" wp14:editId="7755BC52">
            <wp:extent cx="5761832" cy="7920111"/>
            <wp:effectExtent l="0" t="0" r="0" b="508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46" cy="793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2B1F" w14:textId="32D279BE" w:rsidR="001B5BB6" w:rsidRPr="0094282E" w:rsidRDefault="00402606" w:rsidP="00402606">
      <w:pPr>
        <w:pStyle w:val="Caption"/>
        <w:rPr>
          <w:rFonts w:eastAsiaTheme="minorEastAsia"/>
          <w:szCs w:val="20"/>
        </w:rPr>
      </w:pPr>
      <w:bookmarkStart w:id="0" w:name="_Ref510207794"/>
      <w:bookmarkStart w:id="1" w:name="_Toc515007707"/>
      <w:r>
        <w:t xml:space="preserve">Figura </w:t>
      </w:r>
      <w:fldSimple w:instr=" SEQ Figura \* ARABIC ">
        <w:r w:rsidR="009379E1">
          <w:rPr>
            <w:noProof/>
          </w:rPr>
          <w:t>1</w:t>
        </w:r>
      </w:fldSimple>
      <w:bookmarkEnd w:id="0"/>
      <w:r w:rsidR="001B5BB6" w:rsidRPr="0094282E">
        <w:rPr>
          <w:rFonts w:eastAsiaTheme="minorEastAsia"/>
          <w:szCs w:val="20"/>
        </w:rPr>
        <w:t>– Probabilidade do Erro Tipo S (sinal) dado que a estação foi declarada não-estacionária (α = 0.05) para</w:t>
      </w:r>
      <w:r w:rsidR="001B5BB6" w:rsidRPr="0094282E">
        <w:rPr>
          <w:szCs w:val="20"/>
        </w:rPr>
        <w:t xml:space="preserve"> κ = -0.30 e diferentes valores de </w:t>
      </w:r>
      <m:oMath>
        <m:r>
          <m:rPr>
            <m:sty m:val="bi"/>
          </m:rPr>
          <w:rPr>
            <w:rFonts w:ascii="Cambria Math" w:hAnsi="Cambria Math"/>
            <w:szCs w:val="20"/>
          </w:rPr>
          <m:t>n=[20 40 60 80 100]</m:t>
        </m:r>
      </m:oMath>
      <w:r w:rsidR="001B5BB6" w:rsidRPr="0094282E">
        <w:rPr>
          <w:rFonts w:eastAsiaTheme="minorEastAsia"/>
          <w:szCs w:val="20"/>
        </w:rPr>
        <w:t xml:space="preserve"> e Cv = 0.2 (a), 0.6 (b) e 1.0 (c)</w:t>
      </w:r>
      <w:bookmarkEnd w:id="1"/>
      <w:r w:rsidR="001B5BB6" w:rsidRPr="0094282E">
        <w:rPr>
          <w:szCs w:val="20"/>
        </w:rPr>
        <w:t xml:space="preserve"> </w:t>
      </w:r>
    </w:p>
    <w:p w14:paraId="59EC012D" w14:textId="77777777" w:rsidR="001B5BB6" w:rsidRDefault="001B5BB6" w:rsidP="001B5BB6">
      <w:pPr>
        <w:keepNext/>
        <w:spacing w:after="0"/>
      </w:pPr>
      <w:r w:rsidRPr="00682428">
        <w:rPr>
          <w:noProof/>
          <w:lang w:eastAsia="pt-BR"/>
        </w:rPr>
        <w:drawing>
          <wp:inline distT="0" distB="0" distL="0" distR="0" wp14:anchorId="2F2690F9" wp14:editId="75946B9B">
            <wp:extent cx="5894330" cy="78919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44" cy="790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0F09" w14:textId="1F4FD308" w:rsidR="001B5BB6" w:rsidRPr="0094282E" w:rsidRDefault="001A3076" w:rsidP="001A3076">
      <w:pPr>
        <w:pStyle w:val="Caption"/>
        <w:rPr>
          <w:szCs w:val="20"/>
        </w:rPr>
      </w:pPr>
      <w:bookmarkStart w:id="2" w:name="_Ref510208450"/>
      <w:bookmarkStart w:id="3" w:name="_Toc515007708"/>
      <w:r>
        <w:t xml:space="preserve">Figura </w:t>
      </w:r>
      <w:fldSimple w:instr=" SEQ Figura \* ARABIC ">
        <w:r w:rsidR="009379E1">
          <w:rPr>
            <w:noProof/>
          </w:rPr>
          <w:t>2</w:t>
        </w:r>
      </w:fldSimple>
      <w:bookmarkEnd w:id="2"/>
      <w:r w:rsidR="001B5BB6" w:rsidRPr="0094282E">
        <w:rPr>
          <w:szCs w:val="20"/>
        </w:rPr>
        <w:t xml:space="preserve"> - Probabilidade do Erro Tipo S (sinal) dado que a estação foi declarada não-estacionária (α = 0.05) para n=50 e diferentes valores de </w:t>
      </w:r>
      <m:oMath>
        <m:r>
          <m:rPr>
            <m:sty m:val="bi"/>
          </m:rPr>
          <w:rPr>
            <w:rFonts w:ascii="Cambria Math" w:hAnsi="Cambria Math"/>
            <w:szCs w:val="20"/>
          </w:rPr>
          <m:t>Cv</m:t>
        </m:r>
        <m:r>
          <m:rPr>
            <m:sty m:val="b"/>
          </m:rPr>
          <w:rPr>
            <w:rFonts w:ascii="Cambria Math" w:hAnsi="Cambria Math"/>
            <w:szCs w:val="20"/>
          </w:rPr>
          <m:t>=[0.2 0.4 0.6 0.8 1.0]</m:t>
        </m:r>
      </m:oMath>
      <w:r w:rsidR="001B5BB6" w:rsidRPr="0094282E">
        <w:rPr>
          <w:szCs w:val="20"/>
        </w:rPr>
        <w:t xml:space="preserve"> e κ = -0.3 (a), 0.0 (b) e 0.3.0 (c)</w:t>
      </w:r>
      <w:bookmarkEnd w:id="3"/>
      <w:r w:rsidR="001B5BB6" w:rsidRPr="0094282E">
        <w:rPr>
          <w:szCs w:val="20"/>
        </w:rPr>
        <w:t xml:space="preserve"> </w:t>
      </w:r>
    </w:p>
    <w:p w14:paraId="73ABB77D" w14:textId="77777777" w:rsidR="001B5BB6" w:rsidRDefault="001B5BB6" w:rsidP="001B5BB6">
      <w:pPr>
        <w:keepNext/>
        <w:spacing w:after="0"/>
      </w:pPr>
      <w:r w:rsidRPr="00682428">
        <w:rPr>
          <w:noProof/>
          <w:lang w:eastAsia="pt-BR"/>
        </w:rPr>
        <w:drawing>
          <wp:inline distT="0" distB="0" distL="0" distR="0" wp14:anchorId="59F120A1" wp14:editId="127D9C21">
            <wp:extent cx="5948496" cy="7948246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10" cy="79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33D8" w14:textId="004F4A8A" w:rsidR="001B5BB6" w:rsidRPr="0094282E" w:rsidRDefault="003221C3" w:rsidP="003221C3">
      <w:pPr>
        <w:pStyle w:val="Caption"/>
        <w:rPr>
          <w:szCs w:val="20"/>
        </w:rPr>
      </w:pPr>
      <w:bookmarkStart w:id="4" w:name="_Ref510208707"/>
      <w:bookmarkStart w:id="5" w:name="_Toc515007709"/>
      <w:r>
        <w:t xml:space="preserve">Figura </w:t>
      </w:r>
      <w:fldSimple w:instr=" SEQ Figura \* ARABIC ">
        <w:r w:rsidR="009379E1">
          <w:rPr>
            <w:noProof/>
          </w:rPr>
          <w:t>3</w:t>
        </w:r>
      </w:fldSimple>
      <w:bookmarkEnd w:id="4"/>
      <w:r w:rsidR="001B5BB6" w:rsidRPr="0094282E">
        <w:rPr>
          <w:rFonts w:eastAsiaTheme="minorEastAsia"/>
          <w:szCs w:val="20"/>
        </w:rPr>
        <w:t xml:space="preserve"> - Probabilidade do Erro Tipo S (sinal) dado que a estação foi declarada não-estacionária (α = 0.05) para</w:t>
      </w:r>
      <w:r w:rsidR="001B5BB6" w:rsidRPr="0094282E">
        <w:rPr>
          <w:szCs w:val="20"/>
        </w:rPr>
        <w:t xml:space="preserve"> </w:t>
      </w:r>
      <w:r w:rsidR="001B5BB6" w:rsidRPr="0094282E">
        <w:rPr>
          <w:i/>
          <w:szCs w:val="20"/>
        </w:rPr>
        <w:t>n=50</w:t>
      </w:r>
      <w:r w:rsidR="001B5BB6" w:rsidRPr="0094282E">
        <w:rPr>
          <w:szCs w:val="20"/>
        </w:rPr>
        <w:t xml:space="preserve"> e diferentes valores de </w:t>
      </w:r>
      <m:oMath>
        <m:r>
          <m:rPr>
            <m:sty m:val="bi"/>
          </m:rPr>
          <w:rPr>
            <w:rFonts w:ascii="Cambria Math" w:hAnsi="Cambria Math"/>
            <w:szCs w:val="20"/>
          </w:rPr>
          <m:t>κ=[-0.3-0.1 0 0.1 0.3]</m:t>
        </m:r>
      </m:oMath>
      <w:r w:rsidR="001B5BB6" w:rsidRPr="0094282E">
        <w:rPr>
          <w:rFonts w:eastAsiaTheme="minorEastAsia"/>
          <w:szCs w:val="20"/>
        </w:rPr>
        <w:t xml:space="preserve"> e Cv = 0.2 (a), 0.6 (b) e 1.0 (c)</w:t>
      </w:r>
      <w:bookmarkEnd w:id="5"/>
      <w:r w:rsidR="001B5BB6" w:rsidRPr="0094282E">
        <w:rPr>
          <w:szCs w:val="20"/>
        </w:rPr>
        <w:t xml:space="preserve"> </w:t>
      </w:r>
    </w:p>
    <w:p w14:paraId="4BF09BA4" w14:textId="77777777" w:rsidR="001B5BB6" w:rsidRDefault="001B5BB6" w:rsidP="001B5BB6">
      <w:pPr>
        <w:spacing w:after="0"/>
        <w:rPr>
          <w:rFonts w:eastAsiaTheme="minorEastAsia" w:cs="Times New Roman"/>
          <w:szCs w:val="24"/>
        </w:rPr>
      </w:pPr>
    </w:p>
    <w:p w14:paraId="6F1C30F1" w14:textId="5006F198" w:rsidR="001B5BB6" w:rsidRPr="001B5BB6" w:rsidRDefault="001B5BB6" w:rsidP="001B5BB6">
      <w:pPr>
        <w:ind w:firstLine="720"/>
      </w:pPr>
      <w:r w:rsidRPr="001B5BB6">
        <w:t xml:space="preserve">Os resultados apresentados até aqui mostram que, em séries com alta variabilidade anual e com magnitude de tendência relativamente pequena –  características que resultam em baixo poder de um teste estatístico (depende também do parâmetro de forma </w:t>
      </w:r>
      <m:oMath>
        <m:r>
          <w:rPr>
            <w:rFonts w:ascii="Cambria Math" w:hAnsi="Cambria Math"/>
            <w:szCs w:val="20"/>
          </w:rPr>
          <m:t>κ</m:t>
        </m:r>
      </m:oMath>
      <w:r w:rsidRPr="001B5BB6">
        <w:t xml:space="preserve"> da GEV) –, a probabilidade de se obter uma estimativa da tendência com sinal trocado é relativamente alta para amostras com tamanhos geralmente constatados para as estações brasileiras, normalmente inferiores a 60 anos. </w:t>
      </w:r>
    </w:p>
    <w:p w14:paraId="2328D38E" w14:textId="67CCB625" w:rsidR="001B5BB6" w:rsidRPr="001B5BB6" w:rsidRDefault="001B5BB6" w:rsidP="001B5BB6">
      <w:pPr>
        <w:ind w:firstLine="720"/>
      </w:pPr>
      <w:r w:rsidRPr="001B5BB6">
        <w:t xml:space="preserve">A </w:t>
      </w:r>
      <w:r w:rsidR="00560033">
        <w:fldChar w:fldCharType="begin"/>
      </w:r>
      <w:r w:rsidR="00560033">
        <w:instrText xml:space="preserve"> REF _Ref510209091 \h </w:instrText>
      </w:r>
      <w:r w:rsidR="00560033">
        <w:fldChar w:fldCharType="separate"/>
      </w:r>
      <w:r w:rsidR="00560033">
        <w:t xml:space="preserve">Figura </w:t>
      </w:r>
      <w:r w:rsidR="00560033">
        <w:rPr>
          <w:noProof/>
        </w:rPr>
        <w:t>4</w:t>
      </w:r>
      <w:r w:rsidR="00560033">
        <w:fldChar w:fldCharType="end"/>
      </w:r>
      <w:r w:rsidRPr="001B5BB6">
        <w:t xml:space="preserve"> mostra que, para poder do teste com valores inferiores a 0.15, a probabilidade do Erro Tipo S pode ser bastante elevada. Esse fato é um complicador em estudos de detecção, pois pode resultar, por exemplo, em situações em que duas estações próximas venham a ser identificadas como não-estacionárias, porém uma com tendência crescente e outra com tendência decrescente, levantando dúvidas sobre a análise realizada e causando dificuldades na interpretação dos resultados. Como será visto na sequência, esse problema pode ser exacerbado porque o estimador da magnitude da tendência tende a superestimar a real magnitude quando o poder do teste é baixo.</w:t>
      </w:r>
    </w:p>
    <w:p w14:paraId="7048ADAC" w14:textId="77777777" w:rsidR="001B5BB6" w:rsidRDefault="001B5BB6" w:rsidP="001B5BB6">
      <w:pPr>
        <w:keepNext/>
        <w:spacing w:after="0"/>
      </w:pPr>
      <w:r w:rsidRPr="00765D21">
        <w:rPr>
          <w:noProof/>
          <w:lang w:eastAsia="pt-BR"/>
        </w:rPr>
        <w:drawing>
          <wp:inline distT="0" distB="0" distL="0" distR="0" wp14:anchorId="77DB5715" wp14:editId="34A8AA34">
            <wp:extent cx="5579745" cy="3326765"/>
            <wp:effectExtent l="0" t="0" r="190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9D71" w14:textId="50FA2064" w:rsidR="001B5BB6" w:rsidRPr="00DD0D58" w:rsidRDefault="003221C3" w:rsidP="003221C3">
      <w:pPr>
        <w:pStyle w:val="Caption"/>
        <w:rPr>
          <w:szCs w:val="22"/>
        </w:rPr>
      </w:pPr>
      <w:bookmarkStart w:id="6" w:name="_Ref510209091"/>
      <w:bookmarkStart w:id="7" w:name="_Toc515007710"/>
      <w:r>
        <w:t xml:space="preserve">Figura </w:t>
      </w:r>
      <w:fldSimple w:instr=" SEQ Figura \* ARABIC ">
        <w:r w:rsidR="009379E1">
          <w:rPr>
            <w:noProof/>
          </w:rPr>
          <w:t>4</w:t>
        </w:r>
      </w:fldSimple>
      <w:bookmarkEnd w:id="6"/>
      <w:r w:rsidR="001B5BB6" w:rsidRPr="00DD0D58">
        <w:rPr>
          <w:rFonts w:eastAsiaTheme="minorEastAsia"/>
          <w:szCs w:val="22"/>
        </w:rPr>
        <w:t xml:space="preserve"> – Curva que expressa a relação entre o poder do teste e a probabilidade do Erro Tipo S | significativo (%)</w:t>
      </w:r>
      <w:bookmarkEnd w:id="7"/>
    </w:p>
    <w:p w14:paraId="1D13B891" w14:textId="77777777" w:rsidR="001B5BB6" w:rsidRDefault="001B5BB6" w:rsidP="001B5BB6">
      <w:pPr>
        <w:spacing w:after="0"/>
        <w:rPr>
          <w:rFonts w:eastAsiaTheme="minorEastAsia" w:cs="Times New Roman"/>
          <w:szCs w:val="24"/>
        </w:rPr>
      </w:pPr>
    </w:p>
    <w:p w14:paraId="189C5537" w14:textId="2D2B251D" w:rsidR="001B5BB6" w:rsidRPr="001B5BB6" w:rsidRDefault="001B5BB6" w:rsidP="001B5BB6">
      <w:pPr>
        <w:spacing w:after="0"/>
        <w:ind w:firstLine="720"/>
      </w:pPr>
      <w:r w:rsidRPr="001B5BB6">
        <w:t xml:space="preserve">Os resultados do estudo Monte Carlo permitiram avaliar também o grau de tendenciosidade e a variância do estimador B_SEN para diferentes características da série. A </w:t>
      </w:r>
      <w:r w:rsidR="007B45A5">
        <w:fldChar w:fldCharType="begin"/>
      </w:r>
      <w:r w:rsidR="007B45A5">
        <w:instrText xml:space="preserve"> REF _Ref510209359 \h </w:instrText>
      </w:r>
      <w:r w:rsidR="007B45A5">
        <w:fldChar w:fldCharType="separate"/>
      </w:r>
      <w:r w:rsidR="007B45A5">
        <w:t xml:space="preserve">Figura </w:t>
      </w:r>
      <w:r w:rsidR="007B45A5">
        <w:rPr>
          <w:noProof/>
        </w:rPr>
        <w:t>5</w:t>
      </w:r>
      <w:r w:rsidR="007B45A5">
        <w:fldChar w:fldCharType="end"/>
      </w:r>
      <w:r w:rsidRPr="001B5BB6">
        <w:t xml:space="preserve"> relaciona o poder do teste com a tendenciosidade relativa do estimador B_SEN quando a série é declarada não-estacionária pelo teste MK. Salienta-se que a tendenciosidade relativa é expressa pela razão entre o valor esperado do estimador e o </w:t>
      </w:r>
      <w:r w:rsidR="00016CD6">
        <w:t xml:space="preserve">valor </w:t>
      </w:r>
      <w:r w:rsidRPr="001B5BB6">
        <w:t>real</w:t>
      </w:r>
      <w:r w:rsidR="00016CD6">
        <w:t xml:space="preserve"> (populacional)</w:t>
      </w:r>
      <w:r w:rsidRPr="001B5BB6">
        <w:t xml:space="preserve"> da magnitude,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SEN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  <w:r w:rsidRPr="001B5BB6">
        <w:t>. Pode-se observar que o estimador tende a superestimar a magnitude real, especialmente em situações em que o poder do teste é baixo. Por exemplo, em casos em que o poder do teste é da ordem de 0.50, a estimativa da magnitude da tendência pode ser, em média, 40% maior do que a magnitude real, chegando à 100% (dobro) para valores de poder iguais a 0.20. Esclarece-se que distorções como essas podem comprometer significativamente a interpretação dos resultados e as decisões de gestão de recursos hídricos ou de dimensionamento de estruturas de engenharia que venham a ser baseadas em tais achados.</w:t>
      </w:r>
    </w:p>
    <w:p w14:paraId="407DDDD8" w14:textId="77777777" w:rsidR="001B5BB6" w:rsidRPr="0094282E" w:rsidRDefault="001B5BB6" w:rsidP="001B5BB6">
      <w:pPr>
        <w:spacing w:after="0"/>
        <w:rPr>
          <w:rFonts w:eastAsiaTheme="minorEastAsia" w:cs="Times New Roman"/>
          <w:sz w:val="20"/>
          <w:szCs w:val="20"/>
        </w:rPr>
      </w:pPr>
    </w:p>
    <w:p w14:paraId="37B49085" w14:textId="77777777" w:rsidR="001B5BB6" w:rsidRPr="0094282E" w:rsidRDefault="001B5BB6" w:rsidP="001B5BB6">
      <w:pPr>
        <w:spacing w:after="0"/>
        <w:rPr>
          <w:rFonts w:eastAsiaTheme="minorEastAsia" w:cs="Times New Roman"/>
          <w:sz w:val="20"/>
          <w:szCs w:val="20"/>
        </w:rPr>
      </w:pPr>
      <w:r w:rsidRPr="0094282E">
        <w:rPr>
          <w:rFonts w:eastAsiaTheme="minorEastAsia" w:cs="Times New Roman"/>
          <w:noProof/>
          <w:sz w:val="20"/>
          <w:szCs w:val="20"/>
          <w:lang w:eastAsia="pt-BR"/>
        </w:rPr>
        <w:drawing>
          <wp:inline distT="0" distB="0" distL="0" distR="0" wp14:anchorId="4596642F" wp14:editId="358E2A01">
            <wp:extent cx="5577205" cy="2915285"/>
            <wp:effectExtent l="0" t="0" r="444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0B1F" w14:textId="1CD50551" w:rsidR="001B5BB6" w:rsidRPr="0094282E" w:rsidRDefault="00466DEE" w:rsidP="00466DEE">
      <w:pPr>
        <w:pStyle w:val="Caption"/>
        <w:rPr>
          <w:szCs w:val="20"/>
        </w:rPr>
      </w:pPr>
      <w:bookmarkStart w:id="8" w:name="_Ref510209359"/>
      <w:bookmarkStart w:id="9" w:name="_Toc515007711"/>
      <w:r>
        <w:t xml:space="preserve">Figura </w:t>
      </w:r>
      <w:fldSimple w:instr=" SEQ Figura \* ARABIC ">
        <w:r w:rsidR="009379E1">
          <w:rPr>
            <w:noProof/>
          </w:rPr>
          <w:t>5</w:t>
        </w:r>
      </w:fldSimple>
      <w:bookmarkEnd w:id="8"/>
      <w:r w:rsidR="001B5BB6" w:rsidRPr="0094282E">
        <w:rPr>
          <w:szCs w:val="20"/>
        </w:rPr>
        <w:t xml:space="preserve"> </w:t>
      </w:r>
      <w:r w:rsidR="001B5BB6" w:rsidRPr="0094282E">
        <w:rPr>
          <w:rFonts w:eastAsiaTheme="minorEastAsia"/>
          <w:szCs w:val="20"/>
        </w:rPr>
        <w:t>- Curva que expressa a relação entre o poder do teste e o valor médio estimado por B_SEN dividido por b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0"/>
                  </w:rPr>
                  <m:t>SEN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  <w:szCs w:val="20"/>
          </w:rPr>
          <m:t>/b</m:t>
        </m:r>
      </m:oMath>
      <w:r w:rsidR="001B5BB6" w:rsidRPr="0094282E">
        <w:rPr>
          <w:rFonts w:eastAsiaTheme="minorEastAsia"/>
          <w:szCs w:val="20"/>
        </w:rPr>
        <w:t>)</w:t>
      </w:r>
      <w:bookmarkEnd w:id="9"/>
    </w:p>
    <w:p w14:paraId="4CCC5EB5" w14:textId="77777777" w:rsidR="001B5BB6" w:rsidRPr="0094282E" w:rsidRDefault="001B5BB6" w:rsidP="001B5BB6">
      <w:pPr>
        <w:spacing w:after="0"/>
        <w:rPr>
          <w:rFonts w:eastAsiaTheme="minorEastAsia" w:cs="Times New Roman"/>
          <w:sz w:val="20"/>
          <w:szCs w:val="20"/>
        </w:rPr>
      </w:pPr>
    </w:p>
    <w:p w14:paraId="35A3711A" w14:textId="37D89A86" w:rsidR="001B5BB6" w:rsidRPr="001B5BB6" w:rsidRDefault="001B5BB6" w:rsidP="001B5BB6">
      <w:pPr>
        <w:ind w:firstLine="720"/>
      </w:pPr>
      <w:r w:rsidRPr="001B5BB6">
        <w:t xml:space="preserve">Além da tendenciosidade relativa do estimador, foi feita uma análise da variância do mesmo, utilizando para isso os percentis de 2.5% e 97.5% (IC) dos valores de B_SEN estimados para as 10,000 séries geradas para valores fixos de </w:t>
      </w:r>
      <w:r w:rsidRPr="00494314">
        <w:rPr>
          <w:i/>
          <w:iCs/>
        </w:rPr>
        <w:t>n</w:t>
      </w:r>
      <w:r w:rsidRPr="001B5BB6">
        <w:t xml:space="preserve">, </w:t>
      </w:r>
      <w:r w:rsidRPr="00494314">
        <w:rPr>
          <w:i/>
          <w:iCs/>
        </w:rPr>
        <w:t>Cv</w:t>
      </w:r>
      <w:r w:rsidRPr="001B5BB6">
        <w:t xml:space="preserve"> e </w:t>
      </w:r>
      <w:r w:rsidRPr="00494314">
        <w:rPr>
          <w:i/>
          <w:iCs/>
        </w:rPr>
        <w:t>κ</w:t>
      </w:r>
      <w:r w:rsidRPr="001B5BB6">
        <w:t xml:space="preserve">. Na verdade, os valores apresentados e discutidos a seguir consideram apenas os casos em que a estação foi declarada não-estacionária, utilizando-se como métrica de avaliação a denominada Largura relativa do Erro Tipo M |Significativas, que nada mais é do que a diferença entre os valores dos percentis dividida pelo valor </w:t>
      </w:r>
      <w:r w:rsidRPr="00521C8C">
        <w:rPr>
          <w:i/>
          <w:iCs/>
        </w:rPr>
        <w:t>b</w:t>
      </w:r>
      <w:r w:rsidRPr="001B5BB6">
        <w:t xml:space="preserve"> para as séries significativas. Os resultados obtidos para essa avaliação são apresentados nas </w:t>
      </w:r>
      <w:r w:rsidR="00521C8C">
        <w:fldChar w:fldCharType="begin"/>
      </w:r>
      <w:r w:rsidR="00521C8C">
        <w:instrText xml:space="preserve"> REF _Ref510209612 \h </w:instrText>
      </w:r>
      <w:r w:rsidR="00521C8C">
        <w:fldChar w:fldCharType="separate"/>
      </w:r>
      <w:r w:rsidR="00521C8C">
        <w:t xml:space="preserve">Figura </w:t>
      </w:r>
      <w:r w:rsidR="00521C8C">
        <w:rPr>
          <w:noProof/>
        </w:rPr>
        <w:t>6</w:t>
      </w:r>
      <w:r w:rsidR="00521C8C">
        <w:fldChar w:fldCharType="end"/>
      </w:r>
      <w:r w:rsidRPr="001B5BB6">
        <w:t xml:space="preserve"> e </w:t>
      </w:r>
      <w:r w:rsidR="00521C8C">
        <w:fldChar w:fldCharType="begin"/>
      </w:r>
      <w:r w:rsidR="00521C8C">
        <w:instrText xml:space="preserve"> REF _Ref510209642 \h </w:instrText>
      </w:r>
      <w:r w:rsidR="00521C8C">
        <w:fldChar w:fldCharType="separate"/>
      </w:r>
      <w:r w:rsidR="00521C8C">
        <w:t xml:space="preserve">Figura </w:t>
      </w:r>
      <w:r w:rsidR="00521C8C">
        <w:rPr>
          <w:noProof/>
        </w:rPr>
        <w:t>7</w:t>
      </w:r>
      <w:r w:rsidR="00521C8C">
        <w:fldChar w:fldCharType="end"/>
      </w:r>
      <w:r w:rsidRPr="001B5BB6">
        <w:t>, em que se pode observar que, para algumas situações de baixo poder do teste, a Largura relativa do Erro Tipo M pode chegar a valores bastante elevados, 20, por exemplo.</w:t>
      </w:r>
    </w:p>
    <w:p w14:paraId="5A36BD26" w14:textId="1790B975" w:rsidR="001B5BB6" w:rsidRPr="001B5BB6" w:rsidRDefault="001B5BB6" w:rsidP="001B5BB6">
      <w:pPr>
        <w:ind w:firstLine="720"/>
      </w:pPr>
      <w:r w:rsidRPr="001B5BB6">
        <w:t xml:space="preserve">Analisando a </w:t>
      </w:r>
      <w:r w:rsidR="00542ED6">
        <w:fldChar w:fldCharType="begin"/>
      </w:r>
      <w:r w:rsidR="00542ED6">
        <w:instrText xml:space="preserve"> REF _Ref510209612 \h </w:instrText>
      </w:r>
      <w:r w:rsidR="00542ED6">
        <w:fldChar w:fldCharType="separate"/>
      </w:r>
      <w:r w:rsidR="00542ED6">
        <w:t xml:space="preserve">Figura </w:t>
      </w:r>
      <w:r w:rsidR="00542ED6">
        <w:rPr>
          <w:noProof/>
        </w:rPr>
        <w:t>6</w:t>
      </w:r>
      <w:r w:rsidR="00542ED6">
        <w:fldChar w:fldCharType="end"/>
      </w:r>
      <w:r w:rsidRPr="001B5BB6">
        <w:t xml:space="preserve">, que apresenta a relação existente entre o tamanho amostral e a largura do intervalo de confiança obtida para um valor fixo de </w:t>
      </w:r>
      <w:r w:rsidRPr="00D52159">
        <w:rPr>
          <w:i/>
          <w:iCs/>
        </w:rPr>
        <w:t>κ</w:t>
      </w:r>
      <w:r w:rsidRPr="001B5BB6">
        <w:t xml:space="preserve"> = -0.30 e </w:t>
      </w:r>
      <w:r w:rsidRPr="00D52159">
        <w:rPr>
          <w:i/>
          <w:iCs/>
        </w:rPr>
        <w:t>b</w:t>
      </w:r>
      <w:r w:rsidRPr="001B5BB6">
        <w:t xml:space="preserve"> =0.006 e diferentes magnitudes de coeficiente de variação (</w:t>
      </w:r>
      <w:r w:rsidRPr="00D52159">
        <w:rPr>
          <w:i/>
          <w:iCs/>
        </w:rPr>
        <w:t>Cv</w:t>
      </w:r>
      <w:r w:rsidRPr="001B5BB6">
        <w:t xml:space="preserve"> = [0.2 (0.2) 1.0], nota-se que, à medida que o número de anos de dados disponíveis para uma amostra se eleva, o intervalo de confiança se estreita. Já para o coeficiente de variação, observa-se um comportamento contrário: a elevação da sua magnitude resulta em alargamento do IC, ou seja, maior variabilidade nos valores estimados para a tendência pelo B_SEN. A influência de </w:t>
      </w:r>
      <w:r w:rsidRPr="00F53172">
        <w:rPr>
          <w:i/>
          <w:iCs/>
        </w:rPr>
        <w:t>Cv</w:t>
      </w:r>
      <w:r w:rsidRPr="001B5BB6">
        <w:t xml:space="preserve"> sobre a largura de IC é mais pronunciada em amostras de tamanho reduzido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&lt;40</m:t>
        </m:r>
      </m:oMath>
      <w:r w:rsidRPr="001B5BB6">
        <w:t xml:space="preserve">), visto que o aumento do coeficiente de variação, por exemplo, de 0.20 para 1.00, resulta em diferenças que chegam a quase 25 e 1,1 vez o valor de </w:t>
      </w:r>
      <w:r w:rsidRPr="00F53172">
        <w:rPr>
          <w:i/>
          <w:iCs/>
        </w:rPr>
        <w:t>b</w:t>
      </w:r>
      <w:r w:rsidRPr="001B5BB6">
        <w:t xml:space="preserve"> simulado para, respectivamente, </w:t>
      </w:r>
      <w:r w:rsidRPr="00F53172">
        <w:rPr>
          <w:i/>
          <w:iCs/>
        </w:rPr>
        <w:t>n</w:t>
      </w:r>
      <w:r w:rsidRPr="001B5BB6">
        <w:t xml:space="preserve"> = 20 e </w:t>
      </w:r>
      <w:r w:rsidRPr="00F53172">
        <w:rPr>
          <w:i/>
          <w:iCs/>
        </w:rPr>
        <w:t>n</w:t>
      </w:r>
      <w:r w:rsidRPr="001B5BB6">
        <w:t xml:space="preserve"> = 100.</w:t>
      </w:r>
    </w:p>
    <w:p w14:paraId="01033852" w14:textId="77777777" w:rsidR="001B5BB6" w:rsidRPr="0094282E" w:rsidRDefault="001B5BB6" w:rsidP="001B5BB6">
      <w:pPr>
        <w:keepNext/>
        <w:spacing w:after="0"/>
        <w:jc w:val="center"/>
        <w:rPr>
          <w:sz w:val="20"/>
          <w:szCs w:val="20"/>
        </w:rPr>
      </w:pPr>
      <w:r w:rsidRPr="0094282E">
        <w:rPr>
          <w:rFonts w:eastAsiaTheme="minorEastAsia" w:cs="Times New Roman"/>
          <w:noProof/>
          <w:sz w:val="20"/>
          <w:szCs w:val="20"/>
          <w:lang w:eastAsia="pt-BR"/>
        </w:rPr>
        <w:drawing>
          <wp:inline distT="0" distB="0" distL="0" distR="0" wp14:anchorId="29EE346B" wp14:editId="325DAE5C">
            <wp:extent cx="5458265" cy="3705310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B_SEN_IC_CV_re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26" cy="37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946" w14:textId="035C3F52" w:rsidR="001B5BB6" w:rsidRPr="0094282E" w:rsidRDefault="00CF7E42" w:rsidP="00CF7E42">
      <w:pPr>
        <w:pStyle w:val="Caption"/>
        <w:rPr>
          <w:szCs w:val="20"/>
        </w:rPr>
      </w:pPr>
      <w:bookmarkStart w:id="10" w:name="_Ref510209612"/>
      <w:bookmarkStart w:id="11" w:name="_Toc515007712"/>
      <w:r>
        <w:t xml:space="preserve">Figura </w:t>
      </w:r>
      <w:fldSimple w:instr=" SEQ Figura \* ARABIC ">
        <w:r w:rsidR="009379E1">
          <w:rPr>
            <w:noProof/>
          </w:rPr>
          <w:t>6</w:t>
        </w:r>
      </w:fldSimple>
      <w:bookmarkEnd w:id="10"/>
      <w:r w:rsidR="001B5BB6" w:rsidRPr="0094282E">
        <w:rPr>
          <w:rFonts w:eastAsiaTheme="minorEastAsia"/>
          <w:szCs w:val="20"/>
        </w:rPr>
        <w:t xml:space="preserve"> -</w:t>
      </w:r>
      <w:r w:rsidR="001B5BB6" w:rsidRPr="0094282E">
        <w:rPr>
          <w:color w:val="222222"/>
          <w:szCs w:val="20"/>
          <w:shd w:val="clear" w:color="auto" w:fill="FFFFFF"/>
        </w:rPr>
        <w:t>Largura relativa do IC do Erro tipo M, dado que a estação foi declarada não-estacionária (alpha = 0.</w:t>
      </w:r>
      <w:r w:rsidR="00E50A2A">
        <w:rPr>
          <w:color w:val="222222"/>
          <w:szCs w:val="20"/>
          <w:shd w:val="clear" w:color="auto" w:fill="FFFFFF"/>
        </w:rPr>
        <w:t>0</w:t>
      </w:r>
      <w:r w:rsidR="001B5BB6" w:rsidRPr="0094282E">
        <w:rPr>
          <w:color w:val="222222"/>
          <w:szCs w:val="20"/>
          <w:shd w:val="clear" w:color="auto" w:fill="FFFFFF"/>
        </w:rPr>
        <w:t xml:space="preserve">5) para </w:t>
      </w:r>
      <w:r w:rsidR="001B5BB6" w:rsidRPr="00E50A2A">
        <w:rPr>
          <w:i/>
          <w:iCs/>
          <w:color w:val="222222"/>
          <w:szCs w:val="20"/>
          <w:shd w:val="clear" w:color="auto" w:fill="FFFFFF"/>
        </w:rPr>
        <w:t>κ</w:t>
      </w:r>
      <w:r w:rsidR="001B5BB6" w:rsidRPr="0094282E">
        <w:rPr>
          <w:color w:val="222222"/>
          <w:szCs w:val="20"/>
          <w:shd w:val="clear" w:color="auto" w:fill="FFFFFF"/>
        </w:rPr>
        <w:t xml:space="preserve"> = -0.3, </w:t>
      </w:r>
      <w:r w:rsidR="001B5BB6" w:rsidRPr="00E50A2A">
        <w:rPr>
          <w:i/>
          <w:iCs/>
          <w:color w:val="222222"/>
          <w:szCs w:val="20"/>
          <w:shd w:val="clear" w:color="auto" w:fill="FFFFFF"/>
        </w:rPr>
        <w:t>b</w:t>
      </w:r>
      <w:r w:rsidR="001B5BB6" w:rsidRPr="0094282E">
        <w:rPr>
          <w:color w:val="222222"/>
          <w:szCs w:val="20"/>
          <w:shd w:val="clear" w:color="auto" w:fill="FFFFFF"/>
        </w:rPr>
        <w:t xml:space="preserve"> =0.006 e diferentes valores de </w:t>
      </w:r>
      <w:r w:rsidR="001B5BB6" w:rsidRPr="00E50A2A">
        <w:rPr>
          <w:i/>
          <w:iCs/>
          <w:color w:val="222222"/>
          <w:szCs w:val="20"/>
          <w:shd w:val="clear" w:color="auto" w:fill="FFFFFF"/>
        </w:rPr>
        <w:t>Cv</w:t>
      </w:r>
      <w:r w:rsidR="001B5BB6" w:rsidRPr="0094282E">
        <w:rPr>
          <w:color w:val="222222"/>
          <w:szCs w:val="20"/>
          <w:shd w:val="clear" w:color="auto" w:fill="FFFFFF"/>
        </w:rPr>
        <w:t xml:space="preserve"> =[0.2 (0.2) 1.0] e </w:t>
      </w:r>
      <w:r w:rsidR="001B5BB6" w:rsidRPr="00643463">
        <w:rPr>
          <w:i/>
          <w:iCs/>
          <w:color w:val="222222"/>
          <w:szCs w:val="20"/>
          <w:shd w:val="clear" w:color="auto" w:fill="FFFFFF"/>
        </w:rPr>
        <w:t>n</w:t>
      </w:r>
      <w:r w:rsidR="001B5BB6" w:rsidRPr="0094282E">
        <w:rPr>
          <w:color w:val="222222"/>
          <w:szCs w:val="20"/>
          <w:shd w:val="clear" w:color="auto" w:fill="FFFFFF"/>
        </w:rPr>
        <w:t xml:space="preserve"> = [20 40 60 80 100].</w:t>
      </w:r>
      <w:bookmarkEnd w:id="11"/>
      <w:r w:rsidR="001B5BB6" w:rsidRPr="0094282E">
        <w:rPr>
          <w:color w:val="222222"/>
          <w:szCs w:val="20"/>
          <w:shd w:val="clear" w:color="auto" w:fill="FFFFFF"/>
        </w:rPr>
        <w:t xml:space="preserve"> </w:t>
      </w:r>
    </w:p>
    <w:p w14:paraId="1ACBF812" w14:textId="77777777" w:rsidR="001B5BB6" w:rsidRDefault="001B5BB6" w:rsidP="001B5BB6">
      <w:pPr>
        <w:spacing w:after="0"/>
        <w:rPr>
          <w:rFonts w:cs="Times New Roman"/>
          <w:color w:val="222222"/>
          <w:sz w:val="20"/>
          <w:szCs w:val="20"/>
          <w:shd w:val="clear" w:color="auto" w:fill="FFFFFF"/>
        </w:rPr>
      </w:pPr>
    </w:p>
    <w:p w14:paraId="1DF8904D" w14:textId="5BEC0705" w:rsidR="001B5BB6" w:rsidRPr="001B5BB6" w:rsidRDefault="001B5BB6" w:rsidP="001B5BB6">
      <w:pPr>
        <w:spacing w:after="0"/>
        <w:ind w:firstLine="720"/>
      </w:pPr>
      <w:r w:rsidRPr="001B5BB6">
        <w:t xml:space="preserve">A </w:t>
      </w:r>
      <w:r w:rsidR="00C0302C">
        <w:fldChar w:fldCharType="begin"/>
      </w:r>
      <w:r w:rsidR="00C0302C">
        <w:instrText xml:space="preserve"> REF _Ref510209642 \h </w:instrText>
      </w:r>
      <w:r w:rsidR="00C0302C">
        <w:fldChar w:fldCharType="separate"/>
      </w:r>
      <w:r w:rsidR="00C0302C">
        <w:t xml:space="preserve">Figura </w:t>
      </w:r>
      <w:r w:rsidR="00C0302C">
        <w:rPr>
          <w:noProof/>
        </w:rPr>
        <w:t>7</w:t>
      </w:r>
      <w:r w:rsidR="00C0302C">
        <w:fldChar w:fldCharType="end"/>
      </w:r>
      <w:r w:rsidRPr="001B5BB6">
        <w:t xml:space="preserve"> mostra a interdependência constatada entre o parâmetro de forma (</w:t>
      </w:r>
      <w:r w:rsidRPr="000C7EA0">
        <w:rPr>
          <w:i/>
          <w:iCs/>
        </w:rPr>
        <w:t>κ</w:t>
      </w:r>
      <w:r w:rsidRPr="001B5BB6">
        <w:t xml:space="preserve">) e a largura do IC da estimativa da magnitude da tendência por meio B_SEN, adotando-se um nível de confiança de 5%. Fixando-se os valores de </w:t>
      </w:r>
      <w:r w:rsidRPr="000C7EA0">
        <w:rPr>
          <w:i/>
          <w:iCs/>
        </w:rPr>
        <w:t>b</w:t>
      </w:r>
      <w:r w:rsidRPr="001B5BB6">
        <w:t xml:space="preserve"> = 0.006 e do </w:t>
      </w:r>
      <w:r w:rsidRPr="000C7EA0">
        <w:rPr>
          <w:i/>
          <w:iCs/>
        </w:rPr>
        <w:t>Cv</w:t>
      </w:r>
      <w:r w:rsidRPr="001B5BB6">
        <w:t xml:space="preserve"> = 0.6, construiu-se, para cada um dos κ avaliados ([-0.3, -0.1, 0, +0.1, +0.3]), curvas que expressam a relação entre as variáveis procuradas e plotadas nos pares de eixos coordenados. É interessante notar que, assim como ocorre para o </w:t>
      </w:r>
      <w:r w:rsidRPr="000C7EA0">
        <w:rPr>
          <w:i/>
          <w:iCs/>
        </w:rPr>
        <w:t>Cv</w:t>
      </w:r>
      <w:r w:rsidRPr="001B5BB6">
        <w:t xml:space="preserve">, o IC se estreita à medida que se aumenta o tamanho amostral, atingindo praticamente o valor esperado de b para séries com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≥60</m:t>
        </m:r>
      </m:oMath>
      <w:r w:rsidRPr="001B5BB6">
        <w:t>. Já o parâmetro de forma tem efeitos mais severos para amostras de tamanho reduzido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&lt;40</m:t>
        </m:r>
      </m:oMath>
      <w:r w:rsidRPr="001B5BB6">
        <w:t xml:space="preserve">, para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&lt; -0.1</m:t>
        </m:r>
      </m:oMath>
      <w:r w:rsidRPr="001B5BB6">
        <w:t xml:space="preserve"> 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&lt;60</m:t>
        </m:r>
      </m:oMath>
      <w:r w:rsidRPr="001B5BB6">
        <w:t xml:space="preserve">, para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1B5BB6">
        <w:t xml:space="preserve">) e atua de maneira significativa na dispersão dos resultados de B_SEN obtidos, sendo, para alguns casos, superiores a 25 vezes o modulo de </w:t>
      </w:r>
      <w:r w:rsidRPr="008F2A42">
        <w:rPr>
          <w:i/>
          <w:iCs/>
        </w:rPr>
        <w:t>b</w:t>
      </w:r>
      <w:r w:rsidRPr="001B5BB6">
        <w:t>.</w:t>
      </w:r>
    </w:p>
    <w:p w14:paraId="63C49191" w14:textId="77777777" w:rsidR="001B5BB6" w:rsidRPr="0094282E" w:rsidRDefault="001B5BB6" w:rsidP="001B5BB6">
      <w:pPr>
        <w:keepNext/>
        <w:spacing w:after="0"/>
        <w:rPr>
          <w:sz w:val="20"/>
          <w:szCs w:val="20"/>
        </w:rPr>
      </w:pPr>
      <w:r w:rsidRPr="0094282E">
        <w:rPr>
          <w:rFonts w:eastAsiaTheme="minorEastAsia" w:cs="Times New Roman"/>
          <w:noProof/>
          <w:sz w:val="20"/>
          <w:szCs w:val="20"/>
          <w:lang w:eastAsia="pt-BR"/>
        </w:rPr>
        <w:drawing>
          <wp:inline distT="0" distB="0" distL="0" distR="0" wp14:anchorId="4EF6CFD2" wp14:editId="6D8F814E">
            <wp:extent cx="5579745" cy="3787775"/>
            <wp:effectExtent l="0" t="0" r="1905" b="3175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B_SEN_IC_k_rev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7261" w14:textId="0CA4CD57" w:rsidR="00D643FB" w:rsidRPr="0079645A" w:rsidRDefault="009379E1" w:rsidP="0079645A">
      <w:pPr>
        <w:pStyle w:val="Caption"/>
        <w:rPr>
          <w:color w:val="222222"/>
          <w:szCs w:val="20"/>
          <w:shd w:val="clear" w:color="auto" w:fill="FFFFFF"/>
        </w:rPr>
      </w:pPr>
      <w:bookmarkStart w:id="12" w:name="_Ref510209642"/>
      <w:bookmarkStart w:id="13" w:name="_Toc515007713"/>
      <w:r>
        <w:t xml:space="preserve">Figura </w:t>
      </w:r>
      <w:fldSimple w:instr=" SEQ Figura \* ARABIC ">
        <w:r>
          <w:rPr>
            <w:noProof/>
          </w:rPr>
          <w:t>7</w:t>
        </w:r>
      </w:fldSimple>
      <w:bookmarkEnd w:id="12"/>
      <w:r w:rsidR="001B5BB6" w:rsidRPr="0094282E">
        <w:rPr>
          <w:color w:val="222222"/>
          <w:szCs w:val="20"/>
          <w:shd w:val="clear" w:color="auto" w:fill="FFFFFF"/>
        </w:rPr>
        <w:t xml:space="preserve"> - Largura relativa do IC do Erro tipo M dado que a estação foi declarada não-estacionária (alpha = 0.</w:t>
      </w:r>
      <w:r w:rsidR="007249B9">
        <w:rPr>
          <w:color w:val="222222"/>
          <w:szCs w:val="20"/>
          <w:shd w:val="clear" w:color="auto" w:fill="FFFFFF"/>
        </w:rPr>
        <w:t>0</w:t>
      </w:r>
      <w:r w:rsidR="001B5BB6" w:rsidRPr="0094282E">
        <w:rPr>
          <w:color w:val="222222"/>
          <w:szCs w:val="20"/>
          <w:shd w:val="clear" w:color="auto" w:fill="FFFFFF"/>
        </w:rPr>
        <w:t xml:space="preserve">5) para </w:t>
      </w:r>
      <w:r w:rsidR="001B5BB6" w:rsidRPr="007249B9">
        <w:rPr>
          <w:i/>
          <w:iCs/>
          <w:color w:val="222222"/>
          <w:szCs w:val="20"/>
          <w:shd w:val="clear" w:color="auto" w:fill="FFFFFF"/>
        </w:rPr>
        <w:t>Cv</w:t>
      </w:r>
      <w:r w:rsidR="001B5BB6" w:rsidRPr="0094282E">
        <w:rPr>
          <w:color w:val="222222"/>
          <w:szCs w:val="20"/>
          <w:shd w:val="clear" w:color="auto" w:fill="FFFFFF"/>
        </w:rPr>
        <w:t xml:space="preserve"> = 0.6, </w:t>
      </w:r>
      <w:r w:rsidR="001B5BB6" w:rsidRPr="007249B9">
        <w:rPr>
          <w:i/>
          <w:iCs/>
          <w:color w:val="222222"/>
          <w:szCs w:val="20"/>
          <w:shd w:val="clear" w:color="auto" w:fill="FFFFFF"/>
        </w:rPr>
        <w:t>b</w:t>
      </w:r>
      <w:r w:rsidR="001B5BB6" w:rsidRPr="0094282E">
        <w:rPr>
          <w:color w:val="222222"/>
          <w:szCs w:val="20"/>
          <w:shd w:val="clear" w:color="auto" w:fill="FFFFFF"/>
        </w:rPr>
        <w:t xml:space="preserve"> = 0.006 e diferentes valores de </w:t>
      </w:r>
      <w:r w:rsidR="001B5BB6" w:rsidRPr="007249B9">
        <w:rPr>
          <w:i/>
          <w:iCs/>
          <w:color w:val="222222"/>
          <w:szCs w:val="20"/>
          <w:shd w:val="clear" w:color="auto" w:fill="FFFFFF"/>
        </w:rPr>
        <w:t>κ</w:t>
      </w:r>
      <w:r w:rsidR="001B5BB6" w:rsidRPr="0094282E">
        <w:rPr>
          <w:color w:val="222222"/>
          <w:szCs w:val="20"/>
          <w:shd w:val="clear" w:color="auto" w:fill="FFFFFF"/>
        </w:rPr>
        <w:t xml:space="preserve"> =[-0.3 -0.1 0 0.1 0.3] e </w:t>
      </w:r>
      <w:r w:rsidR="001B5BB6" w:rsidRPr="007249B9">
        <w:rPr>
          <w:i/>
          <w:iCs/>
          <w:color w:val="222222"/>
          <w:szCs w:val="20"/>
          <w:shd w:val="clear" w:color="auto" w:fill="FFFFFF"/>
        </w:rPr>
        <w:t>n</w:t>
      </w:r>
      <w:r w:rsidR="001B5BB6" w:rsidRPr="0094282E">
        <w:rPr>
          <w:color w:val="222222"/>
          <w:szCs w:val="20"/>
          <w:shd w:val="clear" w:color="auto" w:fill="FFFFFF"/>
        </w:rPr>
        <w:t xml:space="preserve"> = [20 40 60 80 100].</w:t>
      </w:r>
      <w:bookmarkEnd w:id="13"/>
    </w:p>
    <w:p w14:paraId="7AAF0699" w14:textId="381666D9" w:rsidR="00621763" w:rsidRDefault="009A063A" w:rsidP="00A46F43">
      <w:pPr>
        <w:pStyle w:val="Heading1"/>
      </w:pPr>
      <w:r>
        <w:t>Considerações Finais</w:t>
      </w:r>
    </w:p>
    <w:p w14:paraId="4E7469E6" w14:textId="6F62397F" w:rsidR="001B5BB6" w:rsidRPr="00923A74" w:rsidRDefault="00923A74" w:rsidP="001B5BB6">
      <w:pPr>
        <w:rPr>
          <w:szCs w:val="24"/>
        </w:rPr>
      </w:pPr>
      <w:r>
        <w:rPr>
          <w:szCs w:val="24"/>
        </w:rPr>
        <w:t>A</w:t>
      </w:r>
      <w:r w:rsidRPr="00923A74">
        <w:rPr>
          <w:szCs w:val="24"/>
        </w:rPr>
        <w:t xml:space="preserve"> probabilidade de se estimar a magnitude da tendência com o sinal trocado (erro Tipo S) empregando o estimador proposto por Sen (1968), muito utilizado em estimativas de magnitudes de mudança, não é desprezível. Por exemplo, verificou-se que a probabilidade do erro Tipo S pode variar de 5% a 45% para valores de poder do teste inferiores a 10%, valor esse observado quando a série é distribuída por uma distribuição Gumbel (</w:t>
      </w:r>
      <w:r w:rsidRPr="00923A74">
        <w:rPr>
          <w:i/>
          <w:szCs w:val="24"/>
        </w:rPr>
        <w:t>κ</w:t>
      </w:r>
      <w:r w:rsidRPr="00923A74">
        <w:rPr>
          <w:szCs w:val="24"/>
        </w:rPr>
        <w:t xml:space="preserve"> = 0), com 30 anos de dados, </w:t>
      </w:r>
      <w:r w:rsidRPr="00923A74">
        <w:rPr>
          <w:i/>
          <w:szCs w:val="24"/>
        </w:rPr>
        <w:t>C</w:t>
      </w:r>
      <w:r w:rsidRPr="00923A74">
        <w:rPr>
          <w:i/>
          <w:szCs w:val="24"/>
          <w:vertAlign w:val="subscript"/>
        </w:rPr>
        <w:t>v</w:t>
      </w:r>
      <w:r w:rsidRPr="00923A74">
        <w:rPr>
          <w:szCs w:val="24"/>
        </w:rPr>
        <w:t xml:space="preserve"> = 1, e tendência monotônica de 10% por década em relação à média da série. </w:t>
      </w:r>
      <w:r>
        <w:rPr>
          <w:szCs w:val="24"/>
        </w:rPr>
        <w:t>Esse fato já havia sido evidenciado por Gelman e Carlin</w:t>
      </w:r>
      <w:r w:rsidRPr="00093A64">
        <w:rPr>
          <w:szCs w:val="24"/>
        </w:rPr>
        <w:t xml:space="preserve"> </w:t>
      </w:r>
      <w:r>
        <w:rPr>
          <w:szCs w:val="24"/>
        </w:rPr>
        <w:t>(</w:t>
      </w:r>
      <w:r w:rsidRPr="00093A64">
        <w:rPr>
          <w:szCs w:val="24"/>
        </w:rPr>
        <w:t>2014</w:t>
      </w:r>
      <w:r>
        <w:rPr>
          <w:szCs w:val="24"/>
        </w:rPr>
        <w:t xml:space="preserve">), que apontaram para chances próximas de 40% ou mais de acometimento de erros tipo S para situações de resultado significativos localmente no nível de significância de 5%. </w:t>
      </w:r>
      <w:r w:rsidR="00E90248">
        <w:rPr>
          <w:szCs w:val="24"/>
        </w:rPr>
        <w:t xml:space="preserve">Os mesmos autores pontuam ainda que a probabilidade de um erro tipo S não é a mesma que </w:t>
      </w:r>
      <w:r w:rsidR="00E90248" w:rsidRPr="00E90248">
        <w:rPr>
          <w:i/>
          <w:szCs w:val="24"/>
        </w:rPr>
        <w:t>o valor p</w:t>
      </w:r>
      <w:r w:rsidR="00E90248">
        <w:rPr>
          <w:szCs w:val="24"/>
        </w:rPr>
        <w:t xml:space="preserve"> ou nível de significância, o que é desconhecido até mesmo por usuários avançados de técnicas estatísticas. </w:t>
      </w:r>
    </w:p>
    <w:p w14:paraId="2D983318" w14:textId="63327C08" w:rsidR="001B5BB6" w:rsidRPr="00923A74" w:rsidRDefault="001B5BB6" w:rsidP="001B5BB6">
      <w:pPr>
        <w:rPr>
          <w:rFonts w:eastAsiaTheme="minorEastAsia"/>
          <w:szCs w:val="24"/>
        </w:rPr>
      </w:pPr>
      <w:r w:rsidRPr="00923A74">
        <w:rPr>
          <w:szCs w:val="24"/>
        </w:rPr>
        <w:t xml:space="preserve">A estimativa de magnitude de tendência com sinal trocado pode causar interpretações equivocadas sobre os resultados de análise de tendência e pode resultar em decisões equivocadas sobre investimentos em adaptação. Ainda em relação à magnitude da tendência, os resultados da simulação Monte Carlo apontam que o estimador proposto por Sen (1968) tende a superestimar a magnitude (erro Tipo M) quando o poder do teste MK é baixo. </w:t>
      </w:r>
      <w:r w:rsidRPr="00923A74">
        <w:rPr>
          <w:rFonts w:cs="Times New Roman"/>
          <w:szCs w:val="24"/>
          <w:lang w:eastAsia="pt-BR"/>
        </w:rPr>
        <w:t>O valor estimado da magnitude da tendência, em média, pode ser 1,5 vezes maior que o valor real quando o poder do teste é igual a 0,40, podendo ainda ser até 5 vezes maior do que o valor real, em média, quando o poder do teste é igual a 0,05.</w:t>
      </w:r>
    </w:p>
    <w:p w14:paraId="5106E048" w14:textId="06A29D68" w:rsidR="001B5BB6" w:rsidRPr="00923A74" w:rsidRDefault="005D5E57" w:rsidP="001B5BB6">
      <w:pPr>
        <w:rPr>
          <w:szCs w:val="24"/>
        </w:rPr>
      </w:pPr>
      <w:r>
        <w:rPr>
          <w:rFonts w:eastAsiaTheme="minorEastAsia"/>
          <w:szCs w:val="24"/>
        </w:rPr>
        <w:t>E</w:t>
      </w:r>
      <w:r w:rsidR="001B5BB6" w:rsidRPr="00923A74">
        <w:rPr>
          <w:rFonts w:eastAsiaTheme="minorEastAsia"/>
          <w:szCs w:val="24"/>
        </w:rPr>
        <w:t xml:space="preserve">sses resultados mostram também que, em séries com alta variabilidade anual e com magnitude de tendência relativamente pequena –  características que resultam em baixo poder de um teste estatístico (depende também do parâmetro de forma </w:t>
      </w:r>
      <w:r w:rsidR="001B5BB6" w:rsidRPr="00923A74">
        <w:rPr>
          <w:rFonts w:eastAsiaTheme="minorEastAsia"/>
          <w:i/>
          <w:szCs w:val="24"/>
        </w:rPr>
        <w:t>κ</w:t>
      </w:r>
      <w:r w:rsidR="001B5BB6" w:rsidRPr="00923A74">
        <w:rPr>
          <w:rFonts w:eastAsiaTheme="minorEastAsia"/>
          <w:szCs w:val="24"/>
        </w:rPr>
        <w:t xml:space="preserve"> da GEV) –, a probabilidade de se obter uma estimativa da tendência com sinal trocado é relativamente alta para amostras com tamanhos geralmente constatados para as estações brasileiras, normalmente inferiores a 60 anos</w:t>
      </w:r>
    </w:p>
    <w:p w14:paraId="4F6632D9" w14:textId="2357F0B7" w:rsidR="00741285" w:rsidRPr="007A18F5" w:rsidRDefault="00741285" w:rsidP="00741285">
      <w:pPr>
        <w:pStyle w:val="Referencias"/>
      </w:pPr>
      <w:r w:rsidRPr="007A18F5">
        <w:t>Referências</w:t>
      </w:r>
    </w:p>
    <w:p w14:paraId="78A35556" w14:textId="77777777" w:rsidR="00287E6B" w:rsidRPr="00144C78" w:rsidRDefault="00287E6B" w:rsidP="00287E6B">
      <w:pPr>
        <w:ind w:left="426" w:hanging="426"/>
      </w:pPr>
      <w:r w:rsidRPr="00CD03CE">
        <w:t xml:space="preserve">AghaKouchak, A. </w:t>
      </w:r>
      <w:r w:rsidRPr="00CD03CE">
        <w:rPr>
          <w:i/>
        </w:rPr>
        <w:t>et al.</w:t>
      </w:r>
      <w:r w:rsidRPr="00CD03CE">
        <w:t xml:space="preserve"> </w:t>
      </w:r>
      <w:r w:rsidRPr="0095500E">
        <w:rPr>
          <w:lang w:val="en-US"/>
        </w:rPr>
        <w:t xml:space="preserve">(Eds.), 2013. </w:t>
      </w:r>
      <w:r w:rsidRPr="00844C8F">
        <w:rPr>
          <w:i/>
          <w:lang w:val="en-US"/>
        </w:rPr>
        <w:t>Extremes in a Changing Climate</w:t>
      </w:r>
      <w:r>
        <w:rPr>
          <w:i/>
          <w:lang w:val="en-US"/>
        </w:rPr>
        <w:t>: Detection, Analysis and Uncertainty</w:t>
      </w:r>
      <w:r w:rsidRPr="00844C8F">
        <w:rPr>
          <w:lang w:val="en-US"/>
        </w:rPr>
        <w:t>,</w:t>
      </w:r>
      <w:r>
        <w:rPr>
          <w:lang w:val="en-US"/>
        </w:rPr>
        <w:t xml:space="preserve"> Water in Science Technology Library, Volume 65. </w:t>
      </w:r>
      <w:r w:rsidRPr="00144C78">
        <w:t>Springer, New York, NY.</w:t>
      </w:r>
    </w:p>
    <w:p w14:paraId="2D0DCB7D" w14:textId="77777777" w:rsidR="00287E6B" w:rsidRDefault="00287E6B" w:rsidP="00287E6B">
      <w:pPr>
        <w:ind w:left="426" w:hanging="426"/>
      </w:pPr>
      <w:r>
        <w:t xml:space="preserve">ANA (Agência Nacional de Águas), 2016. Mudanças Climáticas e Recursos Hídricos: Avaliação e Diretrizes para Adaptação. Agência Nacional de Água, Brasília. </w:t>
      </w:r>
    </w:p>
    <w:p w14:paraId="05444F02" w14:textId="77777777" w:rsidR="00287E6B" w:rsidRDefault="00287E6B" w:rsidP="00287E6B">
      <w:pPr>
        <w:ind w:left="426" w:hanging="426"/>
        <w:rPr>
          <w:lang w:val="en-US"/>
        </w:rPr>
      </w:pPr>
      <w:r w:rsidRPr="00144C78">
        <w:t xml:space="preserve">ASCE, 2018. </w:t>
      </w:r>
      <w:r w:rsidRPr="00144C78">
        <w:rPr>
          <w:i/>
        </w:rPr>
        <w:t>Climate-Resilient Infrastructure: Adaptive Design and Risk Management.</w:t>
      </w:r>
      <w:r w:rsidRPr="00144C78">
        <w:t xml:space="preserve"> </w:t>
      </w:r>
      <w:r w:rsidRPr="004F5E2F">
        <w:rPr>
          <w:lang w:val="en-US"/>
        </w:rPr>
        <w:t xml:space="preserve">ASCE manuals and </w:t>
      </w:r>
      <w:r>
        <w:rPr>
          <w:lang w:val="en-US"/>
        </w:rPr>
        <w:t>reports on engineering practice</w:t>
      </w:r>
      <w:r w:rsidRPr="004F5E2F">
        <w:rPr>
          <w:lang w:val="en-US"/>
        </w:rPr>
        <w:t xml:space="preserve"> no. 140</w:t>
      </w:r>
      <w:r>
        <w:rPr>
          <w:lang w:val="en-US"/>
        </w:rPr>
        <w:t>.</w:t>
      </w:r>
      <w:r w:rsidRPr="004F5E2F">
        <w:rPr>
          <w:lang w:val="en-US"/>
        </w:rPr>
        <w:t xml:space="preserve">  </w:t>
      </w:r>
      <w:r>
        <w:rPr>
          <w:lang w:val="en-US"/>
        </w:rPr>
        <w:t>Reston, VA. American Society of Civil Engineers.</w:t>
      </w:r>
      <w:r w:rsidRPr="00844C8F">
        <w:rPr>
          <w:lang w:val="en-US"/>
        </w:rPr>
        <w:t xml:space="preserve"> </w:t>
      </w:r>
    </w:p>
    <w:p w14:paraId="2897B5FA" w14:textId="77777777" w:rsidR="00287E6B" w:rsidRPr="00144C78" w:rsidRDefault="00287E6B" w:rsidP="00287E6B">
      <w:pPr>
        <w:ind w:left="567" w:hanging="567"/>
        <w:rPr>
          <w:lang w:val="en-US"/>
        </w:rPr>
      </w:pPr>
      <w:r w:rsidRPr="00144C78">
        <w:rPr>
          <w:lang w:val="en-US"/>
        </w:rPr>
        <w:t>Ball, J. Babister, M., Nathan, R., Weeks, W., Weinmann, E., Retalick, E., Testoni, I. (2016). Australian Rainfall and Runof: A Guide to Flood Estimation.</w:t>
      </w:r>
    </w:p>
    <w:p w14:paraId="5F2CFEC7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Bayazit, M., Fernandez, B. &amp; Salas, J., 2001. Return Period and Risk of Hydrologic Events. I: Mathematical Formulation. </w:t>
      </w:r>
      <w:r w:rsidRPr="00844C8F">
        <w:rPr>
          <w:i/>
          <w:lang w:val="en-US"/>
        </w:rPr>
        <w:t>Journal of Hydrologic Engineering</w:t>
      </w:r>
      <w:r>
        <w:rPr>
          <w:lang w:val="en-US"/>
        </w:rPr>
        <w:t>, 6, p.358.</w:t>
      </w:r>
    </w:p>
    <w:p w14:paraId="5C36F2A8" w14:textId="77777777" w:rsidR="00287E6B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Borgomeo, E. et al., 2018. Risk, Robustness and Water Resources Planning Under Uncertainty. </w:t>
      </w:r>
      <w:r w:rsidRPr="00844C8F">
        <w:rPr>
          <w:i/>
          <w:lang w:val="en-US"/>
        </w:rPr>
        <w:t>Earth's Future</w:t>
      </w:r>
      <w:r>
        <w:rPr>
          <w:lang w:val="en-US"/>
        </w:rPr>
        <w:t>, 6(3), pp.468–487.</w:t>
      </w:r>
    </w:p>
    <w:p w14:paraId="4307F31E" w14:textId="77777777" w:rsidR="00287E6B" w:rsidRPr="00144C78" w:rsidRDefault="00287E6B" w:rsidP="00287E6B">
      <w:pPr>
        <w:ind w:left="567" w:hanging="567"/>
        <w:rPr>
          <w:lang w:val="en-US"/>
        </w:rPr>
      </w:pPr>
      <w:r w:rsidRPr="00144C78">
        <w:rPr>
          <w:lang w:val="en-US"/>
        </w:rPr>
        <w:t xml:space="preserve">Borgomeo, E., Hall, J. Fung, F., Watts, G., Colquhoun, K., Lambert, C. (2014). Risk-based water resources planning: incorporating probabilistic nonstationary climate uncertainties. </w:t>
      </w:r>
      <w:r w:rsidRPr="00144C78">
        <w:rPr>
          <w:i/>
          <w:lang w:val="en-US"/>
        </w:rPr>
        <w:t>Water Resoures Reasearch</w:t>
      </w:r>
      <w:r w:rsidRPr="00144C78">
        <w:rPr>
          <w:lang w:val="en-US"/>
        </w:rPr>
        <w:t>, 50, 6850-6873, doi: 10.1002/2014WR015558.</w:t>
      </w:r>
    </w:p>
    <w:p w14:paraId="2306A8CE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Brown, C. et al., 2011. A Decision-Analytic Approach to Managing Climate Risks: Application to the Upper Great Lakes1. </w:t>
      </w:r>
      <w:r w:rsidRPr="00844C8F">
        <w:rPr>
          <w:i/>
          <w:lang w:val="en-US"/>
        </w:rPr>
        <w:t>JAWRA Journal of the American Water Resources Association</w:t>
      </w:r>
      <w:r>
        <w:rPr>
          <w:lang w:val="en-US"/>
        </w:rPr>
        <w:t>, 47(3), pp.524–534.</w:t>
      </w:r>
    </w:p>
    <w:p w14:paraId="5186B7AF" w14:textId="77777777" w:rsidR="00287E6B" w:rsidRPr="004B4E73" w:rsidRDefault="00287E6B" w:rsidP="00287E6B">
      <w:pPr>
        <w:ind w:left="567" w:hanging="567"/>
        <w:rPr>
          <w:lang w:val="en-US"/>
        </w:rPr>
      </w:pPr>
      <w:r w:rsidRPr="004B4E73">
        <w:rPr>
          <w:lang w:val="en-US"/>
        </w:rPr>
        <w:t>B</w:t>
      </w:r>
      <w:r>
        <w:rPr>
          <w:lang w:val="en-US"/>
        </w:rPr>
        <w:t xml:space="preserve">urn, D., </w:t>
      </w:r>
      <w:r w:rsidRPr="004B4E73">
        <w:rPr>
          <w:lang w:val="en-US"/>
        </w:rPr>
        <w:t>F</w:t>
      </w:r>
      <w:r>
        <w:rPr>
          <w:lang w:val="en-US"/>
        </w:rPr>
        <w:t>an, L.,</w:t>
      </w:r>
      <w:r w:rsidRPr="004B4E73">
        <w:rPr>
          <w:lang w:val="en-US"/>
        </w:rPr>
        <w:t xml:space="preserve"> B</w:t>
      </w:r>
      <w:r>
        <w:rPr>
          <w:lang w:val="en-US"/>
        </w:rPr>
        <w:t>ell, G.</w:t>
      </w:r>
      <w:r w:rsidRPr="004B4E73">
        <w:rPr>
          <w:lang w:val="en-US"/>
        </w:rPr>
        <w:t xml:space="preserve"> (2008)</w:t>
      </w:r>
      <w:r>
        <w:rPr>
          <w:lang w:val="en-US"/>
        </w:rPr>
        <w:t>.</w:t>
      </w:r>
      <w:r w:rsidRPr="004B4E73">
        <w:rPr>
          <w:lang w:val="en-US"/>
        </w:rPr>
        <w:t xml:space="preserve"> Identification and quantification of streamflow trends on the Canadian Prairies, </w:t>
      </w:r>
      <w:r w:rsidRPr="004B4E73">
        <w:rPr>
          <w:i/>
          <w:lang w:val="en-US"/>
        </w:rPr>
        <w:t>Hydrological Sciences Journal</w:t>
      </w:r>
      <w:r w:rsidRPr="004B4E73">
        <w:rPr>
          <w:lang w:val="en-US"/>
        </w:rPr>
        <w:t xml:space="preserve">, 53:3, 538-549, DOI: 10.1623/hysj.53.3.538 </w:t>
      </w:r>
    </w:p>
    <w:p w14:paraId="38418E0A" w14:textId="77777777" w:rsidR="00287E6B" w:rsidRPr="00AE6EEB" w:rsidRDefault="00287E6B" w:rsidP="00287E6B">
      <w:pPr>
        <w:ind w:left="567" w:hanging="567"/>
        <w:rPr>
          <w:lang w:val="en-US"/>
        </w:rPr>
      </w:pPr>
      <w:r w:rsidRPr="00144C78">
        <w:t xml:space="preserve">Coch, A., Luis Mediero, L. (2016). </w:t>
      </w:r>
      <w:r w:rsidRPr="00AE6EEB">
        <w:rPr>
          <w:lang w:val="en-US"/>
        </w:rPr>
        <w:t>Trends in low flows in Spain in the period 1949</w:t>
      </w:r>
      <w:r w:rsidRPr="00AE6EEB">
        <w:rPr>
          <w:rFonts w:hint="eastAsia"/>
          <w:lang w:val="en-US"/>
        </w:rPr>
        <w:t>–</w:t>
      </w:r>
      <w:r w:rsidRPr="00AE6EEB">
        <w:rPr>
          <w:lang w:val="en-US"/>
        </w:rPr>
        <w:t xml:space="preserve">2009, </w:t>
      </w:r>
      <w:r w:rsidRPr="00073A33">
        <w:rPr>
          <w:i/>
          <w:lang w:val="en-US"/>
        </w:rPr>
        <w:t>Hydrological Sciences Journal</w:t>
      </w:r>
      <w:r w:rsidRPr="00AE6EEB">
        <w:rPr>
          <w:lang w:val="en-US"/>
        </w:rPr>
        <w:t xml:space="preserve">, 61:3, 568-584, DOI: 10.1080/02626667.2015.1081202 </w:t>
      </w:r>
    </w:p>
    <w:p w14:paraId="45F2EAD4" w14:textId="77777777" w:rsidR="00287E6B" w:rsidRDefault="00287E6B" w:rsidP="00287E6B">
      <w:pPr>
        <w:ind w:left="567" w:hanging="567"/>
        <w:rPr>
          <w:lang w:val="en-US"/>
        </w:rPr>
      </w:pPr>
      <w:r w:rsidRPr="000C1C0A">
        <w:rPr>
          <w:lang w:val="en-US"/>
        </w:rPr>
        <w:t>C</w:t>
      </w:r>
      <w:r>
        <w:rPr>
          <w:lang w:val="en-US"/>
        </w:rPr>
        <w:t>raig</w:t>
      </w:r>
      <w:r w:rsidRPr="000C1C0A">
        <w:rPr>
          <w:lang w:val="en-US"/>
        </w:rPr>
        <w:t xml:space="preserve">, R. K. (2010). Stationarity Is Dead - Long live transformation: Five principles for climate change adaptation law. </w:t>
      </w:r>
      <w:r w:rsidRPr="000C1C0A">
        <w:rPr>
          <w:i/>
          <w:lang w:val="en-US"/>
        </w:rPr>
        <w:t>Harvard Environ</w:t>
      </w:r>
      <w:r w:rsidRPr="000C1C0A">
        <w:rPr>
          <w:lang w:val="en-US"/>
        </w:rPr>
        <w:t>, Rev</w:t>
      </w:r>
      <w:r w:rsidRPr="000C1C0A">
        <w:rPr>
          <w:i/>
          <w:lang w:val="en-US"/>
        </w:rPr>
        <w:t>.</w:t>
      </w:r>
      <w:r w:rsidRPr="000C1C0A">
        <w:rPr>
          <w:lang w:val="en-US"/>
        </w:rPr>
        <w:t>, 34 (1), pp. 9-75.</w:t>
      </w:r>
    </w:p>
    <w:p w14:paraId="13278EA6" w14:textId="2F0F7819" w:rsidR="00287E6B" w:rsidRDefault="00287E6B" w:rsidP="00287E6B">
      <w:pPr>
        <w:ind w:left="567" w:hanging="567"/>
        <w:rPr>
          <w:lang w:val="en-US"/>
        </w:rPr>
      </w:pPr>
      <w:r w:rsidRPr="00C1680D">
        <w:rPr>
          <w:lang w:val="en-US"/>
        </w:rPr>
        <w:t xml:space="preserve">England, J.F., Jr., Cohn, T.A., Faber, B.A., Stedinger, J.R., Thomas, W.O., Jr., Veilleux, A.G., Kiang, J.E., and Mason, R.R., Jr. (2018). Guidelines for determining flood flow frequency—Bulletin 17C: U.S. Geological Survey Techniques and Methods, book 4, chap. B5, 148 p. </w:t>
      </w:r>
    </w:p>
    <w:p w14:paraId="6F9842A7" w14:textId="77777777" w:rsidR="00287E6B" w:rsidRDefault="00287E6B" w:rsidP="00287E6B">
      <w:pPr>
        <w:ind w:left="567" w:hanging="567"/>
        <w:rPr>
          <w:lang w:val="en-US"/>
        </w:rPr>
      </w:pPr>
      <w:r>
        <w:rPr>
          <w:lang w:val="en-US"/>
        </w:rPr>
        <w:t>Franks, S.W. (2014). Flood risk in Eastern Australia: climate variability and change. In: Beven, K., Hall, J. (Eds.). Applied uncertainty analysis for flood risk management. Imperial College Press, London.</w:t>
      </w:r>
    </w:p>
    <w:p w14:paraId="3F420464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Galloway, G.E., 2011. If Stationarity is Dead, What Do We Do Now?1. </w:t>
      </w:r>
      <w:r w:rsidRPr="00844C8F">
        <w:rPr>
          <w:i/>
          <w:lang w:val="en-US"/>
        </w:rPr>
        <w:t>JAWRA Journal of the American Water Resources Association</w:t>
      </w:r>
      <w:r>
        <w:rPr>
          <w:lang w:val="en-US"/>
        </w:rPr>
        <w:t>, 47(3), pp.563–570.</w:t>
      </w:r>
    </w:p>
    <w:p w14:paraId="62AF56C1" w14:textId="77777777" w:rsidR="00287E6B" w:rsidRPr="00144C78" w:rsidRDefault="00287E6B" w:rsidP="00287E6B">
      <w:pPr>
        <w:ind w:left="426" w:hanging="426"/>
        <w:rPr>
          <w:lang w:val="en-US"/>
        </w:rPr>
      </w:pPr>
      <w:r w:rsidRPr="00144C78">
        <w:rPr>
          <w:lang w:val="en-US"/>
        </w:rPr>
        <w:t>He, H., Cheng, Y., Cheng, N., Lu, Y., Singh, S. (2017). Variability of Hydrological Processes and Systems in a Changing Environment. In: Vinjay, S. (Ed.), Handbook of Applied Hydrology, Second Edition. McGraw-Hill Education.</w:t>
      </w:r>
    </w:p>
    <w:p w14:paraId="7BA00F90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Hirsch, R.M., 2011. A Perspective on Nonstationarity and Water Management1. </w:t>
      </w:r>
      <w:r w:rsidRPr="00844C8F">
        <w:rPr>
          <w:i/>
          <w:lang w:val="en-US"/>
        </w:rPr>
        <w:t>JAWRA Journal of the American Water Resources Association</w:t>
      </w:r>
      <w:r w:rsidRPr="00844C8F">
        <w:rPr>
          <w:lang w:val="en-US"/>
        </w:rPr>
        <w:t>, 47(3), pp.436–</w:t>
      </w:r>
      <w:r>
        <w:rPr>
          <w:lang w:val="en-US"/>
        </w:rPr>
        <w:t>446.</w:t>
      </w:r>
    </w:p>
    <w:p w14:paraId="46820544" w14:textId="77777777" w:rsidR="00287E6B" w:rsidRPr="00980302" w:rsidRDefault="00287E6B" w:rsidP="00287E6B">
      <w:pPr>
        <w:ind w:left="567" w:hanging="567"/>
        <w:rPr>
          <w:lang w:val="en-US"/>
        </w:rPr>
      </w:pPr>
      <w:r>
        <w:rPr>
          <w:lang w:val="en-US"/>
        </w:rPr>
        <w:t>IPCC (2013).</w:t>
      </w:r>
      <w:r w:rsidRPr="00980302">
        <w:rPr>
          <w:lang w:val="en-US"/>
        </w:rPr>
        <w:t xml:space="preserve"> Contribution of Working Group I to the Fifth Assessment Report of the Intergovernmental Panel on Climate Change. Cambridge University Press, Cambridge, United Kin</w:t>
      </w:r>
      <w:r>
        <w:rPr>
          <w:lang w:val="en-US"/>
        </w:rPr>
        <w:t xml:space="preserve">gdom and New York, NY, USA. </w:t>
      </w:r>
      <w:r w:rsidRPr="00980302">
        <w:rPr>
          <w:lang w:val="en-US"/>
        </w:rPr>
        <w:t xml:space="preserve">ISBN 978-1-107-66182-0. </w:t>
      </w:r>
    </w:p>
    <w:p w14:paraId="0510E895" w14:textId="77777777" w:rsidR="00287E6B" w:rsidRPr="00844C8F" w:rsidRDefault="00287E6B" w:rsidP="00287E6B">
      <w:pPr>
        <w:ind w:left="426" w:hanging="426"/>
        <w:rPr>
          <w:lang w:val="en-US"/>
        </w:rPr>
      </w:pPr>
      <w:r w:rsidRPr="00BE0EB0">
        <w:rPr>
          <w:lang w:val="en-US"/>
        </w:rPr>
        <w:t xml:space="preserve">Kaatz, L., 2010. </w:t>
      </w:r>
      <w:r w:rsidRPr="00BE0EB0">
        <w:rPr>
          <w:i/>
          <w:lang w:val="en-US"/>
        </w:rPr>
        <w:t>Decision Support Planning Methods: Incorporating Climate Change Uncertainties into Water Planning</w:t>
      </w:r>
      <w:r w:rsidRPr="00BE0EB0">
        <w:rPr>
          <w:lang w:val="en-US"/>
        </w:rPr>
        <w:t>,</w:t>
      </w:r>
    </w:p>
    <w:p w14:paraId="74B75EAA" w14:textId="77777777" w:rsidR="00287E6B" w:rsidRPr="009B50A5" w:rsidRDefault="00287E6B" w:rsidP="00287E6B">
      <w:pPr>
        <w:ind w:left="567" w:hanging="567"/>
        <w:rPr>
          <w:lang w:val="en-US"/>
        </w:rPr>
      </w:pPr>
      <w:r w:rsidRPr="009B50A5">
        <w:rPr>
          <w:lang w:val="en-US"/>
        </w:rPr>
        <w:t>Kiang, J</w:t>
      </w:r>
      <w:r>
        <w:rPr>
          <w:lang w:val="en-US"/>
        </w:rPr>
        <w:t>.</w:t>
      </w:r>
      <w:r w:rsidRPr="009B50A5">
        <w:rPr>
          <w:lang w:val="en-US"/>
        </w:rPr>
        <w:t xml:space="preserve">, Olsen, </w:t>
      </w:r>
      <w:r>
        <w:rPr>
          <w:lang w:val="en-US"/>
        </w:rPr>
        <w:t>J.,</w:t>
      </w:r>
      <w:r w:rsidRPr="009B50A5">
        <w:rPr>
          <w:lang w:val="en-US"/>
        </w:rPr>
        <w:t xml:space="preserve"> Waskom, </w:t>
      </w:r>
      <w:r>
        <w:rPr>
          <w:lang w:val="en-US"/>
        </w:rPr>
        <w:t>R. (</w:t>
      </w:r>
      <w:r w:rsidRPr="009B50A5">
        <w:rPr>
          <w:lang w:val="en-US"/>
        </w:rPr>
        <w:t>2011</w:t>
      </w:r>
      <w:r>
        <w:rPr>
          <w:lang w:val="en-US"/>
        </w:rPr>
        <w:t>)</w:t>
      </w:r>
      <w:r w:rsidRPr="009B50A5">
        <w:rPr>
          <w:lang w:val="en-US"/>
        </w:rPr>
        <w:t xml:space="preserve">. Introduction to the Featured Collection on ‘‘Nonstationarity, Hydrologic Frequency Analysis, and Water Management.’’ </w:t>
      </w:r>
      <w:r w:rsidRPr="00DB5A2E">
        <w:rPr>
          <w:i/>
          <w:lang w:val="en-US"/>
        </w:rPr>
        <w:t>Journal of the American Water Resources Association</w:t>
      </w:r>
      <w:r w:rsidRPr="009B50A5">
        <w:rPr>
          <w:lang w:val="en-US"/>
        </w:rPr>
        <w:t xml:space="preserve"> (JAWRA) 47(3):433-435. DOI: 10.1111/j.1752-1688.2011.00551.x </w:t>
      </w:r>
    </w:p>
    <w:p w14:paraId="39B784FD" w14:textId="77777777" w:rsidR="00287E6B" w:rsidRPr="00144C78" w:rsidRDefault="00287E6B" w:rsidP="00287E6B">
      <w:pPr>
        <w:ind w:left="567" w:hanging="567"/>
        <w:rPr>
          <w:lang w:val="en-US"/>
        </w:rPr>
      </w:pPr>
      <w:r w:rsidRPr="007B6FDC">
        <w:rPr>
          <w:lang w:val="en-US"/>
        </w:rPr>
        <w:t>K</w:t>
      </w:r>
      <w:r>
        <w:rPr>
          <w:lang w:val="en-US"/>
        </w:rPr>
        <w:t>outsoyianis, D.,</w:t>
      </w:r>
      <w:r w:rsidRPr="007B6FDC">
        <w:rPr>
          <w:lang w:val="en-US"/>
        </w:rPr>
        <w:t xml:space="preserve"> M</w:t>
      </w:r>
      <w:r>
        <w:rPr>
          <w:lang w:val="en-US"/>
        </w:rPr>
        <w:t>ontanari</w:t>
      </w:r>
      <w:r w:rsidRPr="007B6FDC">
        <w:rPr>
          <w:lang w:val="en-US"/>
        </w:rPr>
        <w:t xml:space="preserve">, A. (2014). Negligent killing of scientific concepts: The stationarity case. </w:t>
      </w:r>
      <w:r w:rsidRPr="00144C78">
        <w:rPr>
          <w:i/>
          <w:lang w:val="en-US"/>
        </w:rPr>
        <w:t>Hydrol. Sci. J.</w:t>
      </w:r>
      <w:r w:rsidRPr="00144C78">
        <w:rPr>
          <w:lang w:val="en-US"/>
        </w:rPr>
        <w:t>, 60, pp. 1174–1183.</w:t>
      </w:r>
    </w:p>
    <w:p w14:paraId="5075A0AC" w14:textId="77777777" w:rsidR="00287E6B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Kundzewicz, Z.W., 2011. Nonstationarity in Water Resources - Central European Perspective1. </w:t>
      </w:r>
      <w:r w:rsidRPr="00844C8F">
        <w:rPr>
          <w:i/>
          <w:lang w:val="en-US"/>
        </w:rPr>
        <w:t>JAWRA Journal of the American Water Resources Association</w:t>
      </w:r>
      <w:r>
        <w:rPr>
          <w:lang w:val="en-US"/>
        </w:rPr>
        <w:t>, 47(3), pp.550–562.</w:t>
      </w:r>
    </w:p>
    <w:p w14:paraId="4BA1BA41" w14:textId="77777777" w:rsidR="00287E6B" w:rsidRDefault="00287E6B" w:rsidP="00287E6B">
      <w:pPr>
        <w:spacing w:before="120"/>
        <w:ind w:left="567" w:hanging="567"/>
        <w:rPr>
          <w:lang w:val="en-US"/>
        </w:rPr>
      </w:pPr>
      <w:r w:rsidRPr="00296ED6">
        <w:rPr>
          <w:lang w:val="en-US"/>
        </w:rPr>
        <w:t>L</w:t>
      </w:r>
      <w:r>
        <w:rPr>
          <w:lang w:val="en-US"/>
        </w:rPr>
        <w:t>ins</w:t>
      </w:r>
      <w:r w:rsidRPr="00296ED6">
        <w:rPr>
          <w:lang w:val="en-US"/>
        </w:rPr>
        <w:t>, H. F.</w:t>
      </w:r>
      <w:r>
        <w:rPr>
          <w:lang w:val="en-US"/>
        </w:rPr>
        <w:t>,</w:t>
      </w:r>
      <w:r w:rsidRPr="00296ED6">
        <w:rPr>
          <w:lang w:val="en-US"/>
        </w:rPr>
        <w:t xml:space="preserve"> C</w:t>
      </w:r>
      <w:r>
        <w:rPr>
          <w:lang w:val="en-US"/>
        </w:rPr>
        <w:t>ohn,</w:t>
      </w:r>
      <w:r w:rsidRPr="00296ED6">
        <w:rPr>
          <w:lang w:val="en-US"/>
        </w:rPr>
        <w:t xml:space="preserve"> T. A. (2011)</w:t>
      </w:r>
      <w:r>
        <w:rPr>
          <w:lang w:val="en-US"/>
        </w:rPr>
        <w:t>.</w:t>
      </w:r>
      <w:r w:rsidRPr="00296ED6">
        <w:rPr>
          <w:lang w:val="en-US"/>
        </w:rPr>
        <w:t xml:space="preserve"> Stationarit</w:t>
      </w:r>
      <w:r>
        <w:rPr>
          <w:lang w:val="en-US"/>
        </w:rPr>
        <w:t>y: Wanted dead or alive?</w:t>
      </w:r>
      <w:r w:rsidRPr="00296ED6">
        <w:rPr>
          <w:lang w:val="en-US"/>
        </w:rPr>
        <w:t xml:space="preserve"> </w:t>
      </w:r>
      <w:r w:rsidRPr="00692C12">
        <w:rPr>
          <w:i/>
          <w:lang w:val="en-US"/>
        </w:rPr>
        <w:t>J. Am. Water Resour. Assoc.</w:t>
      </w:r>
      <w:r w:rsidRPr="00296ED6">
        <w:rPr>
          <w:lang w:val="en-US"/>
        </w:rPr>
        <w:t xml:space="preserve">, 47, </w:t>
      </w:r>
      <w:r>
        <w:rPr>
          <w:lang w:val="en-US"/>
        </w:rPr>
        <w:t xml:space="preserve">pp. </w:t>
      </w:r>
      <w:r w:rsidRPr="00296ED6">
        <w:rPr>
          <w:lang w:val="en-US"/>
        </w:rPr>
        <w:t>475–480.</w:t>
      </w:r>
    </w:p>
    <w:p w14:paraId="16732C4D" w14:textId="77777777" w:rsidR="00287E6B" w:rsidRPr="003506C3" w:rsidRDefault="00287E6B" w:rsidP="00287E6B">
      <w:pPr>
        <w:spacing w:before="120"/>
        <w:ind w:left="567" w:hanging="567"/>
        <w:rPr>
          <w:lang w:val="en-US"/>
        </w:rPr>
      </w:pPr>
      <w:r w:rsidRPr="003506C3">
        <w:rPr>
          <w:lang w:val="en-US"/>
        </w:rPr>
        <w:t xml:space="preserve">Mangini, </w:t>
      </w:r>
      <w:r>
        <w:rPr>
          <w:lang w:val="en-US"/>
        </w:rPr>
        <w:t>W.,</w:t>
      </w:r>
      <w:r w:rsidRPr="003506C3">
        <w:rPr>
          <w:lang w:val="en-US"/>
        </w:rPr>
        <w:t xml:space="preserve"> Viglione,</w:t>
      </w:r>
      <w:r>
        <w:rPr>
          <w:lang w:val="en-US"/>
        </w:rPr>
        <w:t xml:space="preserve"> A.,</w:t>
      </w:r>
      <w:r w:rsidRPr="003506C3">
        <w:rPr>
          <w:lang w:val="en-US"/>
        </w:rPr>
        <w:t xml:space="preserve"> Hall,</w:t>
      </w:r>
      <w:r>
        <w:rPr>
          <w:lang w:val="en-US"/>
        </w:rPr>
        <w:t xml:space="preserve"> J.,</w:t>
      </w:r>
      <w:r w:rsidRPr="003506C3">
        <w:rPr>
          <w:lang w:val="en-US"/>
        </w:rPr>
        <w:t xml:space="preserve"> Hundecha,</w:t>
      </w:r>
      <w:r>
        <w:rPr>
          <w:lang w:val="en-US"/>
        </w:rPr>
        <w:t xml:space="preserve"> Y.,</w:t>
      </w:r>
      <w:r w:rsidRPr="003506C3">
        <w:rPr>
          <w:lang w:val="en-US"/>
        </w:rPr>
        <w:t xml:space="preserve"> Ceola,</w:t>
      </w:r>
      <w:r>
        <w:rPr>
          <w:lang w:val="en-US"/>
        </w:rPr>
        <w:t xml:space="preserve"> S.,</w:t>
      </w:r>
      <w:r w:rsidRPr="003506C3">
        <w:rPr>
          <w:lang w:val="en-US"/>
        </w:rPr>
        <w:t xml:space="preserve"> Montanari,</w:t>
      </w:r>
      <w:r>
        <w:rPr>
          <w:lang w:val="en-US"/>
        </w:rPr>
        <w:t xml:space="preserve"> A.,</w:t>
      </w:r>
      <w:r w:rsidRPr="003506C3">
        <w:rPr>
          <w:lang w:val="en-US"/>
        </w:rPr>
        <w:t xml:space="preserve"> Rogger,</w:t>
      </w:r>
      <w:r>
        <w:rPr>
          <w:lang w:val="en-US"/>
        </w:rPr>
        <w:t xml:space="preserve"> M.,</w:t>
      </w:r>
      <w:r w:rsidRPr="003506C3">
        <w:rPr>
          <w:lang w:val="en-US"/>
        </w:rPr>
        <w:t xml:space="preserve"> Salinas,</w:t>
      </w:r>
      <w:r>
        <w:rPr>
          <w:lang w:val="en-US"/>
        </w:rPr>
        <w:t xml:space="preserve"> J.L.,</w:t>
      </w:r>
      <w:r w:rsidRPr="003506C3">
        <w:rPr>
          <w:lang w:val="en-US"/>
        </w:rPr>
        <w:t xml:space="preserve"> Borz</w:t>
      </w:r>
      <w:r w:rsidRPr="003506C3">
        <w:rPr>
          <w:rFonts w:hint="eastAsia"/>
          <w:lang w:val="en-US"/>
        </w:rPr>
        <w:t>ì</w:t>
      </w:r>
      <w:r>
        <w:rPr>
          <w:lang w:val="en-US"/>
        </w:rPr>
        <w:t xml:space="preserve">, I., </w:t>
      </w:r>
      <w:r w:rsidRPr="003506C3">
        <w:rPr>
          <w:lang w:val="en-US"/>
        </w:rPr>
        <w:t>Parajka</w:t>
      </w:r>
      <w:r>
        <w:rPr>
          <w:lang w:val="en-US"/>
        </w:rPr>
        <w:t>, J.</w:t>
      </w:r>
      <w:r w:rsidRPr="003506C3">
        <w:rPr>
          <w:lang w:val="en-US"/>
        </w:rPr>
        <w:t xml:space="preserve"> (2018)</w:t>
      </w:r>
      <w:r>
        <w:rPr>
          <w:lang w:val="en-US"/>
        </w:rPr>
        <w:t>.</w:t>
      </w:r>
      <w:r w:rsidRPr="003506C3">
        <w:rPr>
          <w:lang w:val="en-US"/>
        </w:rPr>
        <w:t xml:space="preserve"> Detection of trends in magnitude and frequency of flood peaks across Europe, </w:t>
      </w:r>
      <w:r w:rsidRPr="003506C3">
        <w:rPr>
          <w:i/>
          <w:lang w:val="en-US"/>
        </w:rPr>
        <w:t>Hydrological Sciences Journal</w:t>
      </w:r>
      <w:r w:rsidRPr="003506C3">
        <w:rPr>
          <w:lang w:val="en-US"/>
        </w:rPr>
        <w:t xml:space="preserve">, 63:4, 493-512, DOI: 10.1080/02626667.2018.1444766 </w:t>
      </w:r>
    </w:p>
    <w:p w14:paraId="5B7753E6" w14:textId="77777777" w:rsidR="00287E6B" w:rsidRPr="00844C8F" w:rsidRDefault="00287E6B" w:rsidP="00287E6B">
      <w:pPr>
        <w:ind w:left="426" w:hanging="426"/>
        <w:rPr>
          <w:lang w:val="en-US"/>
        </w:rPr>
      </w:pPr>
      <w:r w:rsidRPr="00E75E3C">
        <w:rPr>
          <w:lang w:val="en-US"/>
        </w:rPr>
        <w:t xml:space="preserve">McPhail, C. et al., 2018. Robustness Metrics: How Are They Calculated, When Should They Be Used and Why Do They Give Different Results? </w:t>
      </w:r>
      <w:r w:rsidRPr="00E75E3C">
        <w:rPr>
          <w:i/>
          <w:lang w:val="en-US"/>
        </w:rPr>
        <w:t>Earth's Future</w:t>
      </w:r>
      <w:r w:rsidRPr="00E75E3C">
        <w:rPr>
          <w:lang w:val="en-US"/>
        </w:rPr>
        <w:t>, 6(2), pp.169–191.</w:t>
      </w:r>
    </w:p>
    <w:p w14:paraId="0BDA74CD" w14:textId="77777777" w:rsidR="00287E6B" w:rsidRDefault="00287E6B" w:rsidP="00287E6B">
      <w:pPr>
        <w:spacing w:before="120"/>
        <w:ind w:left="567" w:hanging="567"/>
        <w:rPr>
          <w:lang w:val="en-US"/>
        </w:rPr>
      </w:pPr>
      <w:r>
        <w:rPr>
          <w:lang w:val="en-US"/>
        </w:rPr>
        <w:t>Milly, P. C. D.,</w:t>
      </w:r>
      <w:r w:rsidRPr="00BA443A">
        <w:rPr>
          <w:lang w:val="en-US"/>
        </w:rPr>
        <w:t xml:space="preserve"> </w:t>
      </w:r>
      <w:r>
        <w:rPr>
          <w:lang w:val="en-US"/>
        </w:rPr>
        <w:t>Betancourt, J.,</w:t>
      </w:r>
      <w:r w:rsidRPr="00BA443A">
        <w:rPr>
          <w:lang w:val="en-US"/>
        </w:rPr>
        <w:t xml:space="preserve"> </w:t>
      </w:r>
      <w:r>
        <w:rPr>
          <w:lang w:val="en-US"/>
        </w:rPr>
        <w:t>Falkenmark, M.,</w:t>
      </w:r>
      <w:r w:rsidRPr="00BA443A">
        <w:rPr>
          <w:lang w:val="en-US"/>
        </w:rPr>
        <w:t xml:space="preserve"> </w:t>
      </w:r>
      <w:r>
        <w:rPr>
          <w:lang w:val="en-US"/>
        </w:rPr>
        <w:t xml:space="preserve">Hirsch, R. M.; Kundzewicz, Z. W.; Lettenmaier, D. P., Stouffer, R. J., Dettinger, M. D., Krysanova, V. (2015). On Critiques of ‘‘Stationarity is Dead: Whither Water Management?’’. </w:t>
      </w:r>
      <w:r w:rsidRPr="00BA443A">
        <w:rPr>
          <w:i/>
          <w:lang w:val="en-US"/>
        </w:rPr>
        <w:t>Water Resour. Res.,</w:t>
      </w:r>
      <w:r>
        <w:rPr>
          <w:lang w:val="en-US"/>
        </w:rPr>
        <w:t xml:space="preserve"> 51, pp. 7785–7789.</w:t>
      </w:r>
    </w:p>
    <w:p w14:paraId="56BF9292" w14:textId="77777777" w:rsidR="00287E6B" w:rsidRPr="002A6DF5" w:rsidRDefault="00287E6B" w:rsidP="00287E6B">
      <w:pPr>
        <w:spacing w:before="120"/>
        <w:ind w:left="567" w:hanging="567"/>
        <w:rPr>
          <w:lang w:val="en-US"/>
        </w:rPr>
      </w:pPr>
      <w:r>
        <w:rPr>
          <w:lang w:val="en-US"/>
        </w:rPr>
        <w:t>Milly, P. C. D.,</w:t>
      </w:r>
      <w:r w:rsidRPr="00BA443A">
        <w:rPr>
          <w:lang w:val="en-US"/>
        </w:rPr>
        <w:t xml:space="preserve"> </w:t>
      </w:r>
      <w:r>
        <w:rPr>
          <w:lang w:val="en-US"/>
        </w:rPr>
        <w:t>Betancourt, J.,</w:t>
      </w:r>
      <w:r w:rsidRPr="00BA443A">
        <w:rPr>
          <w:lang w:val="en-US"/>
        </w:rPr>
        <w:t xml:space="preserve"> </w:t>
      </w:r>
      <w:r>
        <w:rPr>
          <w:lang w:val="en-US"/>
        </w:rPr>
        <w:t>Falkenmark, M.,</w:t>
      </w:r>
      <w:r w:rsidRPr="00BA443A">
        <w:rPr>
          <w:lang w:val="en-US"/>
        </w:rPr>
        <w:t xml:space="preserve"> </w:t>
      </w:r>
      <w:r>
        <w:rPr>
          <w:lang w:val="en-US"/>
        </w:rPr>
        <w:t>Hirsch, R. M.; Kundzewicz, Z. W.; Lettenmaier, D. P., Stouffer, R. J.</w:t>
      </w:r>
      <w:r w:rsidRPr="002A6DF5">
        <w:rPr>
          <w:lang w:val="en-US"/>
        </w:rPr>
        <w:t xml:space="preserve"> </w:t>
      </w:r>
      <w:r>
        <w:rPr>
          <w:lang w:val="en-US"/>
        </w:rPr>
        <w:t>(2008).</w:t>
      </w:r>
      <w:r w:rsidRPr="002A6DF5">
        <w:rPr>
          <w:lang w:val="en-US"/>
        </w:rPr>
        <w:t xml:space="preserve"> Stationarity is dead:</w:t>
      </w:r>
      <w:r>
        <w:rPr>
          <w:lang w:val="en-US"/>
        </w:rPr>
        <w:t xml:space="preserve"> </w:t>
      </w:r>
      <w:r w:rsidRPr="002A6DF5">
        <w:rPr>
          <w:lang w:val="en-US"/>
        </w:rPr>
        <w:t>Whiter wate</w:t>
      </w:r>
      <w:r>
        <w:rPr>
          <w:lang w:val="en-US"/>
        </w:rPr>
        <w:t>r management?</w:t>
      </w:r>
      <w:r w:rsidRPr="002A6DF5">
        <w:rPr>
          <w:lang w:val="en-US"/>
        </w:rPr>
        <w:t xml:space="preserve"> </w:t>
      </w:r>
      <w:r w:rsidRPr="00083FDA">
        <w:rPr>
          <w:i/>
          <w:lang w:val="en-US"/>
        </w:rPr>
        <w:t>Science</w:t>
      </w:r>
      <w:r w:rsidRPr="002A6DF5">
        <w:rPr>
          <w:lang w:val="en-US"/>
        </w:rPr>
        <w:t xml:space="preserve">, 319, </w:t>
      </w:r>
      <w:r>
        <w:rPr>
          <w:lang w:val="en-US"/>
        </w:rPr>
        <w:t xml:space="preserve">pp. </w:t>
      </w:r>
      <w:r w:rsidRPr="002A6DF5">
        <w:rPr>
          <w:lang w:val="en-US"/>
        </w:rPr>
        <w:t>573–574.</w:t>
      </w:r>
    </w:p>
    <w:p w14:paraId="0E66CA6D" w14:textId="77777777" w:rsidR="00287E6B" w:rsidRDefault="00287E6B" w:rsidP="00287E6B">
      <w:pPr>
        <w:ind w:left="426" w:hanging="426"/>
        <w:rPr>
          <w:lang w:val="en-US"/>
        </w:rPr>
      </w:pPr>
      <w:r>
        <w:rPr>
          <w:lang w:val="en-US"/>
        </w:rPr>
        <w:t xml:space="preserve">Mondal, A., Daniel, D., 2019. </w:t>
      </w:r>
      <w:r w:rsidRPr="00A37294">
        <w:rPr>
          <w:lang w:val="en-US"/>
        </w:rPr>
        <w:t>Return Levels under Nonstationarity: The Need to Update</w:t>
      </w:r>
      <w:r w:rsidRPr="00153E01">
        <w:rPr>
          <w:lang w:val="en-US"/>
        </w:rPr>
        <w:t xml:space="preserve"> </w:t>
      </w:r>
      <w:r w:rsidRPr="00A37294">
        <w:rPr>
          <w:lang w:val="en-US"/>
        </w:rPr>
        <w:t>Infrastructure Design Strategies</w:t>
      </w:r>
      <w:r>
        <w:rPr>
          <w:lang w:val="en-US"/>
        </w:rPr>
        <w:t xml:space="preserve">. </w:t>
      </w:r>
      <w:r w:rsidRPr="00153E01">
        <w:rPr>
          <w:i/>
          <w:lang w:val="en-US"/>
        </w:rPr>
        <w:t>Journal of Hydrologic Engineering</w:t>
      </w:r>
      <w:r>
        <w:rPr>
          <w:lang w:val="en-US"/>
        </w:rPr>
        <w:t>, 24 (1)</w:t>
      </w:r>
      <w:r w:rsidRPr="00A37294">
        <w:rPr>
          <w:lang w:val="en-US"/>
        </w:rPr>
        <w:t>: 04018060</w:t>
      </w:r>
      <w:r>
        <w:rPr>
          <w:lang w:val="en-US"/>
        </w:rPr>
        <w:t>.</w:t>
      </w:r>
    </w:p>
    <w:p w14:paraId="187073D8" w14:textId="77777777" w:rsidR="00287E6B" w:rsidRPr="00A37294" w:rsidRDefault="00287E6B" w:rsidP="00287E6B">
      <w:pPr>
        <w:ind w:left="426" w:hanging="426"/>
        <w:rPr>
          <w:lang w:val="en-US"/>
        </w:rPr>
      </w:pPr>
      <w:r>
        <w:rPr>
          <w:lang w:val="en-US"/>
        </w:rPr>
        <w:t xml:space="preserve">Montanari, A, </w:t>
      </w:r>
      <w:r w:rsidRPr="003F18AF">
        <w:rPr>
          <w:lang w:val="en-US"/>
        </w:rPr>
        <w:t xml:space="preserve">Young, </w:t>
      </w:r>
      <w:r>
        <w:rPr>
          <w:lang w:val="en-US"/>
        </w:rPr>
        <w:t xml:space="preserve">G., </w:t>
      </w:r>
      <w:r w:rsidRPr="003F18AF">
        <w:rPr>
          <w:lang w:val="en-US"/>
        </w:rPr>
        <w:t>Savenije,</w:t>
      </w:r>
      <w:r>
        <w:rPr>
          <w:lang w:val="en-US"/>
        </w:rPr>
        <w:t xml:space="preserve"> H., </w:t>
      </w:r>
      <w:r w:rsidRPr="003F18AF">
        <w:rPr>
          <w:lang w:val="en-US"/>
        </w:rPr>
        <w:t xml:space="preserve">Hughes, </w:t>
      </w:r>
      <w:r>
        <w:rPr>
          <w:lang w:val="en-US"/>
        </w:rPr>
        <w:t xml:space="preserve">D., </w:t>
      </w:r>
      <w:r w:rsidRPr="003F18AF">
        <w:rPr>
          <w:lang w:val="en-US"/>
        </w:rPr>
        <w:t>Wagener,</w:t>
      </w:r>
      <w:r>
        <w:rPr>
          <w:lang w:val="en-US"/>
        </w:rPr>
        <w:t xml:space="preserve"> T., </w:t>
      </w:r>
      <w:r w:rsidRPr="003F18AF">
        <w:rPr>
          <w:lang w:val="en-US"/>
        </w:rPr>
        <w:t>Ren,</w:t>
      </w:r>
      <w:r>
        <w:rPr>
          <w:lang w:val="en-US"/>
        </w:rPr>
        <w:t xml:space="preserve"> L., </w:t>
      </w:r>
      <w:r w:rsidRPr="003F18AF">
        <w:rPr>
          <w:lang w:val="en-US"/>
        </w:rPr>
        <w:t>Koutsoyiannis</w:t>
      </w:r>
      <w:r>
        <w:rPr>
          <w:lang w:val="en-US"/>
        </w:rPr>
        <w:t xml:space="preserve">, D, et al. 2013. </w:t>
      </w:r>
      <w:r w:rsidRPr="003F18AF">
        <w:rPr>
          <w:lang w:val="en-US"/>
        </w:rPr>
        <w:t>Panta Rhei—Everything Flows’: Change in Hydrology and Society—the IA</w:t>
      </w:r>
      <w:r>
        <w:rPr>
          <w:lang w:val="en-US"/>
        </w:rPr>
        <w:t>HS Scientific Decade 2013–2022.</w:t>
      </w:r>
      <w:r w:rsidRPr="003F18AF">
        <w:rPr>
          <w:lang w:val="en-US"/>
        </w:rPr>
        <w:t xml:space="preserve"> </w:t>
      </w:r>
      <w:r w:rsidRPr="003F18AF">
        <w:rPr>
          <w:i/>
          <w:lang w:val="en-US"/>
        </w:rPr>
        <w:t>Hydrological Sciences Journal.</w:t>
      </w:r>
      <w:r w:rsidRPr="003F18AF">
        <w:rPr>
          <w:lang w:val="en-US"/>
        </w:rPr>
        <w:t xml:space="preserve"> 58 (6): 1256–75. doi:10.1080/02626667.2013.809088.</w:t>
      </w:r>
    </w:p>
    <w:p w14:paraId="2D18DA72" w14:textId="77777777" w:rsidR="00287E6B" w:rsidRDefault="00287E6B" w:rsidP="00287E6B">
      <w:pPr>
        <w:ind w:left="426" w:hanging="426"/>
        <w:rPr>
          <w:lang w:val="en-US"/>
        </w:rPr>
      </w:pPr>
      <w:r>
        <w:rPr>
          <w:lang w:val="en-US"/>
        </w:rPr>
        <w:t>NAS (</w:t>
      </w:r>
      <w:r w:rsidRPr="00844C8F">
        <w:rPr>
          <w:lang w:val="en-US"/>
        </w:rPr>
        <w:t>The N</w:t>
      </w:r>
      <w:r>
        <w:rPr>
          <w:lang w:val="en-US"/>
        </w:rPr>
        <w:t xml:space="preserve">ational Academies of Science, Engineering and </w:t>
      </w:r>
      <w:r w:rsidRPr="00844C8F">
        <w:rPr>
          <w:lang w:val="en-US"/>
        </w:rPr>
        <w:t>Medicine</w:t>
      </w:r>
      <w:r>
        <w:rPr>
          <w:lang w:val="en-US"/>
        </w:rPr>
        <w:t>)</w:t>
      </w:r>
      <w:r w:rsidRPr="00844C8F">
        <w:rPr>
          <w:lang w:val="en-US"/>
        </w:rPr>
        <w:t xml:space="preserve">, 2018. </w:t>
      </w:r>
      <w:r w:rsidRPr="00844C8F">
        <w:rPr>
          <w:i/>
          <w:lang w:val="en-US"/>
        </w:rPr>
        <w:t>Future Water Priorities for the Nation: Directions for the U.S. Geological Survey Water Mission Area</w:t>
      </w:r>
      <w:r w:rsidRPr="00844C8F">
        <w:rPr>
          <w:lang w:val="en-US"/>
        </w:rPr>
        <w:t xml:space="preserve">, Washington, </w:t>
      </w:r>
      <w:r>
        <w:rPr>
          <w:lang w:val="en-US"/>
        </w:rPr>
        <w:t>D.C.: National Academies Press.</w:t>
      </w:r>
    </w:p>
    <w:p w14:paraId="2D810B00" w14:textId="77777777" w:rsidR="00287E6B" w:rsidRDefault="00287E6B" w:rsidP="00287E6B">
      <w:pPr>
        <w:ind w:left="567" w:hanging="567"/>
        <w:rPr>
          <w:lang w:val="en-US"/>
        </w:rPr>
      </w:pPr>
      <w:r>
        <w:rPr>
          <w:lang w:val="en-US"/>
        </w:rPr>
        <w:t>NERC (1975). Flood Studies Report. Natural Environment Research Center.</w:t>
      </w:r>
    </w:p>
    <w:p w14:paraId="4A8FD2B2" w14:textId="77777777" w:rsidR="00287E6B" w:rsidRPr="00844C8F" w:rsidRDefault="00287E6B" w:rsidP="00287E6B">
      <w:pPr>
        <w:ind w:left="426" w:hanging="426"/>
        <w:rPr>
          <w:lang w:val="en-US"/>
        </w:rPr>
      </w:pPr>
      <w:r w:rsidRPr="00144C78">
        <w:t xml:space="preserve">Obeysekera, J. &amp; Salas, J.D., 2014. </w:t>
      </w:r>
      <w:r w:rsidRPr="00844C8F">
        <w:rPr>
          <w:lang w:val="en-US"/>
        </w:rPr>
        <w:t xml:space="preserve">Quantifying the Uncertainty of Design Floods under Nonstationary Conditions. </w:t>
      </w:r>
      <w:r w:rsidRPr="00844C8F">
        <w:rPr>
          <w:i/>
          <w:lang w:val="en-US"/>
        </w:rPr>
        <w:t>Journal of Hydrologic Engineering</w:t>
      </w:r>
      <w:r>
        <w:rPr>
          <w:lang w:val="en-US"/>
        </w:rPr>
        <w:t>, 19(7), pp.1438–1446.</w:t>
      </w:r>
    </w:p>
    <w:p w14:paraId="0A92CC63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Prosdocimi, I., Kjeldsen, T.R. &amp; Svensson, C., 2014. Non-stationarity in annual and seasonal series of peak flow and precipitation in the UK. </w:t>
      </w:r>
      <w:r w:rsidRPr="00844C8F">
        <w:rPr>
          <w:i/>
          <w:lang w:val="en-US"/>
        </w:rPr>
        <w:t>Natural Hazards and Earth System Science</w:t>
      </w:r>
      <w:r>
        <w:rPr>
          <w:lang w:val="en-US"/>
        </w:rPr>
        <w:t>, 14(5), pp.1125–1144.</w:t>
      </w:r>
    </w:p>
    <w:p w14:paraId="3CB79DA6" w14:textId="77777777" w:rsidR="00287E6B" w:rsidRPr="00C1680D" w:rsidRDefault="00287E6B" w:rsidP="00287E6B">
      <w:pPr>
        <w:ind w:left="567" w:hanging="567"/>
        <w:rPr>
          <w:lang w:val="x-none"/>
        </w:rPr>
      </w:pPr>
      <w:r w:rsidRPr="00C1680D">
        <w:rPr>
          <w:lang w:val="en-US"/>
        </w:rPr>
        <w:t xml:space="preserve">Rahman, A., Haddad, K., Kuczera, G., Weinmann, E. (2016). Regional Flood Methods. In: Commmonwealth of Australia, </w:t>
      </w:r>
      <w:r w:rsidRPr="00C1680D">
        <w:rPr>
          <w:i/>
          <w:lang w:val="x-none"/>
        </w:rPr>
        <w:t>Australian Rainfall and Runoff: A Guide to Flood Estimation</w:t>
      </w:r>
      <w:r w:rsidRPr="00C1680D">
        <w:rPr>
          <w:lang w:val="x-none"/>
        </w:rPr>
        <w:t xml:space="preserve"> (</w:t>
      </w:r>
      <w:r w:rsidRPr="00C1680D">
        <w:rPr>
          <w:lang w:val="en-US"/>
        </w:rPr>
        <w:t>Chapter 3 in Book 3)</w:t>
      </w:r>
      <w:r w:rsidRPr="00C1680D">
        <w:rPr>
          <w:lang w:val="x-none"/>
        </w:rPr>
        <w:t>. Retrived from http://book.arr.org.au.s3-website-ap-southeast-2.amazonaws.com.</w:t>
      </w:r>
    </w:p>
    <w:p w14:paraId="6B27BF2C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Ray, P.A. et al., 2018. Growth of the Decision Tree: Advances in Bottom-Up Climate Change Risk Management. </w:t>
      </w:r>
      <w:r w:rsidRPr="00844C8F">
        <w:rPr>
          <w:i/>
          <w:lang w:val="en-US"/>
        </w:rPr>
        <w:t>JAWRA Journal of the American Water Resources Association</w:t>
      </w:r>
      <w:r>
        <w:rPr>
          <w:lang w:val="en-US"/>
        </w:rPr>
        <w:t>, 26(12), pp.1376–18.</w:t>
      </w:r>
    </w:p>
    <w:p w14:paraId="6EDDDAF7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Razavi, S. &amp; Vogel, R., 2018. Prewhitening of hydroclimatic time series? Implications for inferred change and variability across time scales. </w:t>
      </w:r>
      <w:r w:rsidRPr="00844C8F">
        <w:rPr>
          <w:i/>
          <w:lang w:val="en-US"/>
        </w:rPr>
        <w:t>Journal of Hydrology</w:t>
      </w:r>
      <w:r w:rsidRPr="00844C8F">
        <w:rPr>
          <w:lang w:val="en-US"/>
        </w:rPr>
        <w:t>, 557, pp</w:t>
      </w:r>
      <w:r>
        <w:rPr>
          <w:lang w:val="en-US"/>
        </w:rPr>
        <w:t>.109–115.</w:t>
      </w:r>
    </w:p>
    <w:p w14:paraId="502629CB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Read, L.K. &amp; Vogel, R.M., 2015. Reliability, return periods, and risk under nonstationarity. </w:t>
      </w:r>
      <w:r w:rsidRPr="00D34A97">
        <w:rPr>
          <w:i/>
          <w:lang w:val="en-US"/>
        </w:rPr>
        <w:t>Water Resources Reasearch</w:t>
      </w:r>
      <w:r>
        <w:rPr>
          <w:lang w:val="en-US"/>
        </w:rPr>
        <w:t>, 51(8), pp.6381–6398.</w:t>
      </w:r>
    </w:p>
    <w:p w14:paraId="631E3885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Read, L.K. &amp; Vogel, R.M., 2016. Hazard function theory for nonstationary natural hazards. </w:t>
      </w:r>
      <w:r w:rsidRPr="00844C8F">
        <w:rPr>
          <w:i/>
          <w:lang w:val="en-US"/>
        </w:rPr>
        <w:t>Natural Hazards and Earth System Science</w:t>
      </w:r>
      <w:r>
        <w:rPr>
          <w:lang w:val="en-US"/>
        </w:rPr>
        <w:t>, 16(4), pp.915–925.</w:t>
      </w:r>
    </w:p>
    <w:p w14:paraId="196B361D" w14:textId="77777777" w:rsidR="00287E6B" w:rsidRPr="00144C78" w:rsidRDefault="00287E6B" w:rsidP="00287E6B">
      <w:pPr>
        <w:ind w:left="567" w:hanging="567"/>
        <w:rPr>
          <w:lang w:val="en-US"/>
        </w:rPr>
      </w:pPr>
      <w:r w:rsidRPr="00144C78">
        <w:rPr>
          <w:lang w:val="en-US"/>
        </w:rPr>
        <w:t>Robson, A., Reed, D. (1999). Flood Estimation Handbook. Volume 3. Institute of Hydrology, Wallinford.</w:t>
      </w:r>
    </w:p>
    <w:p w14:paraId="4107AA50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Rootzén, H. &amp; Katz, R.W., 2013. Design Life Level: Quantifying risk in a changing climate. </w:t>
      </w:r>
      <w:r w:rsidRPr="00D34A97">
        <w:rPr>
          <w:i/>
          <w:lang w:val="en-US"/>
        </w:rPr>
        <w:t>Water Resources Research</w:t>
      </w:r>
      <w:r>
        <w:rPr>
          <w:lang w:val="en-US"/>
        </w:rPr>
        <w:t>, 49(9), pp.5964–5972.</w:t>
      </w:r>
    </w:p>
    <w:p w14:paraId="5E1D863E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Rosbjerg, D., 2017. Optimal adaptation to extreme rainfalls in current and future climate. </w:t>
      </w:r>
      <w:r w:rsidRPr="00844C8F">
        <w:rPr>
          <w:i/>
          <w:lang w:val="en-US"/>
        </w:rPr>
        <w:t>Water Resources Research</w:t>
      </w:r>
      <w:r>
        <w:rPr>
          <w:lang w:val="en-US"/>
        </w:rPr>
        <w:t>, 53(1), pp.535–543.</w:t>
      </w:r>
    </w:p>
    <w:p w14:paraId="2DB3E7CB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Rosner, A., Vogel, R.M. &amp; Kirshen, P.H., 2014. A risk-based approach to flood management decisions in a nonstationary world. </w:t>
      </w:r>
      <w:r w:rsidRPr="009A3C46">
        <w:rPr>
          <w:i/>
          <w:lang w:val="en-US"/>
        </w:rPr>
        <w:t>Water Resources Research</w:t>
      </w:r>
      <w:r>
        <w:rPr>
          <w:lang w:val="en-US"/>
        </w:rPr>
        <w:t>, 50(3), pp.1928–1942.</w:t>
      </w:r>
    </w:p>
    <w:p w14:paraId="69D02678" w14:textId="7187FC14" w:rsidR="00287E6B" w:rsidRPr="00144C78" w:rsidRDefault="00287E6B" w:rsidP="00287E6B">
      <w:pPr>
        <w:ind w:left="567" w:hanging="567"/>
        <w:rPr>
          <w:lang w:val="en-US"/>
        </w:rPr>
      </w:pPr>
      <w:r>
        <w:rPr>
          <w:lang w:val="en-US"/>
        </w:rPr>
        <w:t>Salas, J.D., Obeysekera, J.</w:t>
      </w:r>
      <w:r w:rsidRPr="004B5538">
        <w:rPr>
          <w:lang w:val="en-US"/>
        </w:rPr>
        <w:t xml:space="preserve"> </w:t>
      </w:r>
      <w:r>
        <w:rPr>
          <w:lang w:val="en-US"/>
        </w:rPr>
        <w:t>(</w:t>
      </w:r>
      <w:r w:rsidRPr="004B5538">
        <w:rPr>
          <w:lang w:val="en-US"/>
        </w:rPr>
        <w:t>2014</w:t>
      </w:r>
      <w:r>
        <w:rPr>
          <w:lang w:val="en-US"/>
        </w:rPr>
        <w:t>)</w:t>
      </w:r>
      <w:r w:rsidRPr="004B5538">
        <w:rPr>
          <w:lang w:val="en-US"/>
        </w:rPr>
        <w:t xml:space="preserve">. Revisiting the Concepts of Return Period and Risk for Nonstationary Hydrologic Extreme Events. </w:t>
      </w:r>
      <w:r w:rsidRPr="004B5538">
        <w:rPr>
          <w:i/>
          <w:lang w:val="en-US"/>
        </w:rPr>
        <w:t>Journal of Hydrologic Engineering</w:t>
      </w:r>
      <w:r>
        <w:rPr>
          <w:lang w:val="en-US"/>
        </w:rPr>
        <w:t>, 19(3), pp.554–568.</w:t>
      </w:r>
    </w:p>
    <w:p w14:paraId="7160AD9F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Salas, J.D., Obeysekera, J. &amp; Vogel, R.M., 2018. Techniques for assessing water infrastructure for nonstationary extreme events: a review. </w:t>
      </w:r>
      <w:r w:rsidRPr="00844C8F">
        <w:rPr>
          <w:i/>
          <w:lang w:val="en-US"/>
        </w:rPr>
        <w:t>H</w:t>
      </w:r>
      <w:r>
        <w:rPr>
          <w:i/>
          <w:lang w:val="en-US"/>
        </w:rPr>
        <w:t>ydrological Science Journal</w:t>
      </w:r>
      <w:r>
        <w:rPr>
          <w:lang w:val="en-US"/>
        </w:rPr>
        <w:t>, 63(3), pp.325–352.</w:t>
      </w:r>
    </w:p>
    <w:p w14:paraId="24F19969" w14:textId="77777777" w:rsidR="00287E6B" w:rsidRPr="00844C8F" w:rsidRDefault="00287E6B" w:rsidP="00287E6B">
      <w:pPr>
        <w:ind w:left="426" w:hanging="426"/>
        <w:rPr>
          <w:lang w:val="en-US"/>
        </w:rPr>
      </w:pPr>
      <w:r w:rsidRPr="00DD740C">
        <w:rPr>
          <w:lang w:val="fr-FR"/>
        </w:rPr>
        <w:t xml:space="preserve">Schlef, K.E. et al., 2018. </w:t>
      </w:r>
      <w:r w:rsidRPr="00844C8F">
        <w:rPr>
          <w:lang w:val="en-US"/>
        </w:rPr>
        <w:t xml:space="preserve">A General Methodology for Climate-Informed Approaches to Long-Term Flood Projection-Illustrated With the Ohio River Basin. </w:t>
      </w:r>
      <w:r w:rsidRPr="00844C8F">
        <w:rPr>
          <w:i/>
          <w:lang w:val="en-US"/>
        </w:rPr>
        <w:t>Water Resources Research</w:t>
      </w:r>
      <w:r>
        <w:rPr>
          <w:lang w:val="en-US"/>
        </w:rPr>
        <w:t>, 54(11), pp.9321–9341.</w:t>
      </w:r>
    </w:p>
    <w:p w14:paraId="6397134E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>Serago, J.M. &amp; Vogel, R.M., 201</w:t>
      </w:r>
      <w:r>
        <w:rPr>
          <w:lang w:val="en-US"/>
        </w:rPr>
        <w:t>8</w:t>
      </w:r>
      <w:r w:rsidRPr="00844C8F">
        <w:rPr>
          <w:lang w:val="en-US"/>
        </w:rPr>
        <w:t xml:space="preserve">. Parsimonious nonstationary flood frequency analysis. </w:t>
      </w:r>
      <w:r w:rsidRPr="00844C8F">
        <w:rPr>
          <w:i/>
          <w:lang w:val="en-US"/>
        </w:rPr>
        <w:t>A</w:t>
      </w:r>
      <w:r>
        <w:rPr>
          <w:i/>
          <w:lang w:val="en-US"/>
        </w:rPr>
        <w:t>dvances in Water Resources</w:t>
      </w:r>
      <w:r>
        <w:rPr>
          <w:lang w:val="en-US"/>
        </w:rPr>
        <w:t>, 112, pp.1–16.</w:t>
      </w:r>
    </w:p>
    <w:p w14:paraId="35CC8016" w14:textId="77777777" w:rsidR="00287E6B" w:rsidRPr="0027659F" w:rsidRDefault="00287E6B" w:rsidP="00287E6B">
      <w:pPr>
        <w:ind w:left="567" w:hanging="567"/>
        <w:rPr>
          <w:lang w:val="en-US"/>
        </w:rPr>
      </w:pPr>
      <w:r w:rsidRPr="0027659F">
        <w:rPr>
          <w:lang w:val="en-US"/>
        </w:rPr>
        <w:t>S</w:t>
      </w:r>
      <w:r>
        <w:rPr>
          <w:lang w:val="en-US"/>
        </w:rPr>
        <w:t>erinaldi, F.,</w:t>
      </w:r>
      <w:r w:rsidRPr="0027659F">
        <w:rPr>
          <w:lang w:val="en-US"/>
        </w:rPr>
        <w:t xml:space="preserve"> K</w:t>
      </w:r>
      <w:r>
        <w:rPr>
          <w:lang w:val="en-US"/>
        </w:rPr>
        <w:t>ilsby</w:t>
      </w:r>
      <w:r w:rsidRPr="0027659F">
        <w:rPr>
          <w:lang w:val="en-US"/>
        </w:rPr>
        <w:t xml:space="preserve">, C. G. (2015). Stationarity is undead: Uncertainty dominates the distribution of extremes. </w:t>
      </w:r>
      <w:r w:rsidRPr="0027659F">
        <w:rPr>
          <w:i/>
          <w:lang w:val="en-US"/>
        </w:rPr>
        <w:t>Adv. Water Resour.</w:t>
      </w:r>
      <w:r w:rsidRPr="0027659F">
        <w:rPr>
          <w:lang w:val="en-US"/>
        </w:rPr>
        <w:t>, 77, pp. 17–36.</w:t>
      </w:r>
    </w:p>
    <w:p w14:paraId="015AA34A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Serinaldi, F., Kilsby, C.G. &amp; Lombardo, F., 2018. Untenable nonstationarity_ An assessment of the fitness for purpose of trend tests in hydrology. </w:t>
      </w:r>
      <w:r w:rsidRPr="00844C8F">
        <w:rPr>
          <w:i/>
          <w:lang w:val="en-US"/>
        </w:rPr>
        <w:t>A</w:t>
      </w:r>
      <w:r>
        <w:rPr>
          <w:i/>
          <w:lang w:val="en-US"/>
        </w:rPr>
        <w:t>dvances in Water Resources</w:t>
      </w:r>
      <w:r>
        <w:rPr>
          <w:lang w:val="en-US"/>
        </w:rPr>
        <w:t>, 111, pp.132–155.</w:t>
      </w:r>
    </w:p>
    <w:p w14:paraId="0D36F274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>S</w:t>
      </w:r>
      <w:r>
        <w:rPr>
          <w:lang w:val="en-US"/>
        </w:rPr>
        <w:t>pence, C.M. &amp; Brown, C.M., 2016</w:t>
      </w:r>
      <w:r w:rsidRPr="00844C8F">
        <w:rPr>
          <w:lang w:val="en-US"/>
        </w:rPr>
        <w:t xml:space="preserve">. Nonstationary decision model for flood risk decision scaling. </w:t>
      </w:r>
      <w:r w:rsidRPr="00844C8F">
        <w:rPr>
          <w:i/>
          <w:lang w:val="en-US"/>
        </w:rPr>
        <w:t>Water Resources Research</w:t>
      </w:r>
      <w:r w:rsidRPr="00844C8F">
        <w:rPr>
          <w:lang w:val="en-US"/>
        </w:rPr>
        <w:t>, 52(11), pp.8650–</w:t>
      </w:r>
      <w:r>
        <w:rPr>
          <w:lang w:val="en-US"/>
        </w:rPr>
        <w:t>8667.</w:t>
      </w:r>
    </w:p>
    <w:p w14:paraId="0FFFF1D6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>Stedinger, J.R. &amp; Crainiceanu, C.M., 2001. Climate Variability and Flood-Risk Management. In</w:t>
      </w:r>
      <w:r>
        <w:rPr>
          <w:lang w:val="en-US"/>
        </w:rPr>
        <w:t xml:space="preserve">: Proceedings of the Conference on </w:t>
      </w:r>
      <w:r w:rsidRPr="00844C8F">
        <w:rPr>
          <w:lang w:val="en-US"/>
        </w:rPr>
        <w:t>Risk-Based Deci</w:t>
      </w:r>
      <w:r>
        <w:rPr>
          <w:lang w:val="en-US"/>
        </w:rPr>
        <w:t xml:space="preserve">sionmaking in Water Resources, </w:t>
      </w:r>
      <w:r w:rsidRPr="00144C78">
        <w:rPr>
          <w:lang w:val="en-US"/>
        </w:rPr>
        <w:t xml:space="preserve">October 15-20, 2000, Santa Barbara, California. </w:t>
      </w:r>
      <w:r w:rsidRPr="00844C8F">
        <w:rPr>
          <w:lang w:val="en-US"/>
        </w:rPr>
        <w:t>Reston, VA: American Society</w:t>
      </w:r>
      <w:r>
        <w:rPr>
          <w:lang w:val="en-US"/>
        </w:rPr>
        <w:t xml:space="preserve"> of Civil Engineers, pp. 77–86. Doi: </w:t>
      </w:r>
      <w:hyperlink r:id="rId18" w:history="1">
        <w:r w:rsidRPr="00144C78">
          <w:rPr>
            <w:rStyle w:val="Hyperlink"/>
            <w:lang w:val="en-US"/>
          </w:rPr>
          <w:t>10.1061/40577(306)7</w:t>
        </w:r>
      </w:hyperlink>
      <w:r>
        <w:rPr>
          <w:lang w:val="en-US"/>
        </w:rPr>
        <w:t>.</w:t>
      </w:r>
    </w:p>
    <w:p w14:paraId="68ED455E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Stedinger, J.R. &amp; Griffis, V.W., 2011. Getting From Here to Where? Flood Frequency Analysis and Climate1. </w:t>
      </w:r>
      <w:r w:rsidRPr="00844C8F">
        <w:rPr>
          <w:i/>
          <w:lang w:val="en-US"/>
        </w:rPr>
        <w:t>JAWRA Journal of the American Water Resources Association</w:t>
      </w:r>
      <w:r>
        <w:rPr>
          <w:lang w:val="en-US"/>
        </w:rPr>
        <w:t>, 47(3), pp.506–513.</w:t>
      </w:r>
    </w:p>
    <w:p w14:paraId="718B0631" w14:textId="77777777" w:rsidR="00287E6B" w:rsidRPr="00844C8F" w:rsidRDefault="00287E6B" w:rsidP="00287E6B">
      <w:pPr>
        <w:ind w:left="426" w:hanging="426"/>
        <w:rPr>
          <w:lang w:val="en-US"/>
        </w:rPr>
      </w:pPr>
      <w:r w:rsidRPr="00DD740C">
        <w:rPr>
          <w:lang w:val="fr-FR"/>
        </w:rPr>
        <w:t xml:space="preserve">Sveinsson, O.G.B. et al., 2003. </w:t>
      </w:r>
      <w:r w:rsidRPr="00844C8F">
        <w:rPr>
          <w:lang w:val="en-US"/>
        </w:rPr>
        <w:t xml:space="preserve">Modeling the Dynamics of Long-Term Variability of Hydroclimatic Processes. </w:t>
      </w:r>
      <w:r>
        <w:rPr>
          <w:i/>
          <w:lang w:val="en-US"/>
        </w:rPr>
        <w:t xml:space="preserve">Journal of Hydrometeorolgy, </w:t>
      </w:r>
      <w:r w:rsidRPr="00F66D2C">
        <w:rPr>
          <w:lang w:val="en-US"/>
        </w:rPr>
        <w:t xml:space="preserve">Vol. 4, </w:t>
      </w:r>
      <w:r>
        <w:rPr>
          <w:lang w:val="en-US"/>
        </w:rPr>
        <w:t>pp. 489-505.</w:t>
      </w:r>
    </w:p>
    <w:p w14:paraId="7D7982A1" w14:textId="77777777" w:rsidR="00287E6B" w:rsidRPr="000A4354" w:rsidRDefault="00287E6B" w:rsidP="00287E6B">
      <w:pPr>
        <w:ind w:left="426" w:hanging="426"/>
        <w:rPr>
          <w:i/>
          <w:lang w:val="en-US"/>
        </w:rPr>
      </w:pPr>
      <w:r w:rsidRPr="00844C8F">
        <w:rPr>
          <w:lang w:val="en-US"/>
        </w:rPr>
        <w:t xml:space="preserve">Vogel, R.M., </w:t>
      </w:r>
      <w:r w:rsidRPr="00144C78">
        <w:rPr>
          <w:lang w:val="en-US"/>
        </w:rPr>
        <w:t xml:space="preserve">Castellarin, A., 2017. </w:t>
      </w:r>
      <w:r w:rsidRPr="00144C78">
        <w:rPr>
          <w:i/>
          <w:lang w:val="en-US"/>
        </w:rPr>
        <w:t>Risk, Reliability and Return Periods and Hydrologic Design</w:t>
      </w:r>
      <w:r w:rsidRPr="00144C78">
        <w:rPr>
          <w:lang w:val="en-US"/>
        </w:rPr>
        <w:t>. In: Vijay P. Singh (Ed.), Handbook of Applied Hydrology. Second Edition. McGraw-Hill Education, New York, NY.</w:t>
      </w:r>
    </w:p>
    <w:p w14:paraId="39954C01" w14:textId="77777777" w:rsidR="00287E6B" w:rsidRPr="00844C8F" w:rsidRDefault="00287E6B" w:rsidP="00287E6B">
      <w:pPr>
        <w:ind w:left="426" w:hanging="426"/>
        <w:rPr>
          <w:lang w:val="en-US"/>
        </w:rPr>
      </w:pPr>
      <w:r w:rsidRPr="00844C8F">
        <w:rPr>
          <w:lang w:val="en-US"/>
        </w:rPr>
        <w:t xml:space="preserve">Vogel, R.M., Rosner, A. &amp; Kirshen, P.H., 2013. Brief communication “Likelihood of societal preparedness for global change.” </w:t>
      </w:r>
      <w:r w:rsidRPr="00844C8F">
        <w:rPr>
          <w:i/>
          <w:lang w:val="en-US"/>
        </w:rPr>
        <w:t>Natural Hazards and Earth System Sciences Discussions</w:t>
      </w:r>
      <w:r>
        <w:rPr>
          <w:lang w:val="en-US"/>
        </w:rPr>
        <w:t>, 1(1), pp.1–13.</w:t>
      </w:r>
    </w:p>
    <w:p w14:paraId="2F91A366" w14:textId="77777777" w:rsidR="00287E6B" w:rsidRPr="00E06635" w:rsidRDefault="00287E6B" w:rsidP="00287E6B">
      <w:pPr>
        <w:rPr>
          <w:lang w:val="en-US"/>
        </w:rPr>
      </w:pPr>
      <w:r>
        <w:rPr>
          <w:lang w:val="en-US"/>
        </w:rPr>
        <w:t>Vogel, R.M., Yaindl, C.,</w:t>
      </w:r>
      <w:r w:rsidRPr="00E06635">
        <w:rPr>
          <w:lang w:val="en-US"/>
        </w:rPr>
        <w:t xml:space="preserve"> Walter, M., </w:t>
      </w:r>
      <w:r>
        <w:rPr>
          <w:lang w:val="en-US"/>
        </w:rPr>
        <w:t>(</w:t>
      </w:r>
      <w:r w:rsidRPr="00E06635">
        <w:rPr>
          <w:lang w:val="en-US"/>
        </w:rPr>
        <w:t>2011</w:t>
      </w:r>
      <w:r>
        <w:rPr>
          <w:lang w:val="en-US"/>
        </w:rPr>
        <w:t>)</w:t>
      </w:r>
      <w:r w:rsidRPr="00E06635">
        <w:rPr>
          <w:lang w:val="en-US"/>
        </w:rPr>
        <w:t>. Nonstationarity: Flood Magnification and Recurrence Reducti</w:t>
      </w:r>
      <w:r>
        <w:rPr>
          <w:lang w:val="en-US"/>
        </w:rPr>
        <w:t>on Factors in the United States</w:t>
      </w:r>
      <w:r w:rsidRPr="00E06635">
        <w:rPr>
          <w:lang w:val="en-US"/>
        </w:rPr>
        <w:t xml:space="preserve">. </w:t>
      </w:r>
      <w:r w:rsidRPr="00E06635">
        <w:rPr>
          <w:i/>
          <w:lang w:val="en-US"/>
        </w:rPr>
        <w:t>JAWRA Journal of the American Water Resources Association</w:t>
      </w:r>
      <w:r>
        <w:rPr>
          <w:lang w:val="en-US"/>
        </w:rPr>
        <w:t>, 47(3), pp.464–474.</w:t>
      </w:r>
    </w:p>
    <w:p w14:paraId="54BF5BB3" w14:textId="5C941EB6" w:rsidR="00985188" w:rsidRPr="00985188" w:rsidRDefault="00287E6B" w:rsidP="00985188">
      <w:r w:rsidRPr="00844C8F">
        <w:rPr>
          <w:lang w:val="en-US"/>
        </w:rPr>
        <w:t xml:space="preserve">Waage, M.D. &amp; Kaatz, L., 2011. Nonstationary Water Planning: An Overview of Several Promising Planning Methods1. </w:t>
      </w:r>
      <w:r w:rsidRPr="00844C8F">
        <w:rPr>
          <w:i/>
          <w:lang w:val="en-US"/>
        </w:rPr>
        <w:t>Journal of the American Water Resources Association</w:t>
      </w:r>
      <w:r w:rsidRPr="00844C8F">
        <w:rPr>
          <w:lang w:val="en-US"/>
        </w:rPr>
        <w:t>, 47(3), pp.535–540.</w:t>
      </w:r>
    </w:p>
    <w:sectPr w:rsidR="00985188" w:rsidRPr="00985188" w:rsidSect="00F6602D">
      <w:footerReference w:type="even" r:id="rId19"/>
      <w:footerReference w:type="default" r:id="rId20"/>
      <w:pgSz w:w="11900" w:h="16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1678" w14:textId="77777777" w:rsidR="00511EB3" w:rsidRDefault="00511EB3" w:rsidP="003276A9">
      <w:pPr>
        <w:spacing w:after="0" w:line="240" w:lineRule="auto"/>
      </w:pPr>
      <w:r>
        <w:separator/>
      </w:r>
    </w:p>
  </w:endnote>
  <w:endnote w:type="continuationSeparator" w:id="0">
    <w:p w14:paraId="1D2BAA00" w14:textId="77777777" w:rsidR="00511EB3" w:rsidRDefault="00511EB3" w:rsidP="003276A9">
      <w:pPr>
        <w:spacing w:after="0" w:line="240" w:lineRule="auto"/>
      </w:pPr>
      <w:r>
        <w:continuationSeparator/>
      </w:r>
    </w:p>
  </w:endnote>
  <w:endnote w:type="continuationNotice" w:id="1">
    <w:p w14:paraId="4DADBD3F" w14:textId="77777777" w:rsidR="00511EB3" w:rsidRDefault="00511E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77E9A" w14:textId="77777777" w:rsidR="0095500E" w:rsidRDefault="0095500E" w:rsidP="009550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28FABB" w14:textId="77777777" w:rsidR="0095500E" w:rsidRDefault="0095500E" w:rsidP="003276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69FB" w14:textId="768E0887" w:rsidR="0095500E" w:rsidRDefault="0095500E" w:rsidP="009550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0248">
      <w:rPr>
        <w:rStyle w:val="PageNumber"/>
        <w:noProof/>
      </w:rPr>
      <w:t>24</w:t>
    </w:r>
    <w:r>
      <w:rPr>
        <w:rStyle w:val="PageNumber"/>
      </w:rPr>
      <w:fldChar w:fldCharType="end"/>
    </w:r>
  </w:p>
  <w:p w14:paraId="1E1BCC04" w14:textId="77777777" w:rsidR="0095500E" w:rsidRDefault="0095500E" w:rsidP="003276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1CD0" w14:textId="77777777" w:rsidR="00511EB3" w:rsidRDefault="00511EB3" w:rsidP="003276A9">
      <w:pPr>
        <w:spacing w:after="0" w:line="240" w:lineRule="auto"/>
      </w:pPr>
      <w:r>
        <w:separator/>
      </w:r>
    </w:p>
  </w:footnote>
  <w:footnote w:type="continuationSeparator" w:id="0">
    <w:p w14:paraId="257B8426" w14:textId="77777777" w:rsidR="00511EB3" w:rsidRDefault="00511EB3" w:rsidP="003276A9">
      <w:pPr>
        <w:spacing w:after="0" w:line="240" w:lineRule="auto"/>
      </w:pPr>
      <w:r>
        <w:continuationSeparator/>
      </w:r>
    </w:p>
  </w:footnote>
  <w:footnote w:type="continuationNotice" w:id="1">
    <w:p w14:paraId="4B51B5DB" w14:textId="77777777" w:rsidR="00511EB3" w:rsidRDefault="00511E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07DF"/>
    <w:multiLevelType w:val="multilevel"/>
    <w:tmpl w:val="D8247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AED3652"/>
    <w:multiLevelType w:val="multilevel"/>
    <w:tmpl w:val="122092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E81AD5"/>
    <w:multiLevelType w:val="hybridMultilevel"/>
    <w:tmpl w:val="CAAA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B339F"/>
    <w:multiLevelType w:val="hybridMultilevel"/>
    <w:tmpl w:val="DF0EC40A"/>
    <w:lvl w:ilvl="0" w:tplc="D9DC5D2C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6AC854F7"/>
    <w:multiLevelType w:val="hybridMultilevel"/>
    <w:tmpl w:val="AEA8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B097B"/>
    <w:multiLevelType w:val="hybridMultilevel"/>
    <w:tmpl w:val="E4BC90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6A6082"/>
    <w:multiLevelType w:val="hybridMultilevel"/>
    <w:tmpl w:val="43C2F456"/>
    <w:lvl w:ilvl="0" w:tplc="0CD46A6A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374827"/>
    <w:multiLevelType w:val="multilevel"/>
    <w:tmpl w:val="AA6EF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188"/>
    <w:rsid w:val="00011509"/>
    <w:rsid w:val="00016CD6"/>
    <w:rsid w:val="00030923"/>
    <w:rsid w:val="00065771"/>
    <w:rsid w:val="00067247"/>
    <w:rsid w:val="00075651"/>
    <w:rsid w:val="000820CB"/>
    <w:rsid w:val="00093A64"/>
    <w:rsid w:val="00095E39"/>
    <w:rsid w:val="000A2FD6"/>
    <w:rsid w:val="000A3F4D"/>
    <w:rsid w:val="000C7EA0"/>
    <w:rsid w:val="000F1072"/>
    <w:rsid w:val="000F50AC"/>
    <w:rsid w:val="00101981"/>
    <w:rsid w:val="001272E8"/>
    <w:rsid w:val="00144C78"/>
    <w:rsid w:val="001546F4"/>
    <w:rsid w:val="0018271F"/>
    <w:rsid w:val="001A3076"/>
    <w:rsid w:val="001B57B7"/>
    <w:rsid w:val="001B5BB6"/>
    <w:rsid w:val="001E5FB0"/>
    <w:rsid w:val="001E60EC"/>
    <w:rsid w:val="002039F3"/>
    <w:rsid w:val="00223EEA"/>
    <w:rsid w:val="002272F9"/>
    <w:rsid w:val="00243057"/>
    <w:rsid w:val="00253083"/>
    <w:rsid w:val="00255E5A"/>
    <w:rsid w:val="00287E6B"/>
    <w:rsid w:val="002902C2"/>
    <w:rsid w:val="00292C30"/>
    <w:rsid w:val="002B2E2F"/>
    <w:rsid w:val="002C39E7"/>
    <w:rsid w:val="002C6794"/>
    <w:rsid w:val="0030243C"/>
    <w:rsid w:val="00311009"/>
    <w:rsid w:val="00311ADC"/>
    <w:rsid w:val="003221C3"/>
    <w:rsid w:val="003276A9"/>
    <w:rsid w:val="0033319E"/>
    <w:rsid w:val="00334535"/>
    <w:rsid w:val="00344FD3"/>
    <w:rsid w:val="00365FC9"/>
    <w:rsid w:val="00374A66"/>
    <w:rsid w:val="003768EE"/>
    <w:rsid w:val="00384C95"/>
    <w:rsid w:val="00387EEC"/>
    <w:rsid w:val="00402606"/>
    <w:rsid w:val="0040264E"/>
    <w:rsid w:val="00436A42"/>
    <w:rsid w:val="00453709"/>
    <w:rsid w:val="00460147"/>
    <w:rsid w:val="00466DEE"/>
    <w:rsid w:val="00483CDE"/>
    <w:rsid w:val="00494314"/>
    <w:rsid w:val="00496324"/>
    <w:rsid w:val="004A115F"/>
    <w:rsid w:val="004A59B3"/>
    <w:rsid w:val="004B31DA"/>
    <w:rsid w:val="004C6AB8"/>
    <w:rsid w:val="00511EB3"/>
    <w:rsid w:val="00512B4A"/>
    <w:rsid w:val="00521C8C"/>
    <w:rsid w:val="00526992"/>
    <w:rsid w:val="0053183F"/>
    <w:rsid w:val="00535CE4"/>
    <w:rsid w:val="00536F46"/>
    <w:rsid w:val="00542ED6"/>
    <w:rsid w:val="00560033"/>
    <w:rsid w:val="00563D28"/>
    <w:rsid w:val="00571B7B"/>
    <w:rsid w:val="005828CB"/>
    <w:rsid w:val="005A1FED"/>
    <w:rsid w:val="005B0CC6"/>
    <w:rsid w:val="005C6808"/>
    <w:rsid w:val="005D49DC"/>
    <w:rsid w:val="005D5C9F"/>
    <w:rsid w:val="005D5E57"/>
    <w:rsid w:val="005E3DE1"/>
    <w:rsid w:val="00621763"/>
    <w:rsid w:val="00624288"/>
    <w:rsid w:val="0063283E"/>
    <w:rsid w:val="00635367"/>
    <w:rsid w:val="0064138D"/>
    <w:rsid w:val="00643463"/>
    <w:rsid w:val="00650E40"/>
    <w:rsid w:val="00651A9F"/>
    <w:rsid w:val="00661373"/>
    <w:rsid w:val="00692138"/>
    <w:rsid w:val="00697291"/>
    <w:rsid w:val="006C12AD"/>
    <w:rsid w:val="006D68B9"/>
    <w:rsid w:val="006D7DEF"/>
    <w:rsid w:val="006E2A13"/>
    <w:rsid w:val="006F1C5C"/>
    <w:rsid w:val="00716D50"/>
    <w:rsid w:val="00720BDF"/>
    <w:rsid w:val="007249B9"/>
    <w:rsid w:val="007276D0"/>
    <w:rsid w:val="00741285"/>
    <w:rsid w:val="007420FB"/>
    <w:rsid w:val="00745FE3"/>
    <w:rsid w:val="00746541"/>
    <w:rsid w:val="00750246"/>
    <w:rsid w:val="007743D8"/>
    <w:rsid w:val="00780382"/>
    <w:rsid w:val="0079508C"/>
    <w:rsid w:val="0079645A"/>
    <w:rsid w:val="007A18F5"/>
    <w:rsid w:val="007B45A5"/>
    <w:rsid w:val="007C2DC9"/>
    <w:rsid w:val="007C75A6"/>
    <w:rsid w:val="007D629F"/>
    <w:rsid w:val="007F2F85"/>
    <w:rsid w:val="007F7585"/>
    <w:rsid w:val="00804086"/>
    <w:rsid w:val="00810AA2"/>
    <w:rsid w:val="00825585"/>
    <w:rsid w:val="00825ADC"/>
    <w:rsid w:val="008409E3"/>
    <w:rsid w:val="00841B90"/>
    <w:rsid w:val="00850599"/>
    <w:rsid w:val="00853A3C"/>
    <w:rsid w:val="00864DF1"/>
    <w:rsid w:val="00897985"/>
    <w:rsid w:val="008B15F0"/>
    <w:rsid w:val="008B47FB"/>
    <w:rsid w:val="008C2C06"/>
    <w:rsid w:val="008D2F0F"/>
    <w:rsid w:val="008D624C"/>
    <w:rsid w:val="008E38D1"/>
    <w:rsid w:val="008E772A"/>
    <w:rsid w:val="008F2A42"/>
    <w:rsid w:val="009102F6"/>
    <w:rsid w:val="009132BC"/>
    <w:rsid w:val="00923A74"/>
    <w:rsid w:val="00934204"/>
    <w:rsid w:val="009379E1"/>
    <w:rsid w:val="0094212F"/>
    <w:rsid w:val="00950627"/>
    <w:rsid w:val="009522FB"/>
    <w:rsid w:val="0095265E"/>
    <w:rsid w:val="0095500E"/>
    <w:rsid w:val="00970437"/>
    <w:rsid w:val="00971496"/>
    <w:rsid w:val="009774F2"/>
    <w:rsid w:val="00985188"/>
    <w:rsid w:val="00996BF6"/>
    <w:rsid w:val="00996EB4"/>
    <w:rsid w:val="009A01C0"/>
    <w:rsid w:val="009A063A"/>
    <w:rsid w:val="009A3B3B"/>
    <w:rsid w:val="009C770F"/>
    <w:rsid w:val="009D1E2C"/>
    <w:rsid w:val="009F72BC"/>
    <w:rsid w:val="009F79B5"/>
    <w:rsid w:val="00A174B0"/>
    <w:rsid w:val="00A33D37"/>
    <w:rsid w:val="00A46F43"/>
    <w:rsid w:val="00A50AC9"/>
    <w:rsid w:val="00A53428"/>
    <w:rsid w:val="00A557AA"/>
    <w:rsid w:val="00A61042"/>
    <w:rsid w:val="00A843D4"/>
    <w:rsid w:val="00A9291A"/>
    <w:rsid w:val="00A97834"/>
    <w:rsid w:val="00AA24E0"/>
    <w:rsid w:val="00AD143C"/>
    <w:rsid w:val="00AD3C5D"/>
    <w:rsid w:val="00B0489D"/>
    <w:rsid w:val="00B16EF7"/>
    <w:rsid w:val="00B57731"/>
    <w:rsid w:val="00B66834"/>
    <w:rsid w:val="00B66E6C"/>
    <w:rsid w:val="00B733E4"/>
    <w:rsid w:val="00B81CAD"/>
    <w:rsid w:val="00B878C6"/>
    <w:rsid w:val="00B919DD"/>
    <w:rsid w:val="00B9231E"/>
    <w:rsid w:val="00B976D3"/>
    <w:rsid w:val="00BA17E6"/>
    <w:rsid w:val="00BA3203"/>
    <w:rsid w:val="00BB15A8"/>
    <w:rsid w:val="00BC636E"/>
    <w:rsid w:val="00BE0127"/>
    <w:rsid w:val="00BE173C"/>
    <w:rsid w:val="00C02A16"/>
    <w:rsid w:val="00C0302C"/>
    <w:rsid w:val="00C0535B"/>
    <w:rsid w:val="00C26928"/>
    <w:rsid w:val="00C50B7C"/>
    <w:rsid w:val="00C55314"/>
    <w:rsid w:val="00C606C7"/>
    <w:rsid w:val="00C73EE9"/>
    <w:rsid w:val="00C903B3"/>
    <w:rsid w:val="00C9792A"/>
    <w:rsid w:val="00CA2603"/>
    <w:rsid w:val="00CC71BC"/>
    <w:rsid w:val="00CD03CE"/>
    <w:rsid w:val="00CD29EF"/>
    <w:rsid w:val="00CD5D3D"/>
    <w:rsid w:val="00CD6BC2"/>
    <w:rsid w:val="00CF7E42"/>
    <w:rsid w:val="00D06E6F"/>
    <w:rsid w:val="00D2488C"/>
    <w:rsid w:val="00D444D1"/>
    <w:rsid w:val="00D52159"/>
    <w:rsid w:val="00D52465"/>
    <w:rsid w:val="00D57D84"/>
    <w:rsid w:val="00D604E3"/>
    <w:rsid w:val="00D618C5"/>
    <w:rsid w:val="00D62695"/>
    <w:rsid w:val="00D643FB"/>
    <w:rsid w:val="00D65191"/>
    <w:rsid w:val="00D75AAD"/>
    <w:rsid w:val="00D833FF"/>
    <w:rsid w:val="00DB3CE0"/>
    <w:rsid w:val="00DC1460"/>
    <w:rsid w:val="00DC3455"/>
    <w:rsid w:val="00DD740C"/>
    <w:rsid w:val="00DF24D8"/>
    <w:rsid w:val="00E00C76"/>
    <w:rsid w:val="00E202B2"/>
    <w:rsid w:val="00E215B2"/>
    <w:rsid w:val="00E25336"/>
    <w:rsid w:val="00E27FEE"/>
    <w:rsid w:val="00E437C3"/>
    <w:rsid w:val="00E50177"/>
    <w:rsid w:val="00E50A2A"/>
    <w:rsid w:val="00E50BAA"/>
    <w:rsid w:val="00E524E1"/>
    <w:rsid w:val="00E52A7A"/>
    <w:rsid w:val="00E541B5"/>
    <w:rsid w:val="00E75C6E"/>
    <w:rsid w:val="00E80673"/>
    <w:rsid w:val="00E81441"/>
    <w:rsid w:val="00E8735D"/>
    <w:rsid w:val="00E87E38"/>
    <w:rsid w:val="00E90248"/>
    <w:rsid w:val="00E9657D"/>
    <w:rsid w:val="00EB1603"/>
    <w:rsid w:val="00EB6021"/>
    <w:rsid w:val="00ED29A8"/>
    <w:rsid w:val="00EF46ED"/>
    <w:rsid w:val="00F026B7"/>
    <w:rsid w:val="00F145A3"/>
    <w:rsid w:val="00F1638E"/>
    <w:rsid w:val="00F176A8"/>
    <w:rsid w:val="00F24199"/>
    <w:rsid w:val="00F454B1"/>
    <w:rsid w:val="00F45AC8"/>
    <w:rsid w:val="00F47120"/>
    <w:rsid w:val="00F47392"/>
    <w:rsid w:val="00F53172"/>
    <w:rsid w:val="00F5596E"/>
    <w:rsid w:val="00F57E57"/>
    <w:rsid w:val="00F60D83"/>
    <w:rsid w:val="00F61F13"/>
    <w:rsid w:val="00F6602D"/>
    <w:rsid w:val="00FB0366"/>
    <w:rsid w:val="00FC05A5"/>
    <w:rsid w:val="00FC2B9E"/>
    <w:rsid w:val="00FD3D13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C705E8"/>
  <w14:defaultImageDpi w14:val="300"/>
  <w15:docId w15:val="{60A94632-14DB-4494-B34C-4956B150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FB"/>
    <w:pPr>
      <w:spacing w:after="160" w:line="360" w:lineRule="auto"/>
      <w:jc w:val="both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188"/>
    <w:pPr>
      <w:keepNext/>
      <w:keepLines/>
      <w:numPr>
        <w:numId w:val="1"/>
      </w:numPr>
      <w:spacing w:before="240" w:after="240" w:line="240" w:lineRule="auto"/>
      <w:ind w:left="431" w:hanging="431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88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188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18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18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18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18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18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18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09E3"/>
    <w:pPr>
      <w:spacing w:after="200" w:line="240" w:lineRule="auto"/>
    </w:pPr>
    <w:rPr>
      <w:b/>
      <w:bC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5188"/>
    <w:rPr>
      <w:rFonts w:ascii="Times New Roman" w:eastAsiaTheme="majorEastAsia" w:hAnsi="Times New Roman" w:cstheme="majorBidi"/>
      <w:b/>
      <w:bCs/>
      <w:szCs w:val="32"/>
    </w:rPr>
  </w:style>
  <w:style w:type="paragraph" w:customStyle="1" w:styleId="Titulo">
    <w:name w:val="Titulo"/>
    <w:basedOn w:val="Normal"/>
    <w:next w:val="Titulo0"/>
    <w:qFormat/>
    <w:rsid w:val="00985188"/>
    <w:pPr>
      <w:jc w:val="center"/>
    </w:pPr>
    <w:rPr>
      <w:b/>
      <w:sz w:val="28"/>
    </w:rPr>
  </w:style>
  <w:style w:type="paragraph" w:customStyle="1" w:styleId="Titulo0">
    <w:name w:val="Titulo"/>
    <w:basedOn w:val="Normal"/>
    <w:link w:val="TituloChar"/>
    <w:qFormat/>
    <w:rsid w:val="00741285"/>
    <w:pPr>
      <w:jc w:val="center"/>
    </w:pPr>
    <w:rPr>
      <w:b/>
      <w:sz w:val="28"/>
    </w:rPr>
  </w:style>
  <w:style w:type="character" w:customStyle="1" w:styleId="TituloChar">
    <w:name w:val="Titulo Char"/>
    <w:basedOn w:val="DefaultParagraphFont"/>
    <w:link w:val="Titulo0"/>
    <w:rsid w:val="00741285"/>
    <w:rPr>
      <w:rFonts w:ascii="Times New Roman" w:eastAsiaTheme="minorHAnsi" w:hAnsi="Times New Roman"/>
      <w:b/>
      <w:sz w:val="28"/>
      <w:szCs w:val="22"/>
    </w:rPr>
  </w:style>
  <w:style w:type="paragraph" w:customStyle="1" w:styleId="Autores">
    <w:name w:val="Autores"/>
    <w:basedOn w:val="Titulo0"/>
    <w:link w:val="AutoresChar"/>
    <w:qFormat/>
    <w:rsid w:val="00985188"/>
    <w:rPr>
      <w:b w:val="0"/>
      <w:sz w:val="24"/>
      <w:szCs w:val="24"/>
    </w:rPr>
  </w:style>
  <w:style w:type="character" w:customStyle="1" w:styleId="AutoresChar">
    <w:name w:val="Autores Char"/>
    <w:basedOn w:val="TituloChar"/>
    <w:link w:val="Autores"/>
    <w:rsid w:val="00985188"/>
    <w:rPr>
      <w:rFonts w:ascii="Times New Roman" w:eastAsiaTheme="minorHAnsi" w:hAnsi="Times New Roman"/>
      <w:b w:val="0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85188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188"/>
    <w:rPr>
      <w:rFonts w:ascii="Times New Roman" w:eastAsiaTheme="majorEastAsia" w:hAnsi="Times New Roman" w:cstheme="majorBidi"/>
      <w:bCs/>
      <w:color w:val="000000" w:themeColor="text1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18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18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18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18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E3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7E6B"/>
    <w:rPr>
      <w:color w:val="0000FF" w:themeColor="hyperlink"/>
      <w:u w:val="single"/>
    </w:rPr>
  </w:style>
  <w:style w:type="paragraph" w:customStyle="1" w:styleId="Referencias">
    <w:name w:val="Referencias"/>
    <w:basedOn w:val="Normal"/>
    <w:qFormat/>
    <w:rsid w:val="00741285"/>
    <w:pPr>
      <w:spacing w:before="240" w:after="240"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3276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A9"/>
    <w:rPr>
      <w:rFonts w:ascii="Times New Roman" w:eastAsiaTheme="minorHAnsi" w:hAnsi="Times New Roman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276A9"/>
  </w:style>
  <w:style w:type="table" w:styleId="TableGrid">
    <w:name w:val="Table Grid"/>
    <w:basedOn w:val="TableNormal"/>
    <w:uiPriority w:val="39"/>
    <w:rsid w:val="00B66834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F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7E6"/>
    <w:rPr>
      <w:color w:val="808080"/>
    </w:rPr>
  </w:style>
  <w:style w:type="paragraph" w:styleId="Subtitle">
    <w:name w:val="Subtitle"/>
    <w:basedOn w:val="Normal"/>
    <w:next w:val="BodyText"/>
    <w:link w:val="SubtitleChar"/>
    <w:autoRedefine/>
    <w:qFormat/>
    <w:rsid w:val="00C903B3"/>
    <w:pPr>
      <w:spacing w:after="0"/>
      <w:jc w:val="right"/>
    </w:pPr>
    <w:rPr>
      <w:rFonts w:cs="Times New Roman"/>
      <w:iCs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C903B3"/>
    <w:rPr>
      <w:rFonts w:ascii="Times New Roman" w:eastAsiaTheme="minorHAnsi" w:hAnsi="Times New Roman" w:cs="Times New Roman"/>
      <w:iCs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77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731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7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semiHidden/>
    <w:unhideWhenUsed/>
    <w:rsid w:val="00571B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7B"/>
    <w:rPr>
      <w:rFonts w:ascii="Times New Roman" w:eastAsiaTheme="minorHAnsi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yperlink" Target="https://doi.org/10.1061/40577(306)7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0305A7B65F94CABBC979CDC062FAF" ma:contentTypeVersion="10" ma:contentTypeDescription="Crie um novo documento." ma:contentTypeScope="" ma:versionID="77202d6b3341dc0c46ac236093eaa41b">
  <xsd:schema xmlns:xsd="http://www.w3.org/2001/XMLSchema" xmlns:xs="http://www.w3.org/2001/XMLSchema" xmlns:p="http://schemas.microsoft.com/office/2006/metadata/properties" xmlns:ns2="66e26dd1-369f-4e5f-b5e0-71b9c7d0574d" targetNamespace="http://schemas.microsoft.com/office/2006/metadata/properties" ma:root="true" ma:fieldsID="c1c1f3b5132924355ac952093b00d5dc" ns2:_="">
    <xsd:import namespace="66e26dd1-369f-4e5f-b5e0-71b9c7d05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26dd1-369f-4e5f-b5e0-71b9c7d05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C4D55-9C02-495C-BA22-50C2E59D3D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58EC2-01BE-49F6-96A6-1A6C4B832D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736333-0E33-46A3-8701-15648DCBF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F59EDD-FF2D-4801-952D-2223CADEC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26dd1-369f-4e5f-b5e0-71b9c7d05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25</Pages>
  <Words>6550</Words>
  <Characters>37337</Characters>
  <Application>Microsoft Office Word</Application>
  <DocSecurity>0</DocSecurity>
  <Lines>311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usuario</dc:creator>
  <cp:keywords/>
  <dc:description/>
  <cp:lastModifiedBy>Dirceu Silveira Reis Junior</cp:lastModifiedBy>
  <cp:revision>224</cp:revision>
  <dcterms:created xsi:type="dcterms:W3CDTF">2020-04-16T14:27:00Z</dcterms:created>
  <dcterms:modified xsi:type="dcterms:W3CDTF">2021-11-17T11:38:00Z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0x01010017B0305A7B65F94CABBC979CDC062FAF</vt:lpwstr>
  </property>
</Properties>
</file>