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ef6974d3f14773b1792edc3e7d47e36399e469d"/>
    <w:p>
      <w:pPr>
        <w:pStyle w:val="Heading1"/>
      </w:pPr>
      <w:r>
        <w:t xml:space="preserve">Requisitos de hosting para la Plataforma MDDI — Educa Primaria</w:t>
      </w:r>
    </w:p>
    <w:p>
      <w:pPr>
        <w:pStyle w:val="FirstParagraph"/>
      </w:pPr>
      <w:r>
        <w:rPr>
          <w:iCs/>
          <w:i/>
        </w:rPr>
        <w:t xml:space="preserve">Ministerio de Educación de la Provincia de Corrientes · Subsecretaría de Contenidos Audiovisuales</w:t>
      </w:r>
    </w:p>
    <w:p>
      <w:pPr>
        <w:pStyle w:val="BodyText"/>
      </w:pPr>
      <w:r>
        <w:rPr>
          <w:bCs/>
          <w:b/>
        </w:rPr>
        <w:t xml:space="preserve">Destinatario:</w:t>
      </w:r>
      <w:r>
        <w:t xml:space="preserve"> </w:t>
      </w:r>
      <w:r>
        <w:t xml:space="preserve">Área de Sistemas / Infraestructura del Ministerio de Educación de Corrientes</w:t>
      </w:r>
    </w:p>
    <w:p>
      <w:pPr>
        <w:pStyle w:val="BodyText"/>
      </w:pPr>
      <w:r>
        <w:rPr>
          <w:bCs/>
          <w:b/>
        </w:rPr>
        <w:t xml:space="preserve">Aplicación:</w:t>
      </w:r>
      <w:r>
        <w:t xml:space="preserve"> </w:t>
      </w:r>
      <w:r>
        <w:t xml:space="preserve">Plataforma MDDI (Diseño Didáctico-Interactivo), versión 2.0</w:t>
      </w:r>
    </w:p>
    <w:p>
      <w:pPr>
        <w:pStyle w:val="BodyText"/>
      </w:pPr>
      <w:r>
        <w:rPr>
          <w:bCs/>
          <w:b/>
        </w:rPr>
        <w:t xml:space="preserve">Uso previsto:</w:t>
      </w:r>
      <w:r>
        <w:t xml:space="preserve"> </w:t>
      </w:r>
      <w:r>
        <w:t xml:space="preserve">entre 50 y 70 personas usuarias (docentes de contenidos, especialistas en didáctica, correctores/as y coordinación). Uso interno, en horario laboral, con picos de 20 a 30 personas trabajando al mismo tiempo.</w:t>
      </w:r>
    </w:p>
    <w:bookmarkStart w:id="20" w:name="resumen-para-decidir-rápido"/>
    <w:p>
      <w:pPr>
        <w:pStyle w:val="Heading2"/>
      </w:pPr>
      <w:r>
        <w:t xml:space="preserve">Resumen para decidir rápido</w:t>
      </w:r>
    </w:p>
    <w:p>
      <w:pPr>
        <w:pStyle w:val="FirstParagraph"/>
      </w:pPr>
      <w:r>
        <w:t xml:space="preserve">La plataforma es una aplicación web liviana: un servidor de aplicación (Node.js) y una base de datos (PostgreSQL).</w:t>
      </w:r>
      <w:r>
        <w:t xml:space="preserve"> </w:t>
      </w:r>
      <w:r>
        <w:rPr>
          <w:bCs/>
          <w:b/>
        </w:rPr>
        <w:t xml:space="preserve">Alcanza con una sola máquina virtual pequeña</w:t>
      </w:r>
      <w:r>
        <w:t xml:space="preserve">, con HTTPS, copias de seguridad diarias fuera del servidor y monitoreo básico.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máquina virtual (VPS o VM en nube institucional)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misma, con snapshots automáticos del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 (o Debian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24.04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4 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GB SSD/NVMe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14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 LTS o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22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(proxy inverso + 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Subdominio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 ej.</w:t>
            </w:r>
            <w:r>
              <w:t xml:space="preserve"> </w:t>
            </w:r>
            <w:r>
              <w:rPr>
                <w:rStyle w:val="VerbatimChar"/>
              </w:rPr>
              <w:t xml:space="preserve">mddi.educacion.corrientes.gob.ar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(renovación automática) o certificado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Diarias, con copia fuera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Diarias + snapshot semanal de la VM</w:t>
            </w:r>
          </w:p>
        </w:tc>
      </w:tr>
    </w:tbl>
    <w:p>
      <w:pPr>
        <w:pStyle w:val="BodyText"/>
      </w:pPr>
      <w:r>
        <w:t xml:space="preserve">Costo de referencia en nube comercial: una VM de 2 vCPU / 4-8 GB de RAM cuesta entre USD 12 y USD 45 por mes según el proveedor. En la infraestructura propia del Ministerio el consumo es marginal.</w:t>
      </w:r>
    </w:p>
    <w:bookmarkEnd w:id="20"/>
    <w:bookmarkStart w:id="21" w:name="tipo-de-infraestructura-recomendada"/>
    <w:p>
      <w:pPr>
        <w:pStyle w:val="Heading2"/>
      </w:pPr>
      <w:r>
        <w:t xml:space="preserve">1. Tipo de infraestructura recomendada</w:t>
      </w:r>
    </w:p>
    <w:p>
      <w:pPr>
        <w:pStyle w:val="FirstParagraph"/>
      </w:pPr>
      <w:r>
        <w:t xml:space="preserve">Una única máquina virtual con todos los componentes (Nginx, aplicación Node.js y PostgreSQL). Para 50-70 personas no se justifican clústeres, balanceadores ni bases de datos separadas. La arquitectura permite separar la base de datos o agregar una segunda instancia de aplicación más adelante, sin cambios en el código (ver punto 20).</w:t>
      </w:r>
    </w:p>
    <w:bookmarkEnd w:id="21"/>
    <w:bookmarkStart w:id="22" w:name="opción-recomendada"/>
    <w:p>
      <w:pPr>
        <w:pStyle w:val="Heading2"/>
      </w:pPr>
      <w:r>
        <w:t xml:space="preserve">2. Opción recomendada</w:t>
      </w:r>
    </w:p>
    <w:p>
      <w:pPr>
        <w:pStyle w:val="FirstParagraph"/>
      </w:pPr>
      <w:r>
        <w:t xml:space="preserve">En orden de preferencia: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VM en la infraestructura del Ministerio o del Gobierno provincial</w:t>
      </w:r>
      <w:r>
        <w:t xml:space="preserve"> </w:t>
      </w:r>
      <w:r>
        <w:t xml:space="preserve">(centro de datos propio). Es la opción preferida: los datos quedan en infraestructura del Estado.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VPS en proveedor de nube</w:t>
      </w:r>
      <w:r>
        <w:t xml:space="preserve"> </w:t>
      </w:r>
      <w:r>
        <w:t xml:space="preserve">(por ejemplo DigitalOcean, Linode/Akamai, Hetzner, AWS Lightsail, Google Cloud o Azure) si no hay infraestructura propia disponible.</w:t>
      </w:r>
    </w:p>
    <w:p>
      <w:pPr>
        <w:pStyle w:val="FirstParagraph"/>
      </w:pPr>
      <w:r>
        <w:rPr>
          <w:bCs/>
          <w:b/>
        </w:rPr>
        <w:t xml:space="preserve">No se requieren</w:t>
      </w:r>
      <w:r>
        <w:t xml:space="preserve"> </w:t>
      </w:r>
      <w:r>
        <w:t xml:space="preserve">servicios administrados costosos (Kubernetes, bases de datos gestionadas de alta disponibilidad).</w:t>
      </w:r>
    </w:p>
    <w:bookmarkEnd w:id="22"/>
    <w:bookmarkStart w:id="23" w:name="sistema-operativo"/>
    <w:p>
      <w:pPr>
        <w:pStyle w:val="Heading2"/>
      </w:pPr>
      <w:r>
        <w:t xml:space="preserve">3. Sistema operativo</w:t>
      </w:r>
    </w:p>
    <w:p>
      <w:pPr>
        <w:pStyle w:val="FirstParagraph"/>
      </w:pPr>
      <w:r>
        <w:rPr>
          <w:bCs/>
          <w:b/>
        </w:rPr>
        <w:t xml:space="preserve">Ubuntu Server 24.04 LTS</w:t>
      </w:r>
      <w:r>
        <w:t xml:space="preserve"> </w:t>
      </w:r>
      <w:r>
        <w:t xml:space="preserve">(soporte hasta 2029), o Debian 12. Instalación mínima, sin entorno gráfico.</w:t>
      </w:r>
    </w:p>
    <w:bookmarkEnd w:id="23"/>
    <w:bookmarkStart w:id="24" w:name="cpu"/>
    <w:p>
      <w:pPr>
        <w:pStyle w:val="Heading2"/>
      </w:pPr>
      <w:r>
        <w:t xml:space="preserve">4. CPU</w:t>
      </w:r>
    </w:p>
    <w:p>
      <w:pPr>
        <w:pStyle w:val="FirstParagraph"/>
      </w:pPr>
      <w:r>
        <w:t xml:space="preserve">2 vCPU como mínimo; 4 vCPU si la misma VM se usa para otras tareas. El consumo típico es bajo: cada guardado envía solo los cambios, no el módulo completo.</w:t>
      </w:r>
    </w:p>
    <w:bookmarkEnd w:id="24"/>
    <w:bookmarkStart w:id="25" w:name="memoria-ram"/>
    <w:p>
      <w:pPr>
        <w:pStyle w:val="Heading2"/>
      </w:pPr>
      <w:r>
        <w:t xml:space="preserve">5. Memoria RAM</w:t>
      </w:r>
    </w:p>
    <w:p>
      <w:pPr>
        <w:pStyle w:val="FirstParagraph"/>
      </w:pPr>
      <w:r>
        <w:t xml:space="preserve">4 GB como mínimo y 8 GB recomendados. Distribución orientativa: PostgreSQL entre 1 y 2 GB, Node.js entre 300 y 600 MB, Nginx y el sistema operativo alrededor de 1 GB. El resto queda como margen y caché de disco.</w:t>
      </w:r>
    </w:p>
    <w:bookmarkEnd w:id="25"/>
    <w:bookmarkStart w:id="26" w:name="almacenamiento"/>
    <w:p>
      <w:pPr>
        <w:pStyle w:val="Heading2"/>
      </w:pPr>
      <w:r>
        <w:t xml:space="preserve">6. Almacenamiento</w:t>
      </w:r>
    </w:p>
    <w:p>
      <w:pPr>
        <w:pStyle w:val="FirstParagraph"/>
      </w:pPr>
      <w:r>
        <w:t xml:space="preserve">40 GB como mínimo y 80 GB recomendados, con este reparto aproximado: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 y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2 GB durante los primeros años (ver punto 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Copias de seguridad locales (retención de 7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Unos 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y margen de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resto</w:t>
            </w:r>
          </w:p>
        </w:tc>
      </w:tr>
    </w:tbl>
    <w:bookmarkEnd w:id="26"/>
    <w:bookmarkStart w:id="27" w:name="tipo-de-almacenamiento"/>
    <w:p>
      <w:pPr>
        <w:pStyle w:val="Heading2"/>
      </w:pPr>
      <w:r>
        <w:t xml:space="preserve">7. Tipo de almacenamiento</w:t>
      </w:r>
    </w:p>
    <w:p>
      <w:pPr>
        <w:pStyle w:val="FirstParagraph"/>
      </w:pPr>
      <w:r>
        <w:t xml:space="preserve">Disco</w:t>
      </w:r>
      <w:r>
        <w:t xml:space="preserve"> </w:t>
      </w:r>
      <w:r>
        <w:rPr>
          <w:bCs/>
          <w:b/>
        </w:rPr>
        <w:t xml:space="preserve">SSD o NVMe</w:t>
      </w:r>
      <w:r>
        <w:t xml:space="preserve">. No usar discos mecánicos para la base de datos. Se recomienda que el proveedor tenga redundancia de disco (RAID o almacenamiento replicado).</w:t>
      </w:r>
    </w:p>
    <w:bookmarkEnd w:id="27"/>
    <w:bookmarkStart w:id="28" w:name="base-de-datos"/>
    <w:p>
      <w:pPr>
        <w:pStyle w:val="Heading2"/>
      </w:pPr>
      <w:r>
        <w:t xml:space="preserve">8. Base de datos</w:t>
      </w:r>
    </w:p>
    <w:p>
      <w:pPr>
        <w:pStyle w:val="FirstParagraph"/>
      </w:pPr>
      <w:r>
        <w:rPr>
          <w:bCs/>
          <w:b/>
        </w:rPr>
        <w:t xml:space="preserve">PostgreSQL 16</w:t>
      </w:r>
      <w:r>
        <w:t xml:space="preserve"> </w:t>
      </w:r>
      <w:r>
        <w:t xml:space="preserve">(mínimo 14), instalado desde los repositorios oficiales del sistema operativo. La base guarda:</w:t>
      </w:r>
    </w:p>
    <w:p>
      <w:pPr>
        <w:numPr>
          <w:ilvl w:val="0"/>
          <w:numId w:val="1002"/>
        </w:numPr>
        <w:pStyle w:val="Compact"/>
      </w:pPr>
      <w:r>
        <w:t xml:space="preserve">usuarios (con los códigos de acceso cifrados);</w:t>
      </w:r>
    </w:p>
    <w:p>
      <w:pPr>
        <w:numPr>
          <w:ilvl w:val="0"/>
          <w:numId w:val="1002"/>
        </w:numPr>
        <w:pStyle w:val="Compact"/>
      </w:pPr>
      <w:r>
        <w:t xml:space="preserve">sesiones;</w:t>
      </w:r>
    </w:p>
    <w:p>
      <w:pPr>
        <w:numPr>
          <w:ilvl w:val="0"/>
          <w:numId w:val="1002"/>
        </w:numPr>
        <w:pStyle w:val="Compact"/>
      </w:pPr>
      <w:r>
        <w:t xml:space="preserve">módulos (en formato JSONB, con número de versión);</w:t>
      </w:r>
    </w:p>
    <w:p>
      <w:pPr>
        <w:numPr>
          <w:ilvl w:val="0"/>
          <w:numId w:val="1002"/>
        </w:numPr>
        <w:pStyle w:val="Compact"/>
      </w:pPr>
      <w:r>
        <w:t xml:space="preserve">el registro de cada cambio (control de cambios);</w:t>
      </w:r>
    </w:p>
    <w:p>
      <w:pPr>
        <w:numPr>
          <w:ilvl w:val="0"/>
          <w:numId w:val="1002"/>
        </w:numPr>
        <w:pStyle w:val="Compact"/>
      </w:pPr>
      <w:r>
        <w:t xml:space="preserve">copias completas periódicas de cada módulo;</w:t>
      </w:r>
    </w:p>
    <w:p>
      <w:pPr>
        <w:numPr>
          <w:ilvl w:val="0"/>
          <w:numId w:val="1002"/>
        </w:numPr>
        <w:pStyle w:val="Compact"/>
      </w:pPr>
      <w:r>
        <w:t xml:space="preserve">la bitácora de actividad.</w:t>
      </w:r>
    </w:p>
    <w:p>
      <w:pPr>
        <w:pStyle w:val="FirstParagraph"/>
      </w:pPr>
      <w:r>
        <w:t xml:space="preserve">El esquema se crea solo: al iniciar, la aplicación aplica las migraciones.</w:t>
      </w:r>
    </w:p>
    <w:bookmarkEnd w:id="28"/>
    <w:bookmarkStart w:id="29" w:name="backend"/>
    <w:p>
      <w:pPr>
        <w:pStyle w:val="Heading2"/>
      </w:pPr>
      <w:r>
        <w:t xml:space="preserve">9. Backend</w:t>
      </w:r>
    </w:p>
    <w:p>
      <w:pPr>
        <w:pStyle w:val="FirstParagraph"/>
      </w:pPr>
      <w:r>
        <w:rPr>
          <w:bCs/>
          <w:b/>
        </w:rPr>
        <w:t xml:space="preserve">Node.js 22 LTS</w:t>
      </w:r>
      <w:r>
        <w:t xml:space="preserve"> </w:t>
      </w:r>
      <w:r>
        <w:t xml:space="preserve">(mínimo 20), con Express y el driver</w:t>
      </w:r>
      <w:r>
        <w:t xml:space="preserve"> </w:t>
      </w:r>
      <w:r>
        <w:rPr>
          <w:rStyle w:val="VerbatimChar"/>
        </w:rPr>
        <w:t xml:space="preserve">pg</w:t>
      </w:r>
      <w:r>
        <w:t xml:space="preserve">. Corre como servicio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con un usuario sin privilegios (se entrega el archivo de servicio). El backend expone la API en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y sirve también la interfaz ya compilada, así que en producción hay un solo proceso de aplicación.</w:t>
      </w:r>
    </w:p>
    <w:bookmarkEnd w:id="29"/>
    <w:bookmarkStart w:id="30" w:name="frontend"/>
    <w:p>
      <w:pPr>
        <w:pStyle w:val="Heading2"/>
      </w:pPr>
      <w:r>
        <w:t xml:space="preserve">10. Frontend</w:t>
      </w:r>
    </w:p>
    <w:p>
      <w:pPr>
        <w:pStyle w:val="FirstParagraph"/>
      </w:pPr>
      <w:r>
        <w:t xml:space="preserve">La interfaz es una aplicación React ya compilada: son archivos estáticos (unos 400 KB comprimidos a 130 KB). Hay dos formas de publicarla:</w:t>
      </w:r>
    </w:p>
    <w:p>
      <w:pPr>
        <w:numPr>
          <w:ilvl w:val="0"/>
          <w:numId w:val="1003"/>
        </w:numPr>
        <w:pStyle w:val="Compact"/>
      </w:pPr>
      <w:r>
        <w:t xml:space="preserve">servida por el mismo backend (opción por defecto, la más simple);</w:t>
      </w:r>
    </w:p>
    <w:p>
      <w:pPr>
        <w:numPr>
          <w:ilvl w:val="0"/>
          <w:numId w:val="1003"/>
        </w:numPr>
        <w:pStyle w:val="Compact"/>
      </w:pPr>
      <w:r>
        <w:t xml:space="preserve">servida directamente por Nginx desde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.</w:t>
      </w:r>
    </w:p>
    <w:p>
      <w:pPr>
        <w:pStyle w:val="FirstParagraph"/>
      </w:pPr>
      <w:r>
        <w:t xml:space="preserve">Incluye un</w:t>
      </w:r>
      <w:r>
        <w:t xml:space="preserve"> </w:t>
      </w:r>
      <w:r>
        <w:rPr>
          <w:iCs/>
          <w:i/>
        </w:rPr>
        <w:t xml:space="preserve">service worker</w:t>
      </w:r>
      <w:r>
        <w:t xml:space="preserve"> </w:t>
      </w:r>
      <w:r>
        <w:t xml:space="preserve">para poder abrirla sin conexión. Para que funcione, el sitio</w:t>
      </w:r>
      <w:r>
        <w:t xml:space="preserve"> </w:t>
      </w:r>
      <w:r>
        <w:rPr>
          <w:bCs/>
          <w:b/>
        </w:rPr>
        <w:t xml:space="preserve">debe publicarse con HTTPS</w:t>
      </w:r>
      <w:r>
        <w:t xml:space="preserve">.</w:t>
      </w:r>
    </w:p>
    <w:bookmarkEnd w:id="30"/>
    <w:bookmarkStart w:id="31" w:name="https"/>
    <w:p>
      <w:pPr>
        <w:pStyle w:val="Heading2"/>
      </w:pPr>
      <w:r>
        <w:t xml:space="preserve">11. HTTPS</w:t>
      </w:r>
    </w:p>
    <w:p>
      <w:pPr>
        <w:pStyle w:val="FirstParagraph"/>
      </w:pPr>
      <w:r>
        <w:rPr>
          <w:bCs/>
          <w:b/>
        </w:rPr>
        <w:t xml:space="preserve">Obligatorio.</w:t>
      </w:r>
      <w:r>
        <w:t xml:space="preserve"> </w:t>
      </w:r>
      <w:r>
        <w:t xml:space="preserve">Tres motivos:</w:t>
      </w:r>
    </w:p>
    <w:p>
      <w:pPr>
        <w:numPr>
          <w:ilvl w:val="0"/>
          <w:numId w:val="1004"/>
        </w:numPr>
        <w:pStyle w:val="Compact"/>
      </w:pPr>
      <w:r>
        <w:t xml:space="preserve">Protege los códigos de acceso y la cookie de sesión.</w:t>
      </w:r>
    </w:p>
    <w:p>
      <w:pPr>
        <w:numPr>
          <w:ilvl w:val="0"/>
          <w:numId w:val="1004"/>
        </w:numPr>
        <w:pStyle w:val="Compact"/>
      </w:pPr>
      <w:r>
        <w:t xml:space="preserve">Los navegadores solo habilitan el trabajo sin conexión (service worker) en sitios HTTPS.</w:t>
      </w:r>
    </w:p>
    <w:p>
      <w:pPr>
        <w:numPr>
          <w:ilvl w:val="0"/>
          <w:numId w:val="1004"/>
        </w:numPr>
        <w:pStyle w:val="Compact"/>
      </w:pPr>
      <w:r>
        <w:t xml:space="preserve">La cookie de sesión se emite con el atributo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.</w:t>
      </w:r>
    </w:p>
    <w:p>
      <w:pPr>
        <w:pStyle w:val="FirstParagraph"/>
      </w:pPr>
      <w:r>
        <w:t xml:space="preserve">Se usa TLS 1.2 o 1.3, con redirección de HTTP a HTTPS y HSTS (se entrega la configuración de Nginx). El certificado puede ser de Let’s Encrypt, con renovación automática vía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, o el certificado institucional del Gobierno.</w:t>
      </w:r>
    </w:p>
    <w:bookmarkEnd w:id="31"/>
    <w:bookmarkStart w:id="32" w:name="dominio-o-subdominio"/>
    <w:p>
      <w:pPr>
        <w:pStyle w:val="Heading2"/>
      </w:pPr>
      <w:r>
        <w:t xml:space="preserve">12. Dominio o subdominio</w:t>
      </w:r>
    </w:p>
    <w:p>
      <w:pPr>
        <w:pStyle w:val="FirstParagraph"/>
      </w:pPr>
      <w:r>
        <w:t xml:space="preserve">Un subdominio institucional; por ejemplo,</w:t>
      </w:r>
      <w:r>
        <w:t xml:space="preserve"> </w:t>
      </w:r>
      <w:r>
        <w:rPr>
          <w:rStyle w:val="VerbatimChar"/>
        </w:rPr>
        <w:t xml:space="preserve">mddi.educacion.corrientes.gob.ar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mddi.corrientes.gob.ar</w:t>
      </w:r>
      <w:r>
        <w:t xml:space="preserve">. Solo requiere un registro DNS de tipo A (y AAAA si hay IPv6) apuntando a la IP pública de la VM.</w:t>
      </w:r>
    </w:p>
    <w:bookmarkEnd w:id="32"/>
    <w:bookmarkStart w:id="33" w:name="copias-de-seguridad"/>
    <w:p>
      <w:pPr>
        <w:pStyle w:val="Heading2"/>
      </w:pPr>
      <w:r>
        <w:t xml:space="preserve">13. Copias de seguridad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de datos:</w:t>
      </w:r>
      <w:r>
        <w:t xml:space="preserve"> </w:t>
      </w:r>
      <w:r>
        <w:t xml:space="preserve">volcado completo diario con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en formato comprimido (se entrega el script</w:t>
      </w:r>
      <w:r>
        <w:t xml:space="preserve"> </w:t>
      </w:r>
      <w:r>
        <w:rPr>
          <w:rStyle w:val="VerbatimChar"/>
        </w:rPr>
        <w:t xml:space="preserve">backend/scripts/backup.sh</w:t>
      </w:r>
      <w:r>
        <w:t xml:space="preserve">). Hoy ocupa unos pocos MB y el volcado tarda segundos.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Copia fuera del servidor (obligatoria):</w:t>
      </w:r>
      <w:r>
        <w:t xml:space="preserve"> </w:t>
      </w:r>
      <w:r>
        <w:t xml:space="preserve">cada copia diaria se envía a otro lugar: un servidor de respaldo del Ministerio o almacenamiento de objetos (S3 o compatible). El script admite un destino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rclone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Snapshot de la VM:</w:t>
      </w:r>
      <w:r>
        <w:t xml:space="preserve"> </w:t>
      </w:r>
      <w:r>
        <w:t xml:space="preserve">semanal, si la plataforma de virtualización o el proveedor lo ofrece.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Dentro de la aplicación:</w:t>
      </w:r>
      <w:r>
        <w:t xml:space="preserve"> </w:t>
      </w:r>
      <w:r>
        <w:t xml:space="preserve">además, cada módulo guarda copias completas automáticas (cada 30 minutos de trabajo, al crearlo, antes de eliminarlo y antes de restaurarlo) y el registro de cada cambio. Esto permite recuperar un módulo puntual sin restaurar toda la base.</w:t>
      </w:r>
    </w:p>
    <w:bookmarkEnd w:id="33"/>
    <w:bookmarkStart w:id="34" w:name="frecuencia-de-copias"/>
    <w:p>
      <w:pPr>
        <w:pStyle w:val="Heading2"/>
      </w:pPr>
      <w:r>
        <w:t xml:space="preserve">14. Frecuencia de copias</w:t>
      </w:r>
    </w:p>
    <w:p>
      <w:pPr>
        <w:numPr>
          <w:ilvl w:val="0"/>
          <w:numId w:val="1006"/>
        </w:numPr>
        <w:pStyle w:val="Compact"/>
      </w:pPr>
      <w:r>
        <w:t xml:space="preserve">Volcado de la base:</w:t>
      </w:r>
      <w:r>
        <w:t xml:space="preserve"> </w:t>
      </w:r>
      <w:r>
        <w:rPr>
          <w:bCs/>
          <w:b/>
        </w:rPr>
        <w:t xml:space="preserve">diario</w:t>
      </w:r>
      <w:r>
        <w:t xml:space="preserve">, fuera del horario de trabajo (por ejemplo, a las 02:00).</w:t>
      </w:r>
    </w:p>
    <w:p>
      <w:pPr>
        <w:numPr>
          <w:ilvl w:val="0"/>
          <w:numId w:val="1006"/>
        </w:numPr>
        <w:pStyle w:val="Compact"/>
      </w:pPr>
      <w:r>
        <w:t xml:space="preserve">Snapshot de la VM:</w:t>
      </w:r>
      <w:r>
        <w:t xml:space="preserve"> </w:t>
      </w:r>
      <w:r>
        <w:rPr>
          <w:bCs/>
          <w:b/>
        </w:rPr>
        <w:t xml:space="preserve">semanal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Opcional, si se busca pérdida máxima de minutos en caso de desastre: archivado continuo de WAL de PostgreSQL (por ejemplo con</w:t>
      </w:r>
      <w:r>
        <w:t xml:space="preserve"> </w:t>
      </w:r>
      <w:r>
        <w:rPr>
          <w:rStyle w:val="VerbatimChar"/>
        </w:rPr>
        <w:t xml:space="preserve">pgBackRest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wal-g</w:t>
      </w:r>
      <w:r>
        <w:t xml:space="preserve">).</w:t>
      </w:r>
      <w:r>
        <w:t xml:space="preserve"> </w:t>
      </w:r>
      <w:r>
        <w:rPr>
          <w:bCs/>
          <w:b/>
        </w:rPr>
        <w:t xml:space="preserve">No es imprescindible</w:t>
      </w:r>
      <w:r>
        <w:t xml:space="preserve"> </w:t>
      </w:r>
      <w:r>
        <w:t xml:space="preserve">para este volumen: los usuarios conservan en sus navegadores los cambios que no llegaron al servidor.</w:t>
      </w:r>
    </w:p>
    <w:bookmarkEnd w:id="34"/>
    <w:bookmarkStart w:id="35" w:name="retención-de-copias"/>
    <w:p>
      <w:pPr>
        <w:pStyle w:val="Heading2"/>
      </w:pPr>
      <w:r>
        <w:t xml:space="preserve">15. Retención de copias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Anual (fin del ciclo lectivo)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 permanente como archivo institucional</w:t>
            </w:r>
          </w:p>
        </w:tc>
      </w:tr>
    </w:tbl>
    <w:p>
      <w:pPr>
        <w:pStyle w:val="BodyText"/>
      </w:pPr>
      <w:r>
        <w:t xml:space="preserve">El script de backup implementa la rotación diaria/semanal/mensual.</w:t>
      </w:r>
    </w:p>
    <w:bookmarkEnd w:id="35"/>
    <w:bookmarkStart w:id="36" w:name="recuperación-ante-fallos"/>
    <w:p>
      <w:pPr>
        <w:pStyle w:val="Heading2"/>
      </w:pPr>
      <w:r>
        <w:t xml:space="preserve">16. Recuperación ante fallos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systemd</w:t>
            </w:r>
            <w:r>
              <w:t xml:space="preserve"> </w:t>
            </w:r>
            <w:r>
              <w:t xml:space="preserve">la reinicia automáticamente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de la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recrea desde el snapshot o se reinstala (unos 30 minutos siguiendo</w:t>
            </w:r>
            <w:r>
              <w:t xml:space="preserve"> </w:t>
            </w:r>
            <w:r>
              <w:rPr>
                <w:rStyle w:val="VerbatimChar"/>
              </w:rPr>
              <w:t xml:space="preserve">docs/DESPLIEGUE.md</w:t>
            </w:r>
            <w:r>
              <w:t xml:space="preserve">) y se restaura la última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humano sobre un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restaura una copia del módulo o lo recupera de la papelera, desde la propia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Minutos, sin intervención técnica</w:t>
            </w:r>
          </w:p>
        </w:tc>
      </w:tr>
    </w:tbl>
    <w:p>
      <w:pPr>
        <w:pStyle w:val="BodyText"/>
      </w:pPr>
      <w:r>
        <w:t xml:space="preserve">Objetivos propuestos:</w:t>
      </w:r>
      <w:r>
        <w:t xml:space="preserve"> </w:t>
      </w:r>
      <w:r>
        <w:rPr>
          <w:bCs/>
          <w:b/>
        </w:rPr>
        <w:t xml:space="preserve">RPO ≤ 24 horas</w:t>
      </w:r>
      <w:r>
        <w:t xml:space="preserve"> </w:t>
      </w:r>
      <w:r>
        <w:t xml:space="preserve">en el peor caso de pérdida total del servidor (en la práctica menor, porque los cambios no sincronizados siguen en los equipos de los usuarios) y</w:t>
      </w:r>
      <w:r>
        <w:t xml:space="preserve"> </w:t>
      </w:r>
      <w:r>
        <w:rPr>
          <w:bCs/>
          <w:b/>
        </w:rPr>
        <w:t xml:space="preserve">RTO ≤ 4 horas</w:t>
      </w:r>
      <w:r>
        <w:t xml:space="preserve">.</w:t>
      </w:r>
    </w:p>
    <w:bookmarkEnd w:id="36"/>
    <w:bookmarkStart w:id="37" w:name="seguridad"/>
    <w:p>
      <w:pPr>
        <w:pStyle w:val="Heading2"/>
      </w:pPr>
      <w:r>
        <w:t xml:space="preserve">17. Seguridad</w:t>
      </w:r>
    </w:p>
    <w:p>
      <w:pPr>
        <w:pStyle w:val="FirstParagraph"/>
      </w:pPr>
      <w:r>
        <w:t xml:space="preserve">Medidas que ya incluye la aplicación:</w:t>
      </w:r>
    </w:p>
    <w:p>
      <w:pPr>
        <w:numPr>
          <w:ilvl w:val="0"/>
          <w:numId w:val="1007"/>
        </w:numPr>
        <w:pStyle w:val="Compact"/>
      </w:pPr>
      <w:r>
        <w:t xml:space="preserve">códigos de acceso guardados como HMAC-SHA256 con una clave secreta del servidor, nunca en texto plano;</w:t>
      </w:r>
    </w:p>
    <w:p>
      <w:pPr>
        <w:numPr>
          <w:ilvl w:val="0"/>
          <w:numId w:val="1007"/>
        </w:numPr>
        <w:pStyle w:val="Compact"/>
      </w:pPr>
      <w:r>
        <w:t xml:space="preserve">sesiones con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; en la base se guarda solo el hash del token;</w:t>
      </w:r>
    </w:p>
    <w:p>
      <w:pPr>
        <w:numPr>
          <w:ilvl w:val="0"/>
          <w:numId w:val="1007"/>
        </w:numPr>
        <w:pStyle w:val="Compact"/>
      </w:pPr>
      <w:r>
        <w:t xml:space="preserve">protección CSRF;</w:t>
      </w:r>
    </w:p>
    <w:p>
      <w:pPr>
        <w:numPr>
          <w:ilvl w:val="0"/>
          <w:numId w:val="1007"/>
        </w:numPr>
        <w:pStyle w:val="Compact"/>
      </w:pPr>
      <w:r>
        <w:t xml:space="preserve">límite de intentos de ingreso por IP;</w:t>
      </w:r>
    </w:p>
    <w:p>
      <w:pPr>
        <w:numPr>
          <w:ilvl w:val="0"/>
          <w:numId w:val="1007"/>
        </w:numPr>
        <w:pStyle w:val="Compact"/>
      </w:pPr>
      <w:r>
        <w:t xml:space="preserve">permisos validados en el servidor según el rol;</w:t>
      </w:r>
    </w:p>
    <w:p>
      <w:pPr>
        <w:numPr>
          <w:ilvl w:val="0"/>
          <w:numId w:val="1007"/>
        </w:numPr>
        <w:pStyle w:val="Compact"/>
      </w:pPr>
      <w:r>
        <w:t xml:space="preserve">cabeceras de seguridad (CSP, HSTS,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eliminación lógica con papelera, confirmaciones antes de acciones destructivas y registro de auditoría.</w:t>
      </w:r>
    </w:p>
    <w:p>
      <w:pPr>
        <w:pStyle w:val="FirstParagraph"/>
      </w:pPr>
      <w:r>
        <w:t xml:space="preserve">Lo que se requiere del hosting:</w:t>
      </w:r>
    </w:p>
    <w:p>
      <w:pPr>
        <w:numPr>
          <w:ilvl w:val="0"/>
          <w:numId w:val="1008"/>
        </w:numPr>
        <w:pStyle w:val="Compact"/>
      </w:pPr>
      <w:r>
        <w:t xml:space="preserve">mantener el sistema operativo actualizado, con actualizaciones de seguridad automáticas (</w:t>
      </w:r>
      <w:r>
        <w:rPr>
          <w:rStyle w:val="VerbatimChar"/>
        </w:rPr>
        <w:t xml:space="preserve">unattended-upgrades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acceso SSH solo con llave (sin contraseña) y sin ingreso directo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PostgreSQL escuchando solo en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fail2ban</w:t>
      </w:r>
      <w:r>
        <w:t xml:space="preserve"> </w:t>
      </w:r>
      <w:r>
        <w:t xml:space="preserve">o equivalente para SSH;</w:t>
      </w:r>
    </w:p>
    <w:p>
      <w:pPr>
        <w:numPr>
          <w:ilvl w:val="0"/>
          <w:numId w:val="1008"/>
        </w:numPr>
        <w:pStyle w:val="Compact"/>
      </w:pPr>
      <w:r>
        <w:t xml:space="preserve">guardar la variable</w:t>
      </w:r>
      <w:r>
        <w:t xml:space="preserve"> </w:t>
      </w:r>
      <w:r>
        <w:rPr>
          <w:rStyle w:val="VerbatimChar"/>
        </w:rPr>
        <w:t xml:space="preserve">MDDI_SECRETO</w:t>
      </w:r>
      <w:r>
        <w:t xml:space="preserve"> </w:t>
      </w:r>
      <w:r>
        <w:t xml:space="preserve">y las credenciales de la base fuera del código (archivo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permisos 600).</w:t>
      </w:r>
    </w:p>
    <w:bookmarkEnd w:id="37"/>
    <w:bookmarkStart w:id="38" w:name="firewall"/>
    <w:p>
      <w:pPr>
        <w:pStyle w:val="Heading2"/>
      </w:pPr>
      <w:r>
        <w:t xml:space="preserve">18. Firewall</w:t>
      </w:r>
    </w:p>
    <w:p>
      <w:pPr>
        <w:pStyle w:val="FirstParagraph"/>
      </w:pPr>
      <w:r>
        <w:t xml:space="preserve">Puertos abiertos hacia Internet: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443/tcp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80/tcp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para redirigir a HTTPS y renovar el certificado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SSH, idealmente restringido a las IP de la red del Ministerio o vía VPN</w:t>
            </w:r>
          </w:p>
        </w:tc>
      </w:tr>
    </w:tbl>
    <w:p>
      <w:pPr>
        <w:pStyle w:val="BodyText"/>
      </w:pPr>
      <w:r>
        <w:t xml:space="preserve">El puerto de la aplicación (8080) y el de PostgreSQL (5432)</w:t>
      </w:r>
      <w:r>
        <w:t xml:space="preserve"> </w:t>
      </w:r>
      <w:r>
        <w:rPr>
          <w:bCs/>
          <w:b/>
        </w:rPr>
        <w:t xml:space="preserve">no se exponen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alcanza.</w:t>
      </w:r>
    </w:p>
    <w:bookmarkEnd w:id="38"/>
    <w:bookmarkStart w:id="39" w:name="control-de-accesos"/>
    <w:p>
      <w:pPr>
        <w:pStyle w:val="Heading2"/>
      </w:pPr>
      <w:r>
        <w:t xml:space="preserve">19. Control de accesos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la aplicación:</w:t>
      </w:r>
      <w:r>
        <w:t xml:space="preserve"> </w:t>
      </w:r>
      <w:r>
        <w:t xml:space="preserve">4 roles (Docente de contenidos, Especialista en Didáctica, Corrector/a y Coordinación General). Coordinación da de alta, desactiva y renueva códigos desde la propia plataforma. La autenticación está concentrada en un único punto del código, así que se puede pasar a usuario y contraseña, LDAP/Active Directory u OIDC (por ejemplo, cuentas institucionales) sin rehacer la plataforma.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 servidor:</w:t>
      </w:r>
      <w:r>
        <w:t xml:space="preserve"> </w:t>
      </w:r>
      <w:r>
        <w:t xml:space="preserve">solo el personal técnico designado, con cuentas nominales y llaves SSH. Un usuario de sistema específico (</w:t>
      </w:r>
      <w:r>
        <w:rPr>
          <w:rStyle w:val="VerbatimChar"/>
        </w:rPr>
        <w:t xml:space="preserve">mddi</w:t>
      </w:r>
      <w:r>
        <w:t xml:space="preserve">) sin privilegios ejecuta la aplicación.</w:t>
      </w:r>
    </w:p>
    <w:bookmarkEnd w:id="39"/>
    <w:bookmarkStart w:id="40" w:name="escalabilidad"/>
    <w:p>
      <w:pPr>
        <w:pStyle w:val="Heading2"/>
      </w:pPr>
      <w:r>
        <w:t xml:space="preserve">20. Escalabilidad</w:t>
      </w:r>
    </w:p>
    <w:p>
      <w:pPr>
        <w:pStyle w:val="FirstParagraph"/>
      </w:pPr>
      <w:r>
        <w:t xml:space="preserve">La configuración propuesta atiende con holgura a 50-70 usuarios, y probablemente a varios cientos. Si el uso creciera mucho, estos son los pasos en orden:</w:t>
      </w:r>
    </w:p>
    <w:p>
      <w:pPr>
        <w:numPr>
          <w:ilvl w:val="0"/>
          <w:numId w:val="1010"/>
        </w:numPr>
        <w:pStyle w:val="Compact"/>
      </w:pPr>
      <w:r>
        <w:t xml:space="preserve">subir la VM a 4 vCPU y 8-16 GB de RAM (cambio de plan, sin tocar el código);</w:t>
      </w:r>
    </w:p>
    <w:p>
      <w:pPr>
        <w:numPr>
          <w:ilvl w:val="0"/>
          <w:numId w:val="1010"/>
        </w:numPr>
        <w:pStyle w:val="Compact"/>
      </w:pPr>
      <w:r>
        <w:t xml:space="preserve">mover PostgreSQL a un servidor o servicio propio;</w:t>
      </w:r>
    </w:p>
    <w:p>
      <w:pPr>
        <w:numPr>
          <w:ilvl w:val="0"/>
          <w:numId w:val="1010"/>
        </w:numPr>
        <w:pStyle w:val="Compact"/>
      </w:pPr>
      <w:r>
        <w:t xml:space="preserve">agregar una segunda instancia de aplicación detrás de Nginx.</w:t>
      </w:r>
    </w:p>
    <w:p>
      <w:pPr>
        <w:pStyle w:val="FirstParagraph"/>
      </w:pPr>
      <w:r>
        <w:t xml:space="preserve">Para el paso 3 hay que trasladar a Redis el registro de</w:t>
      </w:r>
      <w:r>
        <w:t xml:space="preserve"> </w:t>
      </w:r>
      <w:r>
        <w:t xml:space="preserve">“</w:t>
      </w:r>
      <w:r>
        <w:t xml:space="preserve">quién está editando</w:t>
      </w:r>
      <w:r>
        <w:t xml:space="preserve">”</w:t>
      </w:r>
      <w:r>
        <w:t xml:space="preserve">, que hoy se guarda en memoria. Guardado, conflictos y sesiones ya funcionan con varias instancias porque viven en la base.</w:t>
      </w:r>
    </w:p>
    <w:bookmarkEnd w:id="40"/>
    <w:bookmarkStart w:id="41" w:name="monitoreo"/>
    <w:p>
      <w:pPr>
        <w:pStyle w:val="Heading2"/>
      </w:pPr>
      <w:r>
        <w:t xml:space="preserve">21. Monitoreo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Chequeo de salud:</w:t>
      </w:r>
      <w:r>
        <w:t xml:space="preserve"> </w:t>
      </w:r>
      <w:r>
        <w:rPr>
          <w:rStyle w:val="VerbatimChar"/>
        </w:rPr>
        <w:t xml:space="preserve">GET https://&lt;dominio&gt;/api/salud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{"ok":true}</w:t>
      </w:r>
      <w:r>
        <w:t xml:space="preserve"> </w:t>
      </w:r>
      <w:r>
        <w:t xml:space="preserve">si la aplicación y la base funcionan. Conviene monitorearlo cada 1-5 minutos con la herramienta que ya use el Ministerio (Zabbix, Nagios, Uptime Kuma o UptimeRobot), con alerta por correo.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Recursos del servidor:</w:t>
      </w:r>
      <w:r>
        <w:t xml:space="preserve"> </w:t>
      </w:r>
      <w:r>
        <w:t xml:space="preserve">CPU, RAM, espacio en disco (alerta al 80 %) y estado del certificado (alerta 15 días antes del vencimiento).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Copias:</w:t>
      </w:r>
      <w:r>
        <w:t xml:space="preserve"> </w:t>
      </w:r>
      <w:r>
        <w:t xml:space="preserve">verificar que la copia diaria se generó (el script deja su registro en un log).</w:t>
      </w:r>
    </w:p>
    <w:bookmarkEnd w:id="41"/>
    <w:bookmarkStart w:id="42" w:name="logs"/>
    <w:p>
      <w:pPr>
        <w:pStyle w:val="Heading2"/>
      </w:pPr>
      <w:r>
        <w:t xml:space="preserve">22. Logs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Aplicación:</w:t>
      </w:r>
      <w:r>
        <w:t xml:space="preserve"> </w:t>
      </w:r>
      <w:r>
        <w:t xml:space="preserve">los logs van a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, con errores detallados (fecha, ruta, error). Se consultan con</w:t>
      </w:r>
      <w:r>
        <w:t xml:space="preserve"> </w:t>
      </w:r>
      <w:r>
        <w:rPr>
          <w:rStyle w:val="VerbatimChar"/>
        </w:rPr>
        <w:t xml:space="preserve">journalctl -u mddi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Nginx:</w:t>
      </w:r>
      <w:r>
        <w:t xml:space="preserve"> </w:t>
      </w:r>
      <w:r>
        <w:t xml:space="preserve">access log y error log, con rotación semanal (</w:t>
      </w:r>
      <w:r>
        <w:rPr>
          <w:rStyle w:val="VerbatimChar"/>
        </w:rPr>
        <w:t xml:space="preserve">logrotate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Auditoría funcional:</w:t>
      </w:r>
      <w:r>
        <w:t xml:space="preserve"> </w:t>
      </w:r>
      <w:r>
        <w:t xml:space="preserve">vive dentro de la base (bitácora de ingresos y acciones, más el registro de cada guardado con usuario, fecha y versión) y se consulta desde la plataforma.</w:t>
      </w:r>
    </w:p>
    <w:p>
      <w:pPr>
        <w:pStyle w:val="FirstParagraph"/>
      </w:pPr>
      <w:r>
        <w:t xml:space="preserve">Retención sugerida de logs técnicos: 90 días.</w:t>
      </w:r>
    </w:p>
    <w:bookmarkEnd w:id="42"/>
    <w:bookmarkStart w:id="43" w:name="ancho-de-banda"/>
    <w:p>
      <w:pPr>
        <w:pStyle w:val="Heading2"/>
      </w:pPr>
      <w:r>
        <w:t xml:space="preserve">23. Ancho de banda</w:t>
      </w:r>
    </w:p>
    <w:p>
      <w:pPr>
        <w:pStyle w:val="FirstParagraph"/>
      </w:pPr>
      <w:r>
        <w:t xml:space="preserve">Bajo. La interfaz pesa unos 130 KB comprimida y se descarga una sola vez: después queda en caché. Cada guardado automático envía pocos KB. La primera carga de un módulo completo son entre 100 y 200 KB. Estimación para 70 usuarios: menos de 5 GB mensuales. Cualquier enlace de 10 Mbps simétricos o más es suficiente.</w:t>
      </w:r>
    </w:p>
    <w:bookmarkEnd w:id="43"/>
    <w:bookmarkStart w:id="44" w:name="disponibilidad-esperada"/>
    <w:p>
      <w:pPr>
        <w:pStyle w:val="Heading2"/>
      </w:pPr>
      <w:r>
        <w:t xml:space="preserve">24. Disponibilidad esperada</w:t>
      </w:r>
    </w:p>
    <w:p>
      <w:pPr>
        <w:pStyle w:val="FirstParagraph"/>
      </w:pPr>
      <w:r>
        <w:rPr>
          <w:bCs/>
          <w:b/>
        </w:rPr>
        <w:t xml:space="preserve">99,5 % mensual</w:t>
      </w:r>
      <w:r>
        <w:t xml:space="preserve"> </w:t>
      </w:r>
      <w:r>
        <w:t xml:space="preserve">en horario laboral, lo que equivale a unas 3,5 horas de interrupción al mes como máximo. Alcanza para una herramienta interna de producción de contenidos: si el servidor se cae, los docentes pueden seguir trabajando sin conexión y los cambios se sincronizan cuando vuelve.</w:t>
      </w:r>
    </w:p>
    <w:bookmarkEnd w:id="44"/>
    <w:bookmarkStart w:id="45" w:name="mantenimiento"/>
    <w:p>
      <w:pPr>
        <w:pStyle w:val="Heading2"/>
      </w:pPr>
      <w:r>
        <w:t xml:space="preserve">25. Mantenimiento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revisar actualizaciones de seguridad (15 minutos) y probar una restauración de la copia en un entorno de prueba.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revisar el espacio en disco y los usuarios activos.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Anual:</w:t>
      </w:r>
      <w:r>
        <w:t xml:space="preserve"> </w:t>
      </w:r>
      <w:r>
        <w:t xml:space="preserve">evaluar la actualización de la versión de Node.js o PostgreSQL.</w:t>
      </w:r>
    </w:p>
    <w:p>
      <w:pPr>
        <w:pStyle w:val="FirstParagraph"/>
      </w:pPr>
      <w:r>
        <w:t xml:space="preserve">Ventana de mantenimiento sugerida: fuera del horario escolar (fines de semana o después de las 20:00), avisando a los usuarios con anticipación.</w:t>
      </w:r>
    </w:p>
    <w:bookmarkEnd w:id="45"/>
    <w:bookmarkStart w:id="46" w:name="actualizaciones"/>
    <w:p>
      <w:pPr>
        <w:pStyle w:val="Heading2"/>
      </w:pPr>
      <w:r>
        <w:t xml:space="preserve">26. Actualizaciones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Sistema operativo:</w:t>
      </w:r>
      <w:r>
        <w:t xml:space="preserve"> </w:t>
      </w:r>
      <w:r>
        <w:t xml:space="preserve">actualizaciones de seguridad automáticas (</w:t>
      </w:r>
      <w:r>
        <w:rPr>
          <w:rStyle w:val="VerbatimChar"/>
        </w:rPr>
        <w:t xml:space="preserve">unattended-upgrades</w:t>
      </w:r>
      <w:r>
        <w:t xml:space="preserve">); reinicios programados en la ventana de mantenimiento.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Aplicación:</w:t>
      </w:r>
      <w:r>
        <w:t xml:space="preserve"> </w:t>
      </w:r>
      <w:r>
        <w:t xml:space="preserve">hacer una copia de seguridad, reemplazar el código, correr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y reiniciar el servicio. Las migraciones de la base se aplican solas al iniciar. El procedimiento está detallado en</w:t>
      </w:r>
      <w:r>
        <w:t xml:space="preserve"> </w:t>
      </w:r>
      <w:r>
        <w:rPr>
          <w:rStyle w:val="VerbatimChar"/>
        </w:rPr>
        <w:t xml:space="preserve">docs/DESPLIEGUE.md</w:t>
      </w:r>
      <w:r>
        <w:t xml:space="preserve"> </w:t>
      </w:r>
      <w:r>
        <w:t xml:space="preserve">y tarda menos de 5 minutos. Los usuarios no pierden trabajo durante el reinicio: lo que escriban queda en su navegador y se envía al volver el servicio.</w:t>
      </w:r>
    </w:p>
    <w:bookmarkEnd w:id="46"/>
    <w:bookmarkStart w:id="47" w:name="restauración-de-datos"/>
    <w:p>
      <w:pPr>
        <w:pStyle w:val="Heading2"/>
      </w:pPr>
      <w:r>
        <w:t xml:space="preserve">27. Restauración de datos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Base completa:</w:t>
      </w:r>
      <w:r>
        <w:t xml:space="preserve"> </w:t>
      </w:r>
      <w:r>
        <w:rPr>
          <w:rStyle w:val="VerbatimChar"/>
        </w:rPr>
        <w:t xml:space="preserve">backend/scripts/restore.sh &lt;archivo.dump&gt;</w:t>
      </w:r>
      <w:r>
        <w:t xml:space="preserve">. El script detiene la aplicación, restaura con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y la reinicia. El procedimiento está probado y documentado.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 módulo puntual:</w:t>
      </w:r>
      <w:r>
        <w:t xml:space="preserve"> </w:t>
      </w:r>
      <w:r>
        <w:t xml:space="preserve">desde la plataforma, sin intervención técnica. Coordinación entra en</w:t>
      </w:r>
      <w:r>
        <w:t xml:space="preserve"> </w:t>
      </w:r>
      <w:r>
        <w:t xml:space="preserve">“</w:t>
      </w:r>
      <w:r>
        <w:t xml:space="preserve">Control de cambios</w:t>
      </w:r>
      <w:r>
        <w:t xml:space="preserve">”</w:t>
      </w:r>
      <w:r>
        <w:t xml:space="preserve"> </w:t>
      </w:r>
      <w:r>
        <w:t xml:space="preserve">y restaura cualquiera de las copias automáticas, o recupera el módulo desde la</w:t>
      </w:r>
      <w:r>
        <w:t xml:space="preserve"> </w:t>
      </w:r>
      <w:r>
        <w:t xml:space="preserve">“</w:t>
      </w:r>
      <w:r>
        <w:t xml:space="preserve">Papelera</w:t>
      </w:r>
      <w:r>
        <w:t xml:space="preserve">”</w:t>
      </w:r>
      <w:r>
        <w:t xml:space="preserve">.</w:t>
      </w:r>
    </w:p>
    <w:bookmarkEnd w:id="47"/>
    <w:bookmarkStart w:id="48" w:name="crecimiento-estimado"/>
    <w:p>
      <w:pPr>
        <w:pStyle w:val="Heading2"/>
      </w:pPr>
      <w:r>
        <w:t xml:space="preserve">28. Crecimiento estimado</w:t>
      </w:r>
    </w:p>
    <w:p>
      <w:pPr>
        <w:pStyle w:val="FirstParagraph"/>
      </w:pPr>
      <w:r>
        <w:t xml:space="preserve">Cada módulo ocupa entre 100 y 200 KB. Con el historial de cambios y las copias automáticas, el total por módulo llega a unos 2-5 MB por año de trabajo activo. Estimación: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de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1 (6 grados × 10 a 15 módulos)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a 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Unos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3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Diez veces más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10 GB</w:t>
            </w:r>
          </w:p>
        </w:tc>
      </w:tr>
    </w:tbl>
    <w:p>
      <w:pPr>
        <w:pStyle w:val="BodyText"/>
      </w:pPr>
      <w:r>
        <w:t xml:space="preserve">El disco recomendado de 80 GB cubre varios años sin cambios. Si hiciera falta, se puede recortar el historial antiguo, conservando siempre las copias completas mensuales.</w:t>
      </w:r>
    </w:p>
    <w:bookmarkEnd w:id="48"/>
    <w:bookmarkStart w:id="49" w:name="X196a4dbd7f8f39339660ea0bc48e395830480d9"/>
    <w:p>
      <w:pPr>
        <w:pStyle w:val="Heading2"/>
      </w:pPr>
      <w:r>
        <w:t xml:space="preserve">Anexo — Archivos entregados para la instalación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deploy/nginx.conf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inverso, HTTPS, HSTS y compresión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deploy/mddi.service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  <w:r>
              <w:t xml:space="preserve"> </w:t>
            </w:r>
            <w:r>
              <w:t xml:space="preserve">de la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deploy/docker-compose.yml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en contenedores, si el Ministerio prefiere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de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backend/scripts/backup.sh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restore.sh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y restauración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docs/DESPLIEGUE.md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paso a 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docs/ARQUITECTURA.md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Funcionamiento interno: guardado, sincronización y conflictos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2026-09-29T11:01:31Z</dcterms:created>
  <dcterms:modified xsi:type="dcterms:W3CDTF">2026-09-29T11:01:31Z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