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300"/>
        <w:jc w:val="center"/>
      </w:pPr>
      <w:r>
        <w:drawing>
          <wp:inline distT="0" distB="0" distL="0" distR="0">
            <wp:extent cx="4000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76475"/>
                    </a:xfrm>
                    <a:prstGeom prst="rect">
                      <a:avLst/>
                    </a:prstGeom>
                  </pic:spPr>
                </pic:pic>
              </a:graphicData>
            </a:graphic>
          </wp:inline>
        </w:drawing>
      </w:r>
    </w:p>
    <w:p>
      <w:pPr>
        <w:spacing w:after="1200"/>
        <w:jc w:val="center"/>
      </w:pPr>
      <w:r>
        <w:rPr>
          <w:i/>
          <w:iCs/>
          <w:color w:val="808080"/>
          <w:sz w:val="22"/>
          <w:szCs w:val="22"/>
        </w:rPr>
        <w:t xml:space="preserve">Ingeniería de software a medida</w:t>
      </w:r>
    </w:p>
    <w:p>
      <w:pPr>
        <w:pBdr>
          <w:bottom w:val="single" w:color="2E5496" w:sz="8" w:space="8"/>
        </w:pBdr>
        <w:spacing w:after="0" w:before="0"/>
        <w:jc w:val="center"/>
      </w:pPr>
      <w:r>
        <w:rPr>
          <w:b/>
          <w:bCs/>
          <w:color w:val="1F3864"/>
          <w:sz w:val="56"/>
          <w:szCs w:val="56"/>
        </w:rPr>
        <w:t xml:space="preserve">PROPUESTA COMERCIAL</w:t>
      </w:r>
    </w:p>
    <w:p>
      <w:pPr>
        <w:spacing w:after="80" w:before="240"/>
        <w:jc w:val="center"/>
      </w:pPr>
      <w:r>
        <w:rPr>
          <w:b/>
          <w:bCs/>
          <w:color w:val="2E5496"/>
          <w:sz w:val="40"/>
          <w:szCs w:val="40"/>
        </w:rPr>
        <w:t xml:space="preserve">SIGPIP</w:t>
      </w:r>
    </w:p>
    <w:p>
      <w:pPr>
        <w:spacing w:after="80"/>
        <w:jc w:val="center"/>
      </w:pPr>
      <w:r>
        <w:rPr>
          <w:color w:val="1F3864"/>
          <w:sz w:val="26"/>
          <w:szCs w:val="26"/>
        </w:rPr>
        <w:t xml:space="preserve">Sistema Integral de Gestión de Parques Industriales</w:t>
      </w:r>
    </w:p>
    <w:p>
      <w:pPr>
        <w:spacing w:after="1600"/>
        <w:jc w:val="center"/>
      </w:pPr>
      <w:r>
        <w:rPr>
          <w:i/>
          <w:iCs/>
          <w:color w:val="808080"/>
          <w:sz w:val="22"/>
          <w:szCs w:val="22"/>
        </w:rPr>
        <w:t xml:space="preserve">Plataforma web + aplicación móvil de inspección</w:t>
      </w:r>
    </w:p>
    <w:p>
      <w:pPr>
        <w:spacing w:after="60"/>
        <w:jc w:val="center"/>
      </w:pPr>
      <w:r>
        <w:rPr>
          <w:sz w:val="22"/>
          <w:szCs w:val="22"/>
        </w:rPr>
        <w:t xml:space="preserve">Presentado por: </w:t>
      </w:r>
      <w:r>
        <w:rPr>
          <w:b/>
          <w:bCs/>
          <w:sz w:val="22"/>
          <w:szCs w:val="22"/>
        </w:rPr>
        <w:t xml:space="preserve">CSS Developers</w:t>
      </w:r>
    </w:p>
    <w:p>
      <w:pPr>
        <w:spacing w:after="60"/>
        <w:jc w:val="center"/>
      </w:pPr>
      <w:r>
        <w:rPr>
          <w:sz w:val="22"/>
          <w:szCs w:val="22"/>
        </w:rPr>
        <w:t xml:space="preserve">Destinatario: </w:t>
      </w:r>
      <w:r>
        <w:rPr>
          <w:b/>
          <w:bCs/>
          <w:sz w:val="22"/>
          <w:szCs w:val="22"/>
        </w:rPr>
        <w:t xml:space="preserve">Ministerio de Producción — Provincia del Chubut</w:t>
      </w:r>
    </w:p>
    <w:p>
      <w:pPr>
        <w:spacing w:after="60"/>
        <w:jc w:val="center"/>
      </w:pPr>
      <w:r>
        <w:rPr>
          <w:sz w:val="22"/>
          <w:szCs w:val="22"/>
        </w:rPr>
        <w:t xml:space="preserve">Fecha: Junio de 2026</w:t>
      </w:r>
    </w:p>
    <w:p>
      <w:pPr>
        <w:spacing w:after="0"/>
        <w:jc w:val="center"/>
      </w:pPr>
      <w:r>
        <w:rPr>
          <w:i/>
          <w:iCs/>
          <w:color w:val="808080"/>
          <w:sz w:val="20"/>
          <w:szCs w:val="20"/>
        </w:rPr>
        <w:t xml:space="preserve">Validez de la oferta: 30 días corridos</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before="0" w:line="276"/>
      </w:pPr>
      <w:r>
        <w:t xml:space="preserve">SIGPIP es un sistema de información ya desarrollado, probado en campo y en funcionamiento, para la gestión integral de los parques industriales de la provincia. Reúne en una sola plataforma la administración territorial (parques, parcelas y empresas radicadas), la tramitación de expedientes con flujos de trabajo, la gestión documental y de escrituraciones, un módulo completo de inspecciones con aplicación móvil nativa para los agentes en campo, un portal de autogestión para las empresas y un tablero de indicadores para la toma de decisiones.</w:t>
      </w:r>
    </w:p>
    <w:p>
      <w:pPr>
        <w:spacing w:after="120" w:before="0" w:line="276"/>
      </w:pPr>
      <w:r>
        <w:t xml:space="preserve">A diferencia de un desarrollo genérico, SIGPIP refleja con exactitud los procesos reales del organismo: fue concebido conociendo en detalle cada circuito administrativo y de inspección. Esto reduce a prácticamente cero el riesgo de implementación y el tiempo de puesta en marcha, ya que no requiere una etapa de relevamiento ni adaptaciones de fondo. El sistema está listo para operar desde el primer día.</w:t>
      </w:r>
    </w:p>
    <w:p>
      <w:pPr>
        <w:spacing w:after="60" w:before="0" w:line="276"/>
      </w:pPr>
      <w:r>
        <w:t xml:space="preserve">La presente propuesta presenta el precio de lista del producto y una oferta especial para la Provincia del Chubut, con dos modalidades de contratación —llave en mano (pago único) y licencia anual gestionada (SaaS)— y su desglose económico.</w:t>
      </w:r>
    </w:p>
    <w:p>
      <w:pPr>
        <w:pStyle w:val="Heading1"/>
      </w:pPr>
      <w:r>
        <w:t xml:space="preserve">2. Descripción del sistema</w:t>
      </w:r>
    </w:p>
    <w:p>
      <w:pPr>
        <w:spacing w:after="120" w:before="0" w:line="276"/>
      </w:pPr>
      <w:r>
        <w:t xml:space="preserve">SIGPIP es una aplicación web responsiva, accesible desde computadora o celular, complementada por una aplicación móvil nativa para Android específica para las inspecciones en campo. Centraliza la información de los parques industriales de la provincia (Comodoro Rivadavia, Puerto Madryn —Conexa, PIL, PIP y PIPE—, Trelew y Trevelin) y digitaliza de punta a punta los circuitos de gestión, inspección y vinculación con las empresas.</w:t>
      </w:r>
    </w:p>
    <w:p>
      <w:pPr>
        <w:spacing w:after="60" w:before="0" w:line="276"/>
      </w:pPr>
      <w:r>
        <w:t xml:space="preserve">El sistema opera bajo un modelo de roles y permisos que distingue perfiles de administración, mesa de entrada, inspectores y empresas, con trazabilidad completa de las acciones (auditoría) y seguridad de datos a nivel de base de datos.</w:t>
      </w:r>
    </w:p>
    <w:p>
      <w:pPr>
        <w:pStyle w:val="Heading1"/>
      </w:pPr>
      <w:r>
        <w:t xml:space="preserve">3. Funcionalidades del sistema</w:t>
      </w:r>
    </w:p>
    <w:p>
      <w:pPr>
        <w:spacing w:after="120" w:before="0" w:line="276"/>
      </w:pPr>
      <w:r>
        <w:t xml:space="preserve">El sistema está compuesto por más de 20 módulos funcionales, agrupados en siete áreas:</w:t>
      </w:r>
    </w:p>
    <w:p>
      <w:pPr>
        <w:pStyle w:val="Heading2"/>
      </w:pPr>
      <w:r>
        <w:t xml:space="preserve">3.1. Núcleo, seguridad y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Módulo</w:t>
            </w:r>
          </w:p>
        </w:tc>
        <w:tc>
          <w:tcPr>
            <w:tcW w:type="dxa" w:w="6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Funcionalidades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Acceso y seguridad</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Login unificado para los tres entornos (gestión SIGPIP, Portal de Empresas e Inspectores).</w:t>
            </w:r>
          </w:p>
          <w:p>
            <w:pPr>
              <w:spacing w:after="30" w:line="264"/>
            </w:pPr>
            <w:r>
              <w:rPr>
                <w:sz w:val="19"/>
                <w:szCs w:val="19"/>
              </w:rPr>
              <w:t xml:space="preserve">Recuperación de contraseña por email (autogestión) y restablecimiento por administrador.</w:t>
            </w:r>
          </w:p>
          <w:p>
            <w:pPr>
              <w:spacing w:after="30" w:line="264"/>
            </w:pPr>
            <w:r>
              <w:rPr>
                <w:sz w:val="19"/>
                <w:szCs w:val="19"/>
              </w:rPr>
              <w:t xml:space="preserve">Seguridad de datos a nivel de fila (RLS) en la base de datos.</w:t>
            </w:r>
          </w:p>
        </w:tc>
      </w:tr>
      <w:tr>
        <w:tc>
          <w:tcPr>
            <w:tcW w:type="dxa" w:w="27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b/>
                <w:bCs/>
                <w:sz w:val="19"/>
                <w:szCs w:val="19"/>
              </w:rPr>
              <w:t xml:space="preserve">Roles y permisos</w:t>
            </w:r>
          </w:p>
        </w:tc>
        <w:tc>
          <w:tcPr>
            <w:tcW w:type="dxa" w:w="66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tcPr>
          <w:p>
            <w:pPr>
              <w:spacing w:after="30" w:line="264"/>
            </w:pPr>
            <w:r>
              <w:rPr>
                <w:sz w:val="19"/>
                <w:szCs w:val="19"/>
              </w:rPr>
              <w:t xml:space="preserve">Modelo de roles: rol principal + rol secundario (Inspector) + delegación de Mesa de Entrada con consentimiento.</w:t>
            </w:r>
          </w:p>
          <w:p>
            <w:pPr>
              <w:spacing w:after="30" w:line="264"/>
            </w:pPr>
            <w:r>
              <w:rPr>
                <w:sz w:val="19"/>
                <w:szCs w:val="19"/>
              </w:rPr>
              <w:t xml:space="preserve">Permisos diferenciados por rol; un único responsable de Mesa de Entrada; borrado restringido a administradores.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Usuarios y auditoría</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Alta y administración de usuarios y asignación de roles.</w:t>
            </w:r>
          </w:p>
          <w:p>
            <w:pPr>
              <w:spacing w:after="30" w:line="264"/>
            </w:pPr>
            <w:r>
              <w:rPr>
                <w:sz w:val="19"/>
                <w:szCs w:val="19"/>
              </w:rPr>
              <w:t xml:space="preserve">Registro de auditoría de las acciones realizadas en el sistema.</w:t>
            </w:r>
          </w:p>
        </w:tc>
      </w:tr>
    </w:tbl>
    <w:p>
      <w:pPr>
        <w:pStyle w:val="Heading2"/>
      </w:pPr>
      <w:r>
        <w:t xml:space="preserve">3.2. Gestión territorial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Módulo</w:t>
            </w:r>
          </w:p>
        </w:tc>
        <w:tc>
          <w:tcPr>
            <w:tcW w:type="dxa" w:w="6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Funcionalidades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Parques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Administración de los parques industriales de la provincia y sus datos.</w:t>
            </w:r>
          </w:p>
        </w:tc>
      </w:tr>
      <w:tr>
        <w:tc>
          <w:tcPr>
            <w:tcW w:type="dxa" w:w="27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b/>
                <w:bCs/>
                <w:sz w:val="19"/>
                <w:szCs w:val="19"/>
              </w:rPr>
              <w:t xml:space="preserve">Parcelas</w:t>
            </w:r>
          </w:p>
        </w:tc>
        <w:tc>
          <w:tcPr>
            <w:tcW w:type="dxa" w:w="66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tcPr>
          <w:p>
            <w:pPr>
              <w:spacing w:after="30" w:line="264"/>
            </w:pPr>
            <w:r>
              <w:rPr>
                <w:sz w:val="19"/>
                <w:szCs w:val="19"/>
              </w:rPr>
              <w:t xml:space="preserve">Gestión de parcelas dentro de cada parque.</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Empresas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Registro y administración de las empresas radicadas.</w:t>
            </w:r>
          </w:p>
        </w:tc>
      </w:tr>
    </w:tbl>
    <w:p>
      <w:pPr>
        <w:pStyle w:val="Heading2"/>
      </w:pPr>
      <w:r>
        <w:t xml:space="preserve">3.3. Expedientes, trámites y documentación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Módulo</w:t>
            </w:r>
          </w:p>
        </w:tc>
        <w:tc>
          <w:tcPr>
            <w:tcW w:type="dxa" w:w="6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Funcionalidades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Expedientes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Gestión de expedientes con vista de detalle completa por trámite.</w:t>
            </w:r>
          </w:p>
        </w:tc>
      </w:tr>
      <w:tr>
        <w:tc>
          <w:tcPr>
            <w:tcW w:type="dxa" w:w="27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b/>
                <w:bCs/>
                <w:sz w:val="19"/>
                <w:szCs w:val="19"/>
              </w:rPr>
              <w:t xml:space="preserve">Flujos de trabajo</w:t>
            </w:r>
          </w:p>
        </w:tc>
        <w:tc>
          <w:tcPr>
            <w:tcW w:type="dxa" w:w="66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tcPr>
          <w:p>
            <w:pPr>
              <w:spacing w:after="30" w:line="264"/>
            </w:pPr>
            <w:r>
              <w:rPr>
                <w:sz w:val="19"/>
                <w:szCs w:val="19"/>
              </w:rPr>
              <w:t xml:space="preserve">Circuito de estados de cada trámite (workflow) para su seguimiento.</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Documentos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Gestión documental asociada a expedientes y empresas.</w:t>
            </w:r>
          </w:p>
        </w:tc>
      </w:tr>
      <w:tr>
        <w:tc>
          <w:tcPr>
            <w:tcW w:type="dxa" w:w="27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b/>
                <w:bCs/>
                <w:sz w:val="19"/>
                <w:szCs w:val="19"/>
              </w:rPr>
              <w:t xml:space="preserve">Escrituraciones</w:t>
            </w:r>
          </w:p>
        </w:tc>
        <w:tc>
          <w:tcPr>
            <w:tcW w:type="dxa" w:w="66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tcPr>
          <w:p>
            <w:pPr>
              <w:spacing w:after="30" w:line="264"/>
            </w:pPr>
            <w:r>
              <w:rPr>
                <w:sz w:val="19"/>
                <w:szCs w:val="19"/>
              </w:rPr>
              <w:t xml:space="preserve">Seguimiento de los procesos de escrituración.</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Archivo</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Resguardo y consulta de la documentación histórica.</w:t>
            </w:r>
          </w:p>
        </w:tc>
      </w:tr>
    </w:tbl>
    <w:p>
      <w:pPr>
        <w:pStyle w:val="Heading2"/>
      </w:pPr>
      <w:r>
        <w:t xml:space="preserve">3.4. Inspecciones (gestión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Módulo</w:t>
            </w:r>
          </w:p>
        </w:tc>
        <w:tc>
          <w:tcPr>
            <w:tcW w:type="dxa" w:w="6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Funcionalidades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Inspecciones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Planificación y administración de las inspecciones desde la web.</w:t>
            </w:r>
          </w:p>
        </w:tc>
      </w:tr>
      <w:tr>
        <w:tc>
          <w:tcPr>
            <w:tcW w:type="dxa" w:w="27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b/>
                <w:bCs/>
                <w:sz w:val="19"/>
                <w:szCs w:val="19"/>
              </w:rPr>
              <w:t xml:space="preserve">Actas</w:t>
            </w:r>
          </w:p>
        </w:tc>
        <w:tc>
          <w:tcPr>
            <w:tcW w:type="dxa" w:w="66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tcPr>
          <w:p>
            <w:pPr>
              <w:spacing w:after="30" w:line="264"/>
            </w:pPr>
            <w:r>
              <w:rPr>
                <w:sz w:val="19"/>
                <w:szCs w:val="19"/>
              </w:rPr>
              <w:t xml:space="preserve">Gestión de las actas de inspección generadas en campo, con su ubicación geográfica e imagen satelital del lugar de firma.</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Mapa de actas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Visualización en mapa de todos los puntos de inspección realizados.</w:t>
            </w:r>
          </w:p>
        </w:tc>
      </w:tr>
      <w:tr>
        <w:tc>
          <w:tcPr>
            <w:tcW w:type="dxa" w:w="27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b/>
                <w:bCs/>
                <w:sz w:val="19"/>
                <w:szCs w:val="19"/>
              </w:rPr>
              <w:t xml:space="preserve">Terrenos (KMZ/KML)</w:t>
            </w:r>
          </w:p>
        </w:tc>
        <w:tc>
          <w:tcPr>
            <w:tcW w:type="dxa" w:w="66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tcPr>
          <w:p>
            <w:pPr>
              <w:spacing w:after="30" w:line="264"/>
            </w:pPr>
            <w:r>
              <w:rPr>
                <w:sz w:val="19"/>
                <w:szCs w:val="19"/>
              </w:rPr>
              <w:t xml:space="preserve">Carga de polígonos de los parques y vinculación automática de cada acta al terreno que la contiene.</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Alertas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Avisos y alertas vinculados a inspecciones y vencimientos.</w:t>
            </w:r>
          </w:p>
        </w:tc>
      </w:tr>
    </w:tbl>
    <w:p>
      <w:pPr>
        <w:pStyle w:val="Heading2"/>
      </w:pPr>
      <w:r>
        <w:t xml:space="preserve">3.5. Aplicación móvil nativa de inspección (Android)</w:t>
      </w:r>
    </w:p>
    <w:p>
      <w:pPr>
        <w:spacing w:after="100" w:before="0" w:line="276"/>
      </w:pPr>
      <w:r>
        <w:t xml:space="preserve">Componente de mayor complejidad técnica y principal diferencial del sistema. App nativa instalable, utilizada por los inspectores en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Módulo</w:t>
            </w:r>
          </w:p>
        </w:tc>
        <w:tc>
          <w:tcPr>
            <w:tcW w:type="dxa" w:w="6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Funcionalidades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Actas en campo</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Generación del acta de inspección directamente desde el celular, con firmas digitales y registro fotográfico.</w:t>
            </w:r>
          </w:p>
        </w:tc>
      </w:tr>
      <w:tr>
        <w:tc>
          <w:tcPr>
            <w:tcW w:type="dxa" w:w="27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b/>
                <w:bCs/>
                <w:sz w:val="19"/>
                <w:szCs w:val="19"/>
              </w:rPr>
              <w:t xml:space="preserve">Antifraude de ubicación</w:t>
            </w:r>
          </w:p>
        </w:tc>
        <w:tc>
          <w:tcPr>
            <w:tcW w:type="dxa" w:w="66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tcPr>
          <w:p>
            <w:pPr>
              <w:spacing w:after="30" w:line="264"/>
            </w:pPr>
            <w:r>
              <w:rPr>
                <w:sz w:val="19"/>
                <w:szCs w:val="19"/>
              </w:rPr>
              <w:t xml:space="preserve">Detección y bloqueo de aplicaciones de GPS falso (ubicación simulada): no se puede registrar un acta con ubicación falsificada.</w:t>
            </w:r>
          </w:p>
          <w:p>
            <w:pPr>
              <w:spacing w:after="30" w:line="264"/>
            </w:pPr>
            <w:r>
              <w:rPr>
                <w:sz w:val="19"/>
                <w:szCs w:val="19"/>
              </w:rPr>
              <w:t xml:space="preserve">Captura de la ubicación real y la precisión del GPS al firmar el acta, con validez para auditoría.</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Co-inspección en tiempo real</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Incorporación de un segundo agente con consentimiento explícito.</w:t>
            </w:r>
          </w:p>
          <w:p>
            <w:pPr>
              <w:spacing w:after="30" w:line="264"/>
            </w:pPr>
            <w:r>
              <w:rPr>
                <w:sz w:val="19"/>
                <w:szCs w:val="19"/>
              </w:rPr>
              <w:t xml:space="preserve">El segundo agente ve en vivo la misma pantalla que completa el inspector principal y puede revisar los pasos anteriores.</w:t>
            </w:r>
          </w:p>
          <w:p>
            <w:pPr>
              <w:spacing w:after="30" w:line="264"/>
            </w:pPr>
            <w:r>
              <w:rPr>
                <w:sz w:val="19"/>
                <w:szCs w:val="19"/>
              </w:rPr>
              <w:t xml:space="preserve">Fotos compartidas en vivo entre ambos inspectores.</w:t>
            </w:r>
          </w:p>
        </w:tc>
      </w:tr>
      <w:tr>
        <w:tc>
          <w:tcPr>
            <w:tcW w:type="dxa" w:w="27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b/>
                <w:bCs/>
                <w:sz w:val="19"/>
                <w:szCs w:val="19"/>
              </w:rPr>
              <w:t xml:space="preserve">Doble confirmación</w:t>
            </w:r>
          </w:p>
        </w:tc>
        <w:tc>
          <w:tcPr>
            <w:tcW w:type="dxa" w:w="66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tcPr>
          <w:p>
            <w:pPr>
              <w:spacing w:after="30" w:line="264"/>
            </w:pPr>
            <w:r>
              <w:rPr>
                <w:sz w:val="19"/>
                <w:szCs w:val="19"/>
              </w:rPr>
              <w:t xml:space="preserve">El acta no se emite sin la autorización del segundo agente: doble firma digital para su emisión.</w:t>
            </w:r>
          </w:p>
          <w:p>
            <w:pPr>
              <w:spacing w:after="30" w:line="264"/>
            </w:pPr>
            <w:r>
              <w:rPr>
                <w:sz w:val="19"/>
                <w:szCs w:val="19"/>
              </w:rPr>
              <w:t xml:space="preserve">Panel de pendientes con actualización en tiempo real y alerta sonora.</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Actualización y distribución</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Actualización automática del contenido sin reinstalar la app.</w:t>
            </w:r>
          </w:p>
          <w:p>
            <w:pPr>
              <w:spacing w:after="30" w:line="264"/>
            </w:pPr>
            <w:r>
              <w:rPr>
                <w:sz w:val="19"/>
                <w:szCs w:val="19"/>
              </w:rPr>
              <w:t xml:space="preserve">Generación y descarga/compartir del PDF oficial del acta desde el celular.</w:t>
            </w:r>
          </w:p>
        </w:tc>
      </w:tr>
    </w:tbl>
    <w:p>
      <w:pPr>
        <w:pStyle w:val="Heading2"/>
      </w:pPr>
      <w:r>
        <w:t xml:space="preserve">3.6. Portal de Empresas (autogestión externa)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Módulo</w:t>
            </w:r>
          </w:p>
        </w:tc>
        <w:tc>
          <w:tcPr>
            <w:tcW w:type="dxa" w:w="6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Funcionalidades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Acceso empresas</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Entorno de acceso para las empresas radicadas en los parques.</w:t>
            </w:r>
          </w:p>
        </w:tc>
      </w:tr>
      <w:tr>
        <w:tc>
          <w:tcPr>
            <w:tcW w:type="dxa" w:w="27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b/>
                <w:bCs/>
                <w:sz w:val="19"/>
                <w:szCs w:val="19"/>
              </w:rPr>
              <w:t xml:space="preserve">Mis expedientes</w:t>
            </w:r>
          </w:p>
        </w:tc>
        <w:tc>
          <w:tcPr>
            <w:tcW w:type="dxa" w:w="66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tcPr>
          <w:p>
            <w:pPr>
              <w:spacing w:after="30" w:line="264"/>
            </w:pPr>
            <w:r>
              <w:rPr>
                <w:sz w:val="19"/>
                <w:szCs w:val="19"/>
              </w:rPr>
              <w:t xml:space="preserve">Seguimiento por parte de la empresa del estado de sus expedientes.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Mi cuenta</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Gestión de los datos y la cuenta de la empresa.</w:t>
            </w:r>
          </w:p>
        </w:tc>
      </w:tr>
    </w:tbl>
    <w:p>
      <w:pPr>
        <w:pStyle w:val="Heading2"/>
      </w:pPr>
      <w:r>
        <w:t xml:space="preserve">3.7. Tablero e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Módulo</w:t>
            </w:r>
          </w:p>
        </w:tc>
        <w:tc>
          <w:tcPr>
            <w:tcW w:type="dxa" w:w="6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Funcionalidades</w:t>
            </w:r>
          </w:p>
        </w:tc>
      </w:tr>
      <w:tr>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b/>
                <w:bCs/>
                <w:sz w:val="19"/>
                <w:szCs w:val="19"/>
              </w:rPr>
              <w:t xml:space="preserve">Dashboard</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30" w:line="264"/>
            </w:pPr>
            <w:r>
              <w:rPr>
                <w:sz w:val="19"/>
                <w:szCs w:val="19"/>
              </w:rPr>
              <w:t xml:space="preserve">Tablero de indicadores con gráficos para la toma de decisiones.</w:t>
            </w:r>
          </w:p>
        </w:tc>
      </w:tr>
      <w:tr>
        <w:tc>
          <w:tcPr>
            <w:tcW w:type="dxa" w:w="27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b/>
                <w:bCs/>
                <w:sz w:val="19"/>
                <w:szCs w:val="19"/>
              </w:rPr>
              <w:t xml:space="preserve">Consultas y reportes</w:t>
            </w:r>
          </w:p>
        </w:tc>
        <w:tc>
          <w:tcPr>
            <w:tcW w:type="dxa" w:w="66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tcPr>
          <w:p>
            <w:pPr>
              <w:spacing w:after="30" w:line="264"/>
            </w:pPr>
            <w:r>
              <w:rPr>
                <w:sz w:val="19"/>
                <w:szCs w:val="19"/>
              </w:rPr>
              <w:t xml:space="preserve">Consultas y reportes sobre la información del sistema.</w:t>
            </w:r>
          </w:p>
        </w:tc>
      </w:tr>
    </w:tbl>
    <w:p>
      <w:r>
        <w:br w:type="page"/>
      </w:r>
    </w:p>
    <w:p>
      <w:pPr>
        <w:pStyle w:val="Heading1"/>
      </w:pPr>
      <w:r>
        <w:t xml:space="preserve">4. Arquitectura, tecnología e infraestructura</w:t>
      </w:r>
    </w:p>
    <w:p>
      <w:pPr>
        <w:pStyle w:val="ListParagraph"/>
        <w:numPr>
          <w:ilvl w:val="0"/>
          <w:numId w:val="2"/>
        </w:numPr>
        <w:spacing w:after="60" w:line="276"/>
      </w:pPr>
      <w:r>
        <w:rPr>
          <w:b/>
          <w:bCs/>
        </w:rPr>
        <w:t xml:space="preserve">Frontend: </w:t>
      </w:r>
      <w:r>
        <w:t xml:space="preserve">aplicación web moderna (React + Vite), responsiva para escritorio y celular.</w:t>
      </w:r>
    </w:p>
    <w:p>
      <w:pPr>
        <w:pStyle w:val="ListParagraph"/>
        <w:numPr>
          <w:ilvl w:val="0"/>
          <w:numId w:val="2"/>
        </w:numPr>
        <w:spacing w:after="60" w:line="276"/>
      </w:pPr>
      <w:r>
        <w:rPr>
          <w:b/>
          <w:bCs/>
        </w:rPr>
        <w:t xml:space="preserve">App móvil: </w:t>
      </w:r>
      <w:r>
        <w:t xml:space="preserve">aplicación nativa Android (Capacitor) con compilación y distribución automatizadas, y acceso a funciones del dispositivo (GPS, cámara, detección de ubicación simulada).</w:t>
      </w:r>
    </w:p>
    <w:p>
      <w:pPr>
        <w:pStyle w:val="ListParagraph"/>
        <w:numPr>
          <w:ilvl w:val="0"/>
          <w:numId w:val="2"/>
        </w:numPr>
        <w:spacing w:after="60" w:line="276"/>
      </w:pPr>
      <w:r>
        <w:rPr>
          <w:b/>
          <w:bCs/>
        </w:rPr>
        <w:t xml:space="preserve">Backend y base de datos: </w:t>
      </w:r>
      <w:r>
        <w:t xml:space="preserve">Supabase (PostgreSQL) con seguridad a nivel de fila, funciones y capacidades en tiempo real.</w:t>
      </w:r>
    </w:p>
    <w:p>
      <w:pPr>
        <w:pStyle w:val="ListParagraph"/>
        <w:numPr>
          <w:ilvl w:val="0"/>
          <w:numId w:val="2"/>
        </w:numPr>
        <w:spacing w:after="60" w:line="276"/>
      </w:pPr>
      <w:r>
        <w:rPr>
          <w:b/>
          <w:bCs/>
        </w:rPr>
        <w:t xml:space="preserve">Despliegue: </w:t>
      </w:r>
      <w:r>
        <w:t xml:space="preserve">publicación continua en la nube (Vercel), con actualización automática ante cada versión.</w:t>
      </w:r>
    </w:p>
    <w:p>
      <w:pPr>
        <w:pStyle w:val="ListParagraph"/>
        <w:numPr>
          <w:ilvl w:val="0"/>
          <w:numId w:val="2"/>
        </w:numPr>
        <w:spacing w:after="60" w:line="276"/>
      </w:pPr>
      <w:r>
        <w:rPr>
          <w:b/>
          <w:bCs/>
        </w:rPr>
        <w:t xml:space="preserve">Correo: </w:t>
      </w:r>
      <w:r>
        <w:t xml:space="preserve">servicio SMTP para los emails de recuperación y notificaciones.</w:t>
      </w:r>
    </w:p>
    <w:p>
      <w:pPr>
        <w:pStyle w:val="Heading1"/>
      </w:pPr>
      <w:r>
        <w:t xml:space="preserve">5. Modelo 1 — Llave en mano (pago único)</w:t>
      </w:r>
    </w:p>
    <w:p>
      <w:pPr>
        <w:spacing w:after="120" w:before="0" w:line="276"/>
      </w:pPr>
      <w:r>
        <w:t xml:space="preserve">Entrega del sistema completo, puesto en producción y operativo, con capacitación, migración de datos y garantía. Se indica el precio de lista del producto y la oferta especial para la Provincia del Chubut.</w:t>
      </w:r>
    </w:p>
    <w:p>
      <w:pPr>
        <w:pStyle w:val="Heading2"/>
      </w:pPr>
      <w:r>
        <w:t xml:space="preserve">5.1. Desarrollo del sistema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Concepto</w:t>
            </w:r>
          </w:p>
        </w:tc>
        <w:tc>
          <w:tcPr>
            <w:tcW w:type="dxa" w:w="2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right"/>
            </w:pPr>
            <w:r>
              <w:rPr>
                <w:b/>
                <w:bCs/>
                <w:color w:val="FFFFFF"/>
                <w:sz w:val="19"/>
                <w:szCs w:val="19"/>
              </w:rPr>
              <w:t xml:space="preserve">Precio de lista (USD)</w:t>
            </w:r>
          </w:p>
        </w:tc>
        <w:tc>
          <w:tcPr>
            <w:tcW w:type="dxa" w:w="2000"/>
            <w:tcBorders>
              <w:top w:val="single" w:color="BFBFBF" w:sz="1"/>
              <w:left w:val="single" w:color="BFBFBF" w:sz="1"/>
              <w:bottom w:val="single" w:color="BFBFBF" w:sz="1"/>
              <w:right w:val="single" w:color="BFBFBF" w:sz="1"/>
            </w:tcBorders>
            <w:shd w:fill="1F7A3D" w:val="clear"/>
            <w:tcMar>
              <w:top w:type="dxa" w:w="60"/>
              <w:left w:type="dxa" w:w="120"/>
              <w:bottom w:type="dxa" w:w="60"/>
              <w:right w:type="dxa" w:w="120"/>
            </w:tcMar>
            <w:vAlign w:val="center"/>
          </w:tcPr>
          <w:p>
            <w:pPr>
              <w:spacing w:after="0"/>
              <w:jc w:val="right"/>
            </w:pPr>
            <w:r>
              <w:rPr>
                <w:b/>
                <w:bCs/>
                <w:color w:val="FFFFFF"/>
                <w:sz w:val="19"/>
                <w:szCs w:val="19"/>
              </w:rPr>
              <w:t xml:space="preserve">Oferta Provincia (USD)</w:t>
            </w:r>
          </w:p>
        </w:tc>
      </w:tr>
      <w:tr>
        <w:tc>
          <w:tcPr>
            <w:tcW w:type="dxa" w:w="5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sz w:val="19"/>
                <w:szCs w:val="19"/>
              </w:rPr>
              <w:t xml:space="preserve">Núcleo, seguridad, login unificado, roles y delegación, auditoría (incluye base de datos y RLS)</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color w:val="808080"/>
                <w:sz w:val="19"/>
                <w:szCs w:val="19"/>
              </w:rPr>
              <w:t xml:space="preserve">18.000</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b/>
                <w:bCs/>
                <w:sz w:val="19"/>
                <w:szCs w:val="19"/>
              </w:rPr>
              <w:t xml:space="preserve">9.000</w:t>
            </w:r>
          </w:p>
        </w:tc>
      </w:tr>
      <w:tr>
        <w:tc>
          <w:tcPr>
            <w:tcW w:type="dxa" w:w="53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sz w:val="19"/>
                <w:szCs w:val="19"/>
              </w:rPr>
              <w:t xml:space="preserve">Gestión territorial — Parques, Parcelas y Empresas</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color w:val="808080"/>
                <w:sz w:val="19"/>
                <w:szCs w:val="19"/>
              </w:rPr>
              <w:t xml:space="preserve">10.000</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b/>
                <w:bCs/>
                <w:sz w:val="19"/>
                <w:szCs w:val="19"/>
              </w:rPr>
              <w:t xml:space="preserve">5.000</w:t>
            </w:r>
          </w:p>
        </w:tc>
      </w:tr>
      <w:tr>
        <w:tc>
          <w:tcPr>
            <w:tcW w:type="dxa" w:w="5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sz w:val="19"/>
                <w:szCs w:val="19"/>
              </w:rPr>
              <w:t xml:space="preserve">Expedientes, Flujos (workflow), Documentos, Escrituraciones y Archivo</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color w:val="808080"/>
                <w:sz w:val="19"/>
                <w:szCs w:val="19"/>
              </w:rPr>
              <w:t xml:space="preserve">16.000</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b/>
                <w:bCs/>
                <w:sz w:val="19"/>
                <w:szCs w:val="19"/>
              </w:rPr>
              <w:t xml:space="preserve">8.000</w:t>
            </w:r>
          </w:p>
        </w:tc>
      </w:tr>
      <w:tr>
        <w:tc>
          <w:tcPr>
            <w:tcW w:type="dxa" w:w="53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sz w:val="19"/>
                <w:szCs w:val="19"/>
              </w:rPr>
              <w:t xml:space="preserve">Inspecciones (web), Mapa de actas, Terrenos KMZ y Alertas</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color w:val="808080"/>
                <w:sz w:val="19"/>
                <w:szCs w:val="19"/>
              </w:rPr>
              <w:t xml:space="preserve">8.000</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b/>
                <w:bCs/>
                <w:sz w:val="19"/>
                <w:szCs w:val="19"/>
              </w:rPr>
              <w:t xml:space="preserve">4.000</w:t>
            </w:r>
          </w:p>
        </w:tc>
      </w:tr>
      <w:tr>
        <w:tc>
          <w:tcPr>
            <w:tcW w:type="dxa" w:w="5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sz w:val="19"/>
                <w:szCs w:val="19"/>
              </w:rPr>
              <w:t xml:space="preserve">App móvil nativa: antifraude GPS, co-inspección en vivo, doble confirmación, firmas y fotos</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color w:val="808080"/>
                <w:sz w:val="19"/>
                <w:szCs w:val="19"/>
              </w:rPr>
              <w:t xml:space="preserve">22.000</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b/>
                <w:bCs/>
                <w:sz w:val="19"/>
                <w:szCs w:val="19"/>
              </w:rPr>
              <w:t xml:space="preserve">11.000</w:t>
            </w:r>
          </w:p>
        </w:tc>
      </w:tr>
      <w:tr>
        <w:tc>
          <w:tcPr>
            <w:tcW w:type="dxa" w:w="53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sz w:val="19"/>
                <w:szCs w:val="19"/>
              </w:rPr>
              <w:t xml:space="preserve">Portal de Empresas (acceso externo)</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color w:val="808080"/>
                <w:sz w:val="19"/>
                <w:szCs w:val="19"/>
              </w:rPr>
              <w:t xml:space="preserve">9.000</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b/>
                <w:bCs/>
                <w:sz w:val="19"/>
                <w:szCs w:val="19"/>
              </w:rPr>
              <w:t xml:space="preserve">4.500</w:t>
            </w:r>
          </w:p>
        </w:tc>
      </w:tr>
      <w:tr>
        <w:tc>
          <w:tcPr>
            <w:tcW w:type="dxa" w:w="5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sz w:val="19"/>
                <w:szCs w:val="19"/>
              </w:rPr>
              <w:t xml:space="preserve">Dashboard, reportes, consultas y Mi Cuenta</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color w:val="808080"/>
                <w:sz w:val="19"/>
                <w:szCs w:val="19"/>
              </w:rPr>
              <w:t xml:space="preserve">9.000</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b/>
                <w:bCs/>
                <w:sz w:val="19"/>
                <w:szCs w:val="19"/>
              </w:rPr>
              <w:t xml:space="preserve">4.500</w:t>
            </w:r>
          </w:p>
        </w:tc>
      </w:tr>
      <w:tr>
        <w:tc>
          <w:tcPr>
            <w:tcW w:type="dxa" w:w="53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left"/>
            </w:pPr>
            <w:r>
              <w:rPr>
                <w:b/>
                <w:bCs/>
                <w:sz w:val="19"/>
                <w:szCs w:val="19"/>
              </w:rPr>
              <w:t xml:space="preserve">Subtotal producto</w:t>
            </w:r>
          </w:p>
        </w:tc>
        <w:tc>
          <w:tcPr>
            <w:tcW w:type="dxa" w:w="2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right"/>
            </w:pPr>
            <w:r>
              <w:rPr>
                <w:b/>
                <w:bCs/>
                <w:color w:val="808080"/>
                <w:sz w:val="19"/>
                <w:szCs w:val="19"/>
              </w:rPr>
              <w:t xml:space="preserve">92.000</w:t>
            </w:r>
          </w:p>
        </w:tc>
        <w:tc>
          <w:tcPr>
            <w:tcW w:type="dxa" w:w="2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right"/>
            </w:pPr>
            <w:r>
              <w:rPr>
                <w:b/>
                <w:bCs/>
                <w:color w:val="1F7A3D"/>
                <w:sz w:val="19"/>
                <w:szCs w:val="19"/>
              </w:rPr>
              <w:t xml:space="preserve">46.000</w:t>
            </w:r>
          </w:p>
        </w:tc>
      </w:tr>
    </w:tbl>
    <w:p>
      <w:pPr>
        <w:pStyle w:val="Heading2"/>
      </w:pPr>
      <w:r>
        <w:t xml:space="preserve">5.2. Servicios de implementación y puesta en marcha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Concepto</w:t>
            </w:r>
          </w:p>
        </w:tc>
        <w:tc>
          <w:tcPr>
            <w:tcW w:type="dxa" w:w="2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right"/>
            </w:pPr>
            <w:r>
              <w:rPr>
                <w:b/>
                <w:bCs/>
                <w:color w:val="FFFFFF"/>
                <w:sz w:val="19"/>
                <w:szCs w:val="19"/>
              </w:rPr>
              <w:t xml:space="preserve">Precio de lista (USD)</w:t>
            </w:r>
          </w:p>
        </w:tc>
        <w:tc>
          <w:tcPr>
            <w:tcW w:type="dxa" w:w="2000"/>
            <w:tcBorders>
              <w:top w:val="single" w:color="BFBFBF" w:sz="1"/>
              <w:left w:val="single" w:color="BFBFBF" w:sz="1"/>
              <w:bottom w:val="single" w:color="BFBFBF" w:sz="1"/>
              <w:right w:val="single" w:color="BFBFBF" w:sz="1"/>
            </w:tcBorders>
            <w:shd w:fill="1F7A3D" w:val="clear"/>
            <w:tcMar>
              <w:top w:type="dxa" w:w="60"/>
              <w:left w:type="dxa" w:w="120"/>
              <w:bottom w:type="dxa" w:w="60"/>
              <w:right w:type="dxa" w:w="120"/>
            </w:tcMar>
            <w:vAlign w:val="center"/>
          </w:tcPr>
          <w:p>
            <w:pPr>
              <w:spacing w:after="0"/>
              <w:jc w:val="right"/>
            </w:pPr>
            <w:r>
              <w:rPr>
                <w:b/>
                <w:bCs/>
                <w:color w:val="FFFFFF"/>
                <w:sz w:val="19"/>
                <w:szCs w:val="19"/>
              </w:rPr>
              <w:t xml:space="preserve">Oferta Provincia (USD)</w:t>
            </w:r>
          </w:p>
        </w:tc>
      </w:tr>
      <w:tr>
        <w:tc>
          <w:tcPr>
            <w:tcW w:type="dxa" w:w="5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sz w:val="19"/>
                <w:szCs w:val="19"/>
              </w:rPr>
              <w:t xml:space="preserve">Puesta en marcha, despliegue productivo y configuración (Supabase, Vercel, SMTP, dominio)</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color w:val="808080"/>
                <w:sz w:val="19"/>
                <w:szCs w:val="19"/>
              </w:rPr>
              <w:t xml:space="preserve">8.000</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b/>
                <w:bCs/>
                <w:sz w:val="19"/>
                <w:szCs w:val="19"/>
              </w:rPr>
              <w:t xml:space="preserve">4.000</w:t>
            </w:r>
          </w:p>
        </w:tc>
      </w:tr>
      <w:tr>
        <w:tc>
          <w:tcPr>
            <w:tcW w:type="dxa" w:w="53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sz w:val="19"/>
                <w:szCs w:val="19"/>
              </w:rPr>
              <w:t xml:space="preserve">Migración y carga inicial de datos</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color w:val="808080"/>
                <w:sz w:val="19"/>
                <w:szCs w:val="19"/>
              </w:rPr>
              <w:t xml:space="preserve">9.000</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b/>
                <w:bCs/>
                <w:sz w:val="19"/>
                <w:szCs w:val="19"/>
              </w:rPr>
              <w:t xml:space="preserve">4.000</w:t>
            </w:r>
          </w:p>
        </w:tc>
      </w:tr>
      <w:tr>
        <w:tc>
          <w:tcPr>
            <w:tcW w:type="dxa" w:w="5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sz w:val="19"/>
                <w:szCs w:val="19"/>
              </w:rPr>
              <w:t xml:space="preserve">Capacitación (personal de gestión e inspectores)</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color w:val="808080"/>
                <w:sz w:val="19"/>
                <w:szCs w:val="19"/>
              </w:rPr>
              <w:t xml:space="preserve">7.000</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b/>
                <w:bCs/>
                <w:sz w:val="19"/>
                <w:szCs w:val="19"/>
              </w:rPr>
              <w:t xml:space="preserve">3.000</w:t>
            </w:r>
          </w:p>
        </w:tc>
      </w:tr>
      <w:tr>
        <w:tc>
          <w:tcPr>
            <w:tcW w:type="dxa" w:w="53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sz w:val="19"/>
                <w:szCs w:val="19"/>
              </w:rPr>
              <w:t xml:space="preserve">Documentación y manuales de uso</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color w:val="808080"/>
                <w:sz w:val="19"/>
                <w:szCs w:val="19"/>
              </w:rPr>
              <w:t xml:space="preserve">4.000</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b/>
                <w:bCs/>
                <w:sz w:val="19"/>
                <w:szCs w:val="19"/>
              </w:rPr>
              <w:t xml:space="preserve">2.000</w:t>
            </w:r>
          </w:p>
        </w:tc>
      </w:tr>
      <w:tr>
        <w:tc>
          <w:tcPr>
            <w:tcW w:type="dxa" w:w="5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sz w:val="19"/>
                <w:szCs w:val="19"/>
              </w:rPr>
              <w:t xml:space="preserve">Gestión de proyecto (PM)</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color w:val="808080"/>
                <w:sz w:val="19"/>
                <w:szCs w:val="19"/>
              </w:rPr>
              <w:t xml:space="preserve">6.000</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b/>
                <w:bCs/>
                <w:sz w:val="19"/>
                <w:szCs w:val="19"/>
              </w:rPr>
              <w:t xml:space="preserve">3.000</w:t>
            </w:r>
          </w:p>
        </w:tc>
      </w:tr>
      <w:tr>
        <w:tc>
          <w:tcPr>
            <w:tcW w:type="dxa" w:w="53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left"/>
            </w:pPr>
            <w:r>
              <w:rPr>
                <w:b/>
                <w:bCs/>
                <w:sz w:val="19"/>
                <w:szCs w:val="19"/>
              </w:rPr>
              <w:t xml:space="preserve">Subtotal servicios</w:t>
            </w:r>
          </w:p>
        </w:tc>
        <w:tc>
          <w:tcPr>
            <w:tcW w:type="dxa" w:w="2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right"/>
            </w:pPr>
            <w:r>
              <w:rPr>
                <w:b/>
                <w:bCs/>
                <w:color w:val="808080"/>
                <w:sz w:val="19"/>
                <w:szCs w:val="19"/>
              </w:rPr>
              <w:t xml:space="preserve">34.000</w:t>
            </w:r>
          </w:p>
        </w:tc>
        <w:tc>
          <w:tcPr>
            <w:tcW w:type="dxa" w:w="2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right"/>
            </w:pPr>
            <w:r>
              <w:rPr>
                <w:b/>
                <w:bCs/>
                <w:color w:val="1F7A3D"/>
                <w:sz w:val="19"/>
                <w:szCs w:val="19"/>
              </w:rPr>
              <w:t xml:space="preserve">16.000</w:t>
            </w:r>
          </w:p>
        </w:tc>
      </w:tr>
    </w:tbl>
    <w:p>
      <w:pPr>
        <w:pStyle w:val="Heading2"/>
      </w:pPr>
      <w:r>
        <w:t xml:space="preserve">5.3. Total llave en mano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Concepto</w:t>
            </w:r>
          </w:p>
        </w:tc>
        <w:tc>
          <w:tcPr>
            <w:tcW w:type="dxa" w:w="2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right"/>
            </w:pPr>
            <w:r>
              <w:rPr>
                <w:b/>
                <w:bCs/>
                <w:color w:val="FFFFFF"/>
                <w:sz w:val="19"/>
                <w:szCs w:val="19"/>
              </w:rPr>
              <w:t xml:space="preserve">Precio de lista (USD)</w:t>
            </w:r>
          </w:p>
        </w:tc>
        <w:tc>
          <w:tcPr>
            <w:tcW w:type="dxa" w:w="2000"/>
            <w:tcBorders>
              <w:top w:val="single" w:color="BFBFBF" w:sz="1"/>
              <w:left w:val="single" w:color="BFBFBF" w:sz="1"/>
              <w:bottom w:val="single" w:color="BFBFBF" w:sz="1"/>
              <w:right w:val="single" w:color="BFBFBF" w:sz="1"/>
            </w:tcBorders>
            <w:shd w:fill="1F7A3D" w:val="clear"/>
            <w:tcMar>
              <w:top w:type="dxa" w:w="60"/>
              <w:left w:type="dxa" w:w="120"/>
              <w:bottom w:type="dxa" w:w="60"/>
              <w:right w:type="dxa" w:w="120"/>
            </w:tcMar>
            <w:vAlign w:val="center"/>
          </w:tcPr>
          <w:p>
            <w:pPr>
              <w:spacing w:after="0"/>
              <w:jc w:val="right"/>
            </w:pPr>
            <w:r>
              <w:rPr>
                <w:b/>
                <w:bCs/>
                <w:color w:val="FFFFFF"/>
                <w:sz w:val="19"/>
                <w:szCs w:val="19"/>
              </w:rPr>
              <w:t xml:space="preserve">Oferta Provincia (USD)</w:t>
            </w:r>
          </w:p>
        </w:tc>
      </w:tr>
      <w:tr>
        <w:tc>
          <w:tcPr>
            <w:tcW w:type="dxa" w:w="53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left"/>
            </w:pPr>
            <w:r>
              <w:rPr>
                <w:b/>
                <w:bCs/>
                <w:sz w:val="19"/>
                <w:szCs w:val="19"/>
              </w:rPr>
              <w:t xml:space="preserve">Neto</w:t>
            </w:r>
          </w:p>
        </w:tc>
        <w:tc>
          <w:tcPr>
            <w:tcW w:type="dxa" w:w="2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right"/>
            </w:pPr>
            <w:r>
              <w:rPr>
                <w:b/>
                <w:bCs/>
                <w:color w:val="808080"/>
                <w:sz w:val="19"/>
                <w:szCs w:val="19"/>
              </w:rPr>
              <w:t xml:space="preserve">126.000</w:t>
            </w:r>
          </w:p>
        </w:tc>
        <w:tc>
          <w:tcPr>
            <w:tcW w:type="dxa" w:w="2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right"/>
            </w:pPr>
            <w:r>
              <w:rPr>
                <w:b/>
                <w:bCs/>
                <w:color w:val="1F7A3D"/>
                <w:sz w:val="19"/>
                <w:szCs w:val="19"/>
              </w:rPr>
              <w:t xml:space="preserve">62.000</w:t>
            </w:r>
          </w:p>
        </w:tc>
      </w:tr>
      <w:tr>
        <w:tc>
          <w:tcPr>
            <w:tcW w:type="dxa" w:w="53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b/>
                <w:bCs/>
                <w:sz w:val="19"/>
                <w:szCs w:val="19"/>
              </w:rPr>
              <w:t xml:space="preserve">IVA 21%</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b/>
                <w:bCs/>
                <w:color w:val="808080"/>
                <w:sz w:val="19"/>
                <w:szCs w:val="19"/>
              </w:rPr>
              <w:t xml:space="preserve">26.460</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b/>
                <w:bCs/>
                <w:color w:val="1F7A3D"/>
                <w:sz w:val="19"/>
                <w:szCs w:val="19"/>
              </w:rPr>
              <w:t xml:space="preserve">13.020</w:t>
            </w:r>
          </w:p>
        </w:tc>
      </w:tr>
      <w:tr>
        <w:tc>
          <w:tcPr>
            <w:tcW w:type="dxa" w:w="53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left"/>
            </w:pPr>
            <w:r>
              <w:rPr>
                <w:b/>
                <w:bCs/>
                <w:sz w:val="19"/>
                <w:szCs w:val="19"/>
              </w:rPr>
              <w:t xml:space="preserve">TOTAL con IVA</w:t>
            </w:r>
          </w:p>
        </w:tc>
        <w:tc>
          <w:tcPr>
            <w:tcW w:type="dxa" w:w="2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right"/>
            </w:pPr>
            <w:r>
              <w:rPr>
                <w:b/>
                <w:bCs/>
                <w:color w:val="808080"/>
                <w:sz w:val="19"/>
                <w:szCs w:val="19"/>
              </w:rPr>
              <w:t xml:space="preserve">152.460</w:t>
            </w:r>
          </w:p>
        </w:tc>
        <w:tc>
          <w:tcPr>
            <w:tcW w:type="dxa" w:w="2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right"/>
            </w:pPr>
            <w:r>
              <w:rPr>
                <w:b/>
                <w:bCs/>
                <w:color w:val="1F7A3D"/>
                <w:sz w:val="19"/>
                <w:szCs w:val="19"/>
              </w:rPr>
              <w:t xml:space="preserve">75.020</w:t>
            </w:r>
          </w:p>
        </w:tc>
      </w:tr>
    </w:tbl>
    <w:p>
      <w:pPr>
        <w:spacing w:after="120" w:before="120" w:line="276"/>
      </w:pPr>
      <w:r>
        <w:rPr>
          <w:i/>
          <w:iCs/>
          <w:color w:val="808080"/>
          <w:sz w:val="19"/>
          <w:szCs w:val="19"/>
        </w:rPr>
        <w:t xml:space="preserve">Incluye garantía post-implementación de 90 días (corrección de defectos sin cargo). Esfuerzo equivalente: ~1.600 a 1.800 horas de desarrollo e implementación.</w:t>
      </w:r>
    </w:p>
    <w:p>
      <w:pPr>
        <w:spacing w:after="60" w:before="0" w:line="276"/>
      </w:pPr>
      <w:r>
        <w:rPr>
          <w:i/>
          <w:iCs/>
          <w:color w:val="808080"/>
          <w:sz w:val="19"/>
          <w:szCs w:val="19"/>
        </w:rPr>
        <w:t xml:space="preserve">Esquema de pago sugerido: 40% de anticipo · 40% contra puesta en producción · 20% al finalizar la garantía.</w:t>
      </w:r>
    </w:p>
    <w:p>
      <w:r>
        <w:br w:type="page"/>
      </w:r>
    </w:p>
    <w:p>
      <w:pPr>
        <w:pStyle w:val="Heading1"/>
      </w:pPr>
      <w:r>
        <w:t xml:space="preserve">6. Modelo 2 — Licencia anual (SaaS gestionado)</w:t>
      </w:r>
    </w:p>
    <w:p>
      <w:pPr>
        <w:spacing w:after="120" w:before="0" w:line="276"/>
      </w:pPr>
      <w:r>
        <w:t xml:space="preserve">Derecho de uso del sistema con infraestructura, soporte, mantenimiento y mejoras incluidas, bajo un abono anual. Modalidad recomendada por su menor barrera de entrada y por tratarse de gasto operativo (no de capital).</w:t>
      </w:r>
    </w:p>
    <w:p>
      <w:pPr>
        <w:pStyle w:val="Heading2"/>
      </w:pPr>
      <w:r>
        <w:t xml:space="preserve">6.1. Desglose del abono 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Concepto</w:t>
            </w:r>
          </w:p>
        </w:tc>
        <w:tc>
          <w:tcPr>
            <w:tcW w:type="dxa" w:w="2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right"/>
            </w:pPr>
            <w:r>
              <w:rPr>
                <w:b/>
                <w:bCs/>
                <w:color w:val="FFFFFF"/>
                <w:sz w:val="19"/>
                <w:szCs w:val="19"/>
              </w:rPr>
              <w:t xml:space="preserve">Precio de lista (USD)</w:t>
            </w:r>
          </w:p>
        </w:tc>
        <w:tc>
          <w:tcPr>
            <w:tcW w:type="dxa" w:w="2000"/>
            <w:tcBorders>
              <w:top w:val="single" w:color="BFBFBF" w:sz="1"/>
              <w:left w:val="single" w:color="BFBFBF" w:sz="1"/>
              <w:bottom w:val="single" w:color="BFBFBF" w:sz="1"/>
              <w:right w:val="single" w:color="BFBFBF" w:sz="1"/>
            </w:tcBorders>
            <w:shd w:fill="1F7A3D" w:val="clear"/>
            <w:tcMar>
              <w:top w:type="dxa" w:w="60"/>
              <w:left w:type="dxa" w:w="120"/>
              <w:bottom w:type="dxa" w:w="60"/>
              <w:right w:type="dxa" w:w="120"/>
            </w:tcMar>
            <w:vAlign w:val="center"/>
          </w:tcPr>
          <w:p>
            <w:pPr>
              <w:spacing w:after="0"/>
              <w:jc w:val="right"/>
            </w:pPr>
            <w:r>
              <w:rPr>
                <w:b/>
                <w:bCs/>
                <w:color w:val="FFFFFF"/>
                <w:sz w:val="19"/>
                <w:szCs w:val="19"/>
              </w:rPr>
              <w:t xml:space="preserve">Oferta Provincia (USD)</w:t>
            </w:r>
          </w:p>
        </w:tc>
      </w:tr>
      <w:tr>
        <w:tc>
          <w:tcPr>
            <w:tcW w:type="dxa" w:w="5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sz w:val="19"/>
                <w:szCs w:val="19"/>
              </w:rPr>
              <w:t xml:space="preserve">Derecho de uso / licencia del software</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color w:val="808080"/>
                <w:sz w:val="19"/>
                <w:szCs w:val="19"/>
              </w:rPr>
              <w:t xml:space="preserve">24.000</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b/>
                <w:bCs/>
                <w:sz w:val="19"/>
                <w:szCs w:val="19"/>
              </w:rPr>
              <w:t xml:space="preserve">8.000</w:t>
            </w:r>
          </w:p>
        </w:tc>
      </w:tr>
      <w:tr>
        <w:tc>
          <w:tcPr>
            <w:tcW w:type="dxa" w:w="53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sz w:val="19"/>
                <w:szCs w:val="19"/>
              </w:rPr>
              <w:t xml:space="preserve">Infraestructura gestionada (Supabase, Vercel, SMTP, backups, dominio)</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color w:val="808080"/>
                <w:sz w:val="19"/>
                <w:szCs w:val="19"/>
              </w:rPr>
              <w:t xml:space="preserve">3.600</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b/>
                <w:bCs/>
                <w:sz w:val="19"/>
                <w:szCs w:val="19"/>
              </w:rPr>
              <w:t xml:space="preserve">1.500</w:t>
            </w:r>
          </w:p>
        </w:tc>
      </w:tr>
      <w:tr>
        <w:tc>
          <w:tcPr>
            <w:tcW w:type="dxa" w:w="5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sz w:val="19"/>
                <w:szCs w:val="19"/>
              </w:rPr>
              <w:t xml:space="preserve">Soporte y mesa de ayuda (gestión e inspectores)</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color w:val="808080"/>
                <w:sz w:val="19"/>
                <w:szCs w:val="19"/>
              </w:rPr>
              <w:t xml:space="preserve">9.000</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b/>
                <w:bCs/>
                <w:sz w:val="19"/>
                <w:szCs w:val="19"/>
              </w:rPr>
              <w:t xml:space="preserve">3.500</w:t>
            </w:r>
          </w:p>
        </w:tc>
      </w:tr>
      <w:tr>
        <w:tc>
          <w:tcPr>
            <w:tcW w:type="dxa" w:w="53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sz w:val="19"/>
                <w:szCs w:val="19"/>
              </w:rPr>
              <w:t xml:space="preserve">Mantenimiento correctivo (errores, parches de seguridad, actualizaciones)</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color w:val="808080"/>
                <w:sz w:val="19"/>
                <w:szCs w:val="19"/>
              </w:rPr>
              <w:t xml:space="preserve">6.000</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b/>
                <w:bCs/>
                <w:sz w:val="19"/>
                <w:szCs w:val="19"/>
              </w:rPr>
              <w:t xml:space="preserve">1.500</w:t>
            </w:r>
          </w:p>
        </w:tc>
      </w:tr>
      <w:tr>
        <w:tc>
          <w:tcPr>
            <w:tcW w:type="dxa" w:w="5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sz w:val="19"/>
                <w:szCs w:val="19"/>
              </w:rPr>
              <w:t xml:space="preserve">Evolutivo incluido (bolsa de ~80 a 100 horas/año de mejoras)</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color w:val="808080"/>
                <w:sz w:val="19"/>
                <w:szCs w:val="19"/>
              </w:rPr>
              <w:t xml:space="preserve">7.000</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b/>
                <w:bCs/>
                <w:sz w:val="19"/>
                <w:szCs w:val="19"/>
              </w:rPr>
              <w:t xml:space="preserve">1.500</w:t>
            </w:r>
          </w:p>
        </w:tc>
      </w:tr>
      <w:tr>
        <w:tc>
          <w:tcPr>
            <w:tcW w:type="dxa" w:w="53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b/>
                <w:bCs/>
                <w:sz w:val="19"/>
                <w:szCs w:val="19"/>
              </w:rPr>
              <w:t xml:space="preserve">Neto anual</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b/>
                <w:bCs/>
                <w:color w:val="808080"/>
                <w:sz w:val="19"/>
                <w:szCs w:val="19"/>
              </w:rPr>
              <w:t xml:space="preserve">49.600</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b/>
                <w:bCs/>
                <w:color w:val="1F7A3D"/>
                <w:sz w:val="19"/>
                <w:szCs w:val="19"/>
              </w:rPr>
              <w:t xml:space="preserve">16.000</w:t>
            </w:r>
          </w:p>
        </w:tc>
      </w:tr>
      <w:tr>
        <w:tc>
          <w:tcPr>
            <w:tcW w:type="dxa" w:w="53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b/>
                <w:bCs/>
                <w:sz w:val="19"/>
                <w:szCs w:val="19"/>
              </w:rPr>
              <w:t xml:space="preserve">IVA 21%</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b/>
                <w:bCs/>
                <w:color w:val="808080"/>
                <w:sz w:val="19"/>
                <w:szCs w:val="19"/>
              </w:rPr>
              <w:t xml:space="preserve">10.416</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b/>
                <w:bCs/>
                <w:color w:val="1F7A3D"/>
                <w:sz w:val="19"/>
                <w:szCs w:val="19"/>
              </w:rPr>
              <w:t xml:space="preserve">3.360</w:t>
            </w:r>
          </w:p>
        </w:tc>
      </w:tr>
      <w:tr>
        <w:tc>
          <w:tcPr>
            <w:tcW w:type="dxa" w:w="53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left"/>
            </w:pPr>
            <w:r>
              <w:rPr>
                <w:b/>
                <w:bCs/>
                <w:sz w:val="19"/>
                <w:szCs w:val="19"/>
              </w:rPr>
              <w:t xml:space="preserve">TOTAL con IVA (anual)</w:t>
            </w:r>
          </w:p>
        </w:tc>
        <w:tc>
          <w:tcPr>
            <w:tcW w:type="dxa" w:w="2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right"/>
            </w:pPr>
            <w:r>
              <w:rPr>
                <w:b/>
                <w:bCs/>
                <w:color w:val="808080"/>
                <w:sz w:val="19"/>
                <w:szCs w:val="19"/>
              </w:rPr>
              <w:t xml:space="preserve">60.016</w:t>
            </w:r>
          </w:p>
        </w:tc>
        <w:tc>
          <w:tcPr>
            <w:tcW w:type="dxa" w:w="2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right"/>
            </w:pPr>
            <w:r>
              <w:rPr>
                <w:b/>
                <w:bCs/>
                <w:color w:val="1F7A3D"/>
                <w:sz w:val="19"/>
                <w:szCs w:val="19"/>
              </w:rPr>
              <w:t xml:space="preserve">19.360</w:t>
            </w:r>
          </w:p>
        </w:tc>
      </w:tr>
    </w:tbl>
    <w:p>
      <w:pPr>
        <w:spacing w:after="60" w:before="120" w:line="276"/>
      </w:pPr>
      <w:r>
        <w:rPr>
          <w:i/>
          <w:iCs/>
          <w:color w:val="808080"/>
          <w:sz w:val="19"/>
          <w:szCs w:val="19"/>
        </w:rPr>
        <w:t xml:space="preserve">La licencia anual incluye la compilación y distribución de las nuevas versiones de la app móvil. Facturación anual anticipada o trimestral. Se recomienda contrato a 3 o 4 años.</w:t>
      </w:r>
    </w:p>
    <w:p>
      <w:pPr>
        <w:pStyle w:val="Heading2"/>
      </w:pPr>
      <w:r>
        <w:t xml:space="preserve">6.2. Opción híbrida (recomendada)</w:t>
      </w:r>
    </w:p>
    <w:p>
      <w:pPr>
        <w:spacing w:after="100" w:before="0" w:line="276"/>
      </w:pPr>
      <w:r>
        <w:t xml:space="preserve">Combina una puesta en marcha reducida con el abono anual: baja la inversión inicial y asegura la continuidad del servicio. Valores de la oferta Provincia.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left"/>
            </w:pPr>
            <w:r>
              <w:rPr>
                <w:b/>
                <w:bCs/>
                <w:color w:val="FFFFFF"/>
                <w:sz w:val="19"/>
                <w:szCs w:val="19"/>
              </w:rPr>
              <w:t xml:space="preserve">Concepto</w:t>
            </w:r>
          </w:p>
        </w:tc>
        <w:tc>
          <w:tcPr>
            <w:tcW w:type="dxa" w:w="2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spacing w:after="0"/>
              <w:jc w:val="right"/>
            </w:pPr>
            <w:r>
              <w:rPr>
                <w:b/>
                <w:bCs/>
                <w:color w:val="FFFFFF"/>
                <w:sz w:val="19"/>
                <w:szCs w:val="19"/>
              </w:rPr>
              <w:t xml:space="preserve">Precio de lista (USD)</w:t>
            </w:r>
          </w:p>
        </w:tc>
        <w:tc>
          <w:tcPr>
            <w:tcW w:type="dxa" w:w="2000"/>
            <w:tcBorders>
              <w:top w:val="single" w:color="BFBFBF" w:sz="1"/>
              <w:left w:val="single" w:color="BFBFBF" w:sz="1"/>
              <w:bottom w:val="single" w:color="BFBFBF" w:sz="1"/>
              <w:right w:val="single" w:color="BFBFBF" w:sz="1"/>
            </w:tcBorders>
            <w:shd w:fill="1F7A3D" w:val="clear"/>
            <w:tcMar>
              <w:top w:type="dxa" w:w="60"/>
              <w:left w:type="dxa" w:w="120"/>
              <w:bottom w:type="dxa" w:w="60"/>
              <w:right w:type="dxa" w:w="120"/>
            </w:tcMar>
            <w:vAlign w:val="center"/>
          </w:tcPr>
          <w:p>
            <w:pPr>
              <w:spacing w:after="0"/>
              <w:jc w:val="right"/>
            </w:pPr>
            <w:r>
              <w:rPr>
                <w:b/>
                <w:bCs/>
                <w:color w:val="FFFFFF"/>
                <w:sz w:val="19"/>
                <w:szCs w:val="19"/>
              </w:rPr>
              <w:t xml:space="preserve">Oferta Provincia (USD)</w:t>
            </w:r>
          </w:p>
        </w:tc>
      </w:tr>
      <w:tr>
        <w:tc>
          <w:tcPr>
            <w:tcW w:type="dxa" w:w="5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left"/>
            </w:pPr>
            <w:r>
              <w:rPr>
                <w:sz w:val="19"/>
                <w:szCs w:val="19"/>
              </w:rPr>
              <w:t xml:space="preserve">Setup inicial (puesta en marcha + capacitación + migración de datos)</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color w:val="808080"/>
                <w:sz w:val="19"/>
                <w:szCs w:val="19"/>
              </w:rPr>
              <w:t xml:space="preserve">30.000</w:t>
            </w:r>
          </w:p>
        </w:tc>
        <w:tc>
          <w:tcPr>
            <w:tcW w:type="dxa" w:w="2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jc w:val="right"/>
            </w:pPr>
            <w:r>
              <w:rPr>
                <w:b/>
                <w:bCs/>
                <w:sz w:val="19"/>
                <w:szCs w:val="19"/>
              </w:rPr>
              <w:t xml:space="preserve">16.000</w:t>
            </w:r>
          </w:p>
        </w:tc>
      </w:tr>
      <w:tr>
        <w:tc>
          <w:tcPr>
            <w:tcW w:type="dxa" w:w="536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left"/>
            </w:pPr>
            <w:r>
              <w:rPr>
                <w:sz w:val="19"/>
                <w:szCs w:val="19"/>
              </w:rPr>
              <w:t xml:space="preserve">Licencia anual (según desglose 6.1)</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color w:val="808080"/>
                <w:sz w:val="19"/>
                <w:szCs w:val="19"/>
              </w:rPr>
              <w:t xml:space="preserve">49.600</w:t>
            </w:r>
          </w:p>
        </w:tc>
        <w:tc>
          <w:tcPr>
            <w:tcW w:type="dxa" w:w="2000"/>
            <w:tcBorders>
              <w:top w:val="single" w:color="BFBFBF" w:sz="1"/>
              <w:left w:val="single" w:color="BFBFBF" w:sz="1"/>
              <w:bottom w:val="single" w:color="BFBFBF" w:sz="1"/>
              <w:right w:val="single" w:color="BFBFBF" w:sz="1"/>
            </w:tcBorders>
            <w:shd w:fill="EAF0FA" w:val="clear"/>
            <w:tcMar>
              <w:top w:type="dxa" w:w="60"/>
              <w:left w:type="dxa" w:w="120"/>
              <w:bottom w:type="dxa" w:w="60"/>
              <w:right w:type="dxa" w:w="120"/>
            </w:tcMar>
            <w:vAlign w:val="center"/>
          </w:tcPr>
          <w:p>
            <w:pPr>
              <w:spacing w:after="0"/>
              <w:jc w:val="right"/>
            </w:pPr>
            <w:r>
              <w:rPr>
                <w:b/>
                <w:bCs/>
                <w:sz w:val="19"/>
                <w:szCs w:val="19"/>
              </w:rPr>
              <w:t xml:space="preserve">16.000</w:t>
            </w:r>
          </w:p>
        </w:tc>
      </w:tr>
      <w:tr>
        <w:tc>
          <w:tcPr>
            <w:tcW w:type="dxa" w:w="53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left"/>
            </w:pPr>
            <w:r>
              <w:rPr>
                <w:b/>
                <w:bCs/>
                <w:sz w:val="19"/>
                <w:szCs w:val="19"/>
              </w:rPr>
              <w:t xml:space="preserve">Año 1 (neto, setup + licencia)</w:t>
            </w:r>
          </w:p>
        </w:tc>
        <w:tc>
          <w:tcPr>
            <w:tcW w:type="dxa" w:w="2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right"/>
            </w:pPr>
            <w:r>
              <w:rPr>
                <w:b/>
                <w:bCs/>
                <w:color w:val="808080"/>
                <w:sz w:val="19"/>
                <w:szCs w:val="19"/>
              </w:rPr>
              <w:t xml:space="preserve">79.600</w:t>
            </w:r>
          </w:p>
        </w:tc>
        <w:tc>
          <w:tcPr>
            <w:tcW w:type="dxa" w:w="2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vAlign w:val="center"/>
          </w:tcPr>
          <w:p>
            <w:pPr>
              <w:spacing w:after="0"/>
              <w:jc w:val="right"/>
            </w:pPr>
            <w:r>
              <w:rPr>
                <w:b/>
                <w:bCs/>
                <w:color w:val="1F7A3D"/>
                <w:sz w:val="19"/>
                <w:szCs w:val="19"/>
              </w:rPr>
              <w:t xml:space="preserve">32.000</w:t>
            </w:r>
          </w:p>
        </w:tc>
      </w:tr>
    </w:tbl>
    <w:p>
      <w:pPr>
        <w:spacing w:after="60" w:before="120" w:line="276"/>
      </w:pPr>
      <w:r>
        <w:rPr>
          <w:i/>
          <w:iCs/>
          <w:color w:val="808080"/>
          <w:sz w:val="19"/>
          <w:szCs w:val="19"/>
        </w:rPr>
        <w:t xml:space="preserve">A partir del segundo año se abona únicamente la licencia anual.</w:t>
      </w:r>
    </w:p>
    <w:p>
      <w:r>
        <w:br w:type="page"/>
      </w:r>
    </w:p>
    <w:p>
      <w:pPr>
        <w:pStyle w:val="Heading1"/>
      </w:pPr>
      <w:r>
        <w:t xml:space="preserve">7. Ampliaciones y ajuste de la licencia</w:t>
      </w:r>
    </w:p>
    <w:p>
      <w:pPr>
        <w:spacing w:after="100" w:before="0" w:line="276"/>
      </w:pPr>
      <w:r>
        <w:t xml:space="preserve">El sistema puede crecer según la demanda del organismo mediante tres mecanismos escalonados, definidos contractualmente para que la ampliación sea previsible y no requiera renegociar la totalidad del acuerdo:</w:t>
      </w:r>
    </w:p>
    <w:p>
      <w:pPr>
        <w:pStyle w:val="ListParagraph"/>
        <w:numPr>
          <w:ilvl w:val="0"/>
          <w:numId w:val="2"/>
        </w:numPr>
        <w:spacing w:after="60" w:line="276"/>
      </w:pPr>
      <w:r>
        <w:rPr>
          <w:b/>
          <w:bCs/>
        </w:rPr>
        <w:t xml:space="preserve">Bolsa de evolutivo (incluida): </w:t>
      </w:r>
      <w:r>
        <w:t xml:space="preserve">ajustes menores dentro de las ~80 a 100 horas anuales. Las horas adicionales se facturan a una tarifa preacordada (USD 35 a 55 por hora).</w:t>
      </w:r>
    </w:p>
    <w:p>
      <w:pPr>
        <w:pStyle w:val="ListParagraph"/>
        <w:numPr>
          <w:ilvl w:val="0"/>
          <w:numId w:val="2"/>
        </w:numPr>
        <w:spacing w:after="60" w:line="276"/>
      </w:pPr>
      <w:r>
        <w:rPr>
          <w:b/>
          <w:bCs/>
        </w:rPr>
        <w:t xml:space="preserve">Módulos nuevos (cotización aparte): </w:t>
      </w:r>
      <w:r>
        <w:t xml:space="preserve">desarrollos de mayor envergadura (p. ej. integración de catastro/drones, nuevos circuitos). Una vez entregados, la licencia anual se reajusta entre 12% y 18% del valor del módulo por su mantenimiento continuo.</w:t>
      </w:r>
    </w:p>
    <w:p>
      <w:pPr>
        <w:pStyle w:val="ListParagraph"/>
        <w:numPr>
          <w:ilvl w:val="0"/>
          <w:numId w:val="2"/>
        </w:numPr>
        <w:spacing w:after="60" w:line="276"/>
      </w:pPr>
      <w:r>
        <w:rPr>
          <w:b/>
          <w:bCs/>
        </w:rPr>
        <w:t xml:space="preserve">Licencia escalonada por uso: </w:t>
      </w:r>
      <w:r>
        <w:t xml:space="preserve">el abono puede atarse a variables que crecen con la demanda (cantidad de parques, de usuarios/inspectores activos y de módulos contratados), de modo que la ampliación ajuste el valor automáticamente.</w:t>
      </w:r>
    </w:p>
    <w:p>
      <w:pPr>
        <w:spacing w:after="60" w:before="80" w:line="276"/>
      </w:pPr>
      <w:r>
        <w:rPr>
          <w:i/>
          <w:iCs/>
          <w:color w:val="808080"/>
          <w:sz w:val="19"/>
          <w:szCs w:val="19"/>
        </w:rPr>
        <w:t xml:space="preserve">Cláusulas previstas: tarifa de hora de evolutivo preacordada, procedimiento de orden de cambio (estimación y aprobación por escrito antes de ejecutar) y reajuste anual de la licencia.</w:t>
      </w:r>
    </w:p>
    <w:p>
      <w:pPr>
        <w:pStyle w:val="Heading1"/>
      </w:pPr>
      <w:r>
        <w:t xml:space="preserve">8. Condiciones comerciales</w:t>
      </w:r>
    </w:p>
    <w:p>
      <w:pPr>
        <w:pStyle w:val="ListParagraph"/>
        <w:numPr>
          <w:ilvl w:val="0"/>
          <w:numId w:val="2"/>
        </w:numPr>
        <w:spacing w:after="60" w:line="276"/>
      </w:pPr>
      <w:r>
        <w:rPr>
          <w:b/>
          <w:bCs/>
        </w:rPr>
        <w:t xml:space="preserve">Moneda: </w:t>
      </w:r>
      <w:r>
        <w:t xml:space="preserve">todos los valores se expresan en dólares estadounidenses (USD) más IVA.</w:t>
      </w:r>
    </w:p>
    <w:p>
      <w:pPr>
        <w:pStyle w:val="ListParagraph"/>
        <w:numPr>
          <w:ilvl w:val="0"/>
          <w:numId w:val="2"/>
        </w:numPr>
        <w:spacing w:after="60" w:line="276"/>
      </w:pPr>
      <w:r>
        <w:rPr>
          <w:b/>
          <w:bCs/>
        </w:rPr>
        <w:t xml:space="preserve">Conversión a pesos (dólar MEP): </w:t>
      </w:r>
      <w:r>
        <w:t xml:space="preserve">el pago podrá efectuarse en dólares o en su equivalente en pesos. En caso de pago en pesos, la conversión se realizará al tipo de cambio “dólar MEP” (AL30 48hs) de cierre del día hábil bursátil inmediato anterior a la fecha de la firma del contrato, para el pago inicial; y al “dólar MEP” del día hábil anterior a cada pago/renovación, para la licencia anual.</w:t>
      </w:r>
    </w:p>
    <w:p>
      <w:pPr>
        <w:pStyle w:val="ListParagraph"/>
        <w:numPr>
          <w:ilvl w:val="0"/>
          <w:numId w:val="2"/>
        </w:numPr>
        <w:spacing w:after="60" w:line="276"/>
      </w:pPr>
      <w:r>
        <w:rPr>
          <w:b/>
          <w:bCs/>
        </w:rPr>
        <w:t xml:space="preserve">Impuestos: </w:t>
      </w:r>
      <w:r>
        <w:t xml:space="preserve">IVA 21% discriminado. Se ajustará según el régimen de retenciones o exenciones que corresponda al organismo.</w:t>
      </w:r>
    </w:p>
    <w:p>
      <w:pPr>
        <w:pStyle w:val="ListParagraph"/>
        <w:numPr>
          <w:ilvl w:val="0"/>
          <w:numId w:val="2"/>
        </w:numPr>
        <w:spacing w:after="60" w:line="276"/>
      </w:pPr>
      <w:r>
        <w:rPr>
          <w:b/>
          <w:bCs/>
        </w:rPr>
        <w:t xml:space="preserve">Validez de la oferta: </w:t>
      </w:r>
      <w:r>
        <w:t xml:space="preserve">30 días corridos desde la fecha de la propuesta.</w:t>
      </w:r>
    </w:p>
    <w:p>
      <w:pPr>
        <w:pStyle w:val="ListParagraph"/>
        <w:numPr>
          <w:ilvl w:val="0"/>
          <w:numId w:val="2"/>
        </w:numPr>
        <w:spacing w:after="60" w:line="276"/>
      </w:pPr>
      <w:r>
        <w:rPr>
          <w:b/>
          <w:bCs/>
        </w:rPr>
        <w:t xml:space="preserve">Garantía: </w:t>
      </w:r>
      <w:r>
        <w:t xml:space="preserve">90 días post-implementación en la modalidad llave en mano; soporte y mantenimiento continuos en la modalidad de licencia.</w:t>
      </w:r>
    </w:p>
    <w:p>
      <w:pPr>
        <w:pStyle w:val="ListParagraph"/>
        <w:numPr>
          <w:ilvl w:val="0"/>
          <w:numId w:val="2"/>
        </w:numPr>
        <w:spacing w:after="60" w:line="276"/>
      </w:pPr>
      <w:r>
        <w:rPr>
          <w:b/>
          <w:bCs/>
        </w:rPr>
        <w:t xml:space="preserve">No incluye: </w:t>
      </w:r>
      <w:r>
        <w:t xml:space="preserve">la integración GIS/catastro (relevamiento con drones) ni desarrollos nuevos fuera del alcance descripto, que se cotizan por separado (ver punto 7).</w:t>
      </w:r>
    </w:p>
    <w:p>
      <w:pPr>
        <w:spacing w:after="200" w:before="200" w:line="276"/>
      </w:pPr>
      <w:r>
        <w:t xml:space="preserve">Quedamos a disposición para coordinar una presentación del sistema y avanzar con la modalidad que mejor se ajuste a las necesidades del organismo.</w:t>
      </w:r>
    </w:p>
    <w:p>
      <w:pPr>
        <w:spacing w:after="120" w:before="0" w:line="276"/>
      </w:pPr>
      <w:r>
        <w:rPr>
          <w:b/>
          <w:bCs/>
          <w:color w:val="1F3864"/>
          <w:sz w:val="24"/>
          <w:szCs w:val="24"/>
        </w:rPr>
        <w:t xml:space="preserve">CSS Developers</w:t>
      </w:r>
    </w:p>
    <w:p>
      <w:pPr>
        <w:spacing w:after="60" w:before="0" w:line="276"/>
      </w:pPr>
      <w:r>
        <w:rPr>
          <w:i/>
          <w:iCs/>
          <w:color w:val="808080"/>
          <w:sz w:val="19"/>
          <w:szCs w:val="19"/>
        </w:rPr>
        <w:t xml:space="preserve">Ingeniería de software a medida</w:t>
      </w:r>
    </w:p>
    <w:p>
      <w:pPr>
        <w:spacing w:after="120" w:before="0" w:line="276"/>
      </w:pPr>
      <w:r>
        <w:rPr>
          <w:color w:val="808080"/>
          <w:sz w:val="20"/>
          <w:szCs w:val="20"/>
        </w:rPr>
        <w:t xml:space="preserve">[Nombre del responsable] · [Email] · [Teléfono]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0"/>
    </w:pPr>
    <w:r>
      <w:rPr>
        <w:color w:val="808080"/>
        <w:sz w:val="16"/>
        <w:szCs w:val="16"/>
      </w:rPr>
      <w:t xml:space="preserve">Propuesta Comercial — SIGPIP</w:t>
    </w:r>
    <w:r>
      <w:rPr>
        <w:color w:val="808080"/>
        <w:sz w:val="16"/>
        <w:szCs w:val="16"/>
      </w:rPr>
      <w:t xml:space="preserve">	CSS Developers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6" w:space="4"/>
      </w:pBd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ee62f12df10c5d9c296c00459025e7f764adee.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 SIGPIP</dc:title>
  <dc:creator>CSS Developers</dc:creator>
  <cp:lastModifiedBy>Un-named</cp:lastModifiedBy>
  <cp:revision>1</cp:revision>
  <dcterms:created xsi:type="dcterms:W3CDTF">2026-06-28T21:25:39.739Z</dcterms:created>
  <dcterms:modified xsi:type="dcterms:W3CDTF">2026-06-28T21:25:39.755Z</dcterms:modified>
</cp:coreProperties>
</file>

<file path=docProps/custom.xml><?xml version="1.0" encoding="utf-8"?>
<Properties xmlns="http://schemas.openxmlformats.org/officeDocument/2006/custom-properties" xmlns:vt="http://schemas.openxmlformats.org/officeDocument/2006/docPropsVTypes"/>
</file>