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4a7a"/>
          <w:sz w:val="56"/>
          <w:szCs w:val="56"/>
        </w:rPr>
        <w:t xml:space="preserve">Direct Sponsor</w:t>
      </w:r>
    </w:p>
    <w:p>
      <w:pPr>
        <w:spacing w:after="80" w:before="0"/>
      </w:pPr>
      <w:r>
        <w:rPr>
          <w:rFonts w:ascii="Arial" w:cs="Arial" w:eastAsia="Arial" w:hAnsi="Arial"/>
          <w:color w:val="2E75B6"/>
          <w:sz w:val="36"/>
          <w:szCs w:val="36"/>
        </w:rPr>
        <w:t xml:space="preserve">Recipient Groups</w:t>
      </w:r>
    </w:p>
    <w:p>
      <w:pPr>
        <w:spacing w:after="400" w:before="0"/>
      </w:pPr>
      <w:r>
        <w:rPr>
          <w:rFonts w:ascii="Arial" w:cs="Arial" w:eastAsia="Arial" w:hAnsi="Arial"/>
          <w:color w:val="888888"/>
          <w:sz w:val="22"/>
          <w:szCs w:val="22"/>
        </w:rPr>
        <w:t xml:space="preserve">Internal Reference Document  •  April 2026</w:t>
      </w:r>
    </w:p>
    <w:p>
      <w:pPr>
        <w:pStyle w:val="Heading1"/>
        <w:pBdr>
          <w:bottom w:val="single" w:color="2E75B6" w:sz="6" w:space="4"/>
        </w:pBdr>
        <w:spacing w:after="160" w:before="400"/>
      </w:pPr>
      <w:r>
        <w:rPr>
          <w:rFonts w:ascii="Arial" w:cs="Arial" w:eastAsia="Arial" w:hAnsi="Arial"/>
          <w:b/>
          <w:bCs/>
          <w:color w:val="1a4a7a"/>
          <w:sz w:val="36"/>
          <w:szCs w:val="36"/>
        </w:rPr>
        <w:t xml:space="preserve">What Is a Direct Sponsor Recipient Group?</w:t>
      </w:r>
    </w:p>
    <w:p>
      <w:pPr>
        <w:spacing w:after="160" w:before="80"/>
      </w:pPr>
      <w:r>
        <w:rPr>
          <w:rFonts w:ascii="Arial" w:cs="Arial" w:eastAsia="Arial" w:hAnsi="Arial"/>
          <w:sz w:val="24"/>
          <w:szCs w:val="24"/>
        </w:rPr>
        <w:t xml:space="preserve">A Direct Sponsor recipient group is defined by what it is, not by rules imposed on it from outside. If a group fits the definition, it can call itself a Direct Sponsor recipient group and participate in the network. If it does not fit the definition, it cannot — not because anyone will stop it, but because it simply isn't one. The definition is the boundary.</w:t>
      </w:r>
    </w:p>
    <w:p>
      <w:pPr>
        <w:spacing w:after="160" w:before="80"/>
      </w:pPr>
      <w:r>
        <w:rPr>
          <w:rFonts w:ascii="Arial" w:cs="Arial" w:eastAsia="Arial" w:hAnsi="Arial"/>
          <w:sz w:val="24"/>
          <w:szCs w:val="24"/>
        </w:rPr>
        <w:t xml:space="preserve">This mirrors how other definitional standards work — open source licensing, for example — where the label carries real value, and that value is protected not by enforcement but by the clarity of the definition itself. A group acting outside the definition loses access to the network, the waiting queue of sponsors, and the credibility that comes with membership. There is nothing to stop them continuing; they have simply become something else.</w:t>
      </w:r>
    </w:p>
    <w:p>
      <w:pPr>
        <w:pStyle w:val="Heading1"/>
        <w:pBdr>
          <w:bottom w:val="single" w:color="2E75B6" w:sz="6" w:space="4"/>
        </w:pBdr>
        <w:spacing w:after="160" w:before="400"/>
      </w:pPr>
      <w:r>
        <w:rPr>
          <w:rFonts w:ascii="Arial" w:cs="Arial" w:eastAsia="Arial" w:hAnsi="Arial"/>
          <w:b/>
          <w:bCs/>
          <w:color w:val="1a4a7a"/>
          <w:sz w:val="36"/>
          <w:szCs w:val="36"/>
        </w:rPr>
        <w:t xml:space="preserve">The Definition</w:t>
      </w:r>
    </w:p>
    <w:p>
      <w:pPr>
        <w:spacing w:after="160" w:before="80"/>
      </w:pPr>
      <w:r>
        <w:rPr>
          <w:rFonts w:ascii="Arial" w:cs="Arial" w:eastAsia="Arial" w:hAnsi="Arial"/>
          <w:sz w:val="24"/>
          <w:szCs w:val="24"/>
        </w:rPr>
        <w:t xml:space="preserve">A Direct Sponsor recipient group is a group in which:</w:t>
      </w:r>
    </w:p>
    <w:p>
      <w:pPr>
        <w:pStyle w:val="ListParagraph"/>
        <w:numPr>
          <w:ilvl w:val="0"/>
          <w:numId w:val="2"/>
        </w:numPr>
        <w:spacing w:after="60" w:before="60"/>
      </w:pPr>
      <w:r>
        <w:rPr>
          <w:rFonts w:ascii="Arial" w:cs="Arial" w:eastAsia="Arial" w:hAnsi="Arial"/>
          <w:sz w:val="24"/>
          <w:szCs w:val="24"/>
        </w:rPr>
        <w:t xml:space="preserve">Each member receives their sponsorship income </w:t>
      </w:r>
      <w:r>
        <w:rPr>
          <w:rFonts w:ascii="Arial" w:cs="Arial" w:eastAsia="Arial" w:hAnsi="Arial"/>
          <w:b/>
          <w:bCs/>
          <w:sz w:val="24"/>
          <w:szCs w:val="24"/>
        </w:rPr>
        <w:t xml:space="preserve">directly</w:t>
      </w:r>
      <w:r>
        <w:rPr>
          <w:rFonts w:ascii="Arial" w:cs="Arial" w:eastAsia="Arial" w:hAnsi="Arial"/>
          <w:sz w:val="24"/>
          <w:szCs w:val="24"/>
        </w:rPr>
        <w:t xml:space="preserve"> from their own sponsors. No member of the group holds or controls another member's funds.</w:t>
      </w:r>
    </w:p>
    <w:p>
      <w:pPr>
        <w:pStyle w:val="ListParagraph"/>
        <w:numPr>
          <w:ilvl w:val="0"/>
          <w:numId w:val="2"/>
        </w:numPr>
        <w:spacing w:after="60" w:before="60"/>
      </w:pPr>
      <w:r>
        <w:rPr>
          <w:rFonts w:ascii="Arial" w:cs="Arial" w:eastAsia="Arial" w:hAnsi="Arial"/>
          <w:sz w:val="24"/>
          <w:szCs w:val="24"/>
        </w:rPr>
        <w:t xml:space="preserve">The group is small — up to twelve members. The reasons for this are the same as those for keeping sponsor groups small: small groups are where genuine human cooperation happens, where everyone has a grasp of the whole picture, and where individual accountability is maintained.</w:t>
      </w:r>
    </w:p>
    <w:p>
      <w:pPr>
        <w:pStyle w:val="ListParagraph"/>
        <w:numPr>
          <w:ilvl w:val="0"/>
          <w:numId w:val="2"/>
        </w:numPr>
        <w:spacing w:after="60" w:before="60"/>
      </w:pPr>
      <w:r>
        <w:rPr>
          <w:rFonts w:ascii="Arial" w:cs="Arial" w:eastAsia="Arial" w:hAnsi="Arial"/>
          <w:sz w:val="24"/>
          <w:szCs w:val="24"/>
        </w:rPr>
        <w:t xml:space="preserve">A common fund may exist if the group chooses to create one, but it is funded voluntarily by the members themselves (each contributing an agreed percentage of their income) and remains under collective group control.</w:t>
      </w:r>
    </w:p>
    <w:p>
      <w:pPr>
        <w:pStyle w:val="ListParagraph"/>
        <w:numPr>
          <w:ilvl w:val="0"/>
          <w:numId w:val="2"/>
        </w:numPr>
        <w:spacing w:after="60" w:before="60"/>
      </w:pPr>
      <w:r>
        <w:rPr>
          <w:rFonts w:ascii="Arial" w:cs="Arial" w:eastAsia="Arial" w:hAnsi="Arial"/>
          <w:sz w:val="24"/>
          <w:szCs w:val="24"/>
        </w:rPr>
        <w:t xml:space="preserve">No individual within the group holds discretionary power over the common fund. Payments from the fund are made by the group, not on behalf of it by a single person.</w:t>
      </w:r>
    </w:p>
    <w:p>
      <w:pPr>
        <w:pStyle w:val="ListParagraph"/>
        <w:numPr>
          <w:ilvl w:val="0"/>
          <w:numId w:val="2"/>
        </w:numPr>
        <w:spacing w:after="60" w:before="60"/>
      </w:pPr>
      <w:r>
        <w:rPr>
          <w:rFonts w:ascii="Arial" w:cs="Arial" w:eastAsia="Arial" w:hAnsi="Arial"/>
          <w:sz w:val="24"/>
          <w:szCs w:val="24"/>
        </w:rPr>
        <w:t xml:space="preserve">A coordinator may be appointed — from within the group, or hired from outside — but the coordinator's role is administrative. They carry out the group's decisions; they do not make financial decisions independently.</w:t>
      </w:r>
    </w:p>
    <w:p>
      <w:pPr>
        <w:pStyle w:val="ListParagraph"/>
        <w:numPr>
          <w:ilvl w:val="0"/>
          <w:numId w:val="2"/>
        </w:numPr>
        <w:spacing w:after="60" w:before="60"/>
      </w:pPr>
      <w:r>
        <w:rPr>
          <w:rFonts w:ascii="Arial" w:cs="Arial" w:eastAsia="Arial" w:hAnsi="Arial"/>
          <w:sz w:val="24"/>
          <w:szCs w:val="24"/>
        </w:rPr>
        <w:t xml:space="preserve">All significant group decisions and coordinator actions are documented within the system.</w:t>
      </w:r>
    </w:p>
    <w:p>
      <w:pPr>
        <w:pStyle w:val="ListParagraph"/>
        <w:numPr>
          <w:ilvl w:val="0"/>
          <w:numId w:val="2"/>
        </w:numPr>
        <w:spacing w:after="60" w:before="60"/>
      </w:pPr>
      <w:r>
        <w:rPr>
          <w:rFonts w:ascii="Arial" w:cs="Arial" w:eastAsia="Arial" w:hAnsi="Arial"/>
          <w:sz w:val="24"/>
          <w:szCs w:val="24"/>
        </w:rPr>
        <w:t xml:space="preserve">All activity takes place within the public Direct Sponsor system. Soliciting funds from sponsors outside the system disqualifies a group from using the Direct Sponsor name.</w:t>
      </w:r>
    </w:p>
    <w:p>
      <w:pPr>
        <w:spacing w:after="80" w:before="80"/>
      </w:pPr>
      <w:r>
        <w:rPr>
          <w:rFonts w:ascii="Arial" w:cs="Arial" w:eastAsia="Arial" w:hAnsi="Arial"/>
          <w:sz w:val="24"/>
          <w:szCs w:val="24"/>
        </w:rPr>
        <w:t xml:space="preserve"/>
      </w:r>
    </w:p>
    <w:p>
      <w:pPr>
        <w:pBdr>
          <w:left w:val="single" w:color="2E75B6" w:sz="12" w:space="12"/>
        </w:pBdr>
        <w:spacing w:after="120" w:before="120"/>
        <w:ind w:left="720"/>
      </w:pPr>
      <w:r>
        <w:rPr>
          <w:rFonts w:ascii="Arial" w:cs="Arial" w:eastAsia="Arial" w:hAnsi="Arial"/>
          <w:i/>
          <w:iCs/>
          <w:color w:val="555555"/>
          <w:sz w:val="22"/>
          <w:szCs w:val="22"/>
        </w:rPr>
        <w:t xml:space="preserve">These are not rules that the system enforces on groups. They are the characteristics that define what a Direct Sponsor recipient group is. A group that meets them is one; a group that does not is not.</w:t>
      </w:r>
    </w:p>
    <w:p>
      <w:pPr>
        <w:pStyle w:val="Heading1"/>
        <w:pBdr>
          <w:bottom w:val="single" w:color="2E75B6" w:sz="6" w:space="4"/>
        </w:pBdr>
        <w:spacing w:after="160" w:before="400"/>
      </w:pPr>
      <w:r>
        <w:rPr>
          <w:rFonts w:ascii="Arial" w:cs="Arial" w:eastAsia="Arial" w:hAnsi="Arial"/>
          <w:b/>
          <w:bCs/>
          <w:color w:val="1a4a7a"/>
          <w:sz w:val="36"/>
          <w:szCs w:val="36"/>
        </w:rPr>
        <w:t xml:space="preserve">Individual Recipients</w:t>
      </w:r>
    </w:p>
    <w:p>
      <w:pPr>
        <w:spacing w:after="160" w:before="80"/>
      </w:pPr>
      <w:r>
        <w:rPr>
          <w:rFonts w:ascii="Arial" w:cs="Arial" w:eastAsia="Arial" w:hAnsi="Arial"/>
          <w:sz w:val="24"/>
          <w:szCs w:val="24"/>
        </w:rPr>
        <w:t xml:space="preserve">A recipient need not be a group. A solo project is entirely valid within the system. The design favours small groups because humans generally do better in cooperation than in isolation, but an individual with their own sponsor group is a legitimate and supported configuration.</w:t>
      </w:r>
    </w:p>
    <w:p>
      <w:pPr>
        <w:spacing w:after="160" w:before="80"/>
      </w:pPr>
      <w:r>
        <w:rPr>
          <w:rFonts w:ascii="Arial" w:cs="Arial" w:eastAsia="Arial" w:hAnsi="Arial"/>
          <w:sz w:val="24"/>
          <w:szCs w:val="24"/>
        </w:rPr>
        <w:t xml:space="preserve">An individual recipient who later wants to collaborate with others can form or join a group at that point. There is no requirement to decide at the outset.</w:t>
      </w:r>
    </w:p>
    <w:p>
      <w:pPr>
        <w:pStyle w:val="Heading1"/>
        <w:pBdr>
          <w:bottom w:val="single" w:color="2E75B6" w:sz="6" w:space="4"/>
        </w:pBdr>
        <w:spacing w:after="160" w:before="400"/>
      </w:pPr>
      <w:r>
        <w:rPr>
          <w:rFonts w:ascii="Arial" w:cs="Arial" w:eastAsia="Arial" w:hAnsi="Arial"/>
          <w:b/>
          <w:bCs/>
          <w:color w:val="1a4a7a"/>
          <w:sz w:val="36"/>
          <w:szCs w:val="36"/>
        </w:rPr>
        <w:t xml:space="preserve">Project Scale Is Independent of Group Size</w:t>
      </w:r>
    </w:p>
    <w:p>
      <w:pPr>
        <w:spacing w:after="160" w:before="80"/>
      </w:pPr>
      <w:r>
        <w:rPr>
          <w:rFonts w:ascii="Arial" w:cs="Arial" w:eastAsia="Arial" w:hAnsi="Arial"/>
          <w:sz w:val="24"/>
          <w:szCs w:val="24"/>
        </w:rPr>
        <w:t xml:space="preserve">A common assumption is that large projects require large organisations. The Direct Sponsor model challenges this directly. A small group of recipients can take on a project of almost any scale by each contributing a share — of cost, of labour, of coordination.</w:t>
      </w:r>
    </w:p>
    <w:p>
      <w:pPr>
        <w:spacing w:after="160" w:before="80"/>
      </w:pPr>
      <w:r>
        <w:rPr>
          <w:rFonts w:ascii="Arial" w:cs="Arial" w:eastAsia="Arial" w:hAnsi="Arial"/>
          <w:sz w:val="24"/>
          <w:szCs w:val="24"/>
        </w:rPr>
        <w:t xml:space="preserve">Consider a group of ten small farms in a valley prone to drought. Each farm is its own recipient project, each with its own sponsor group. Together, the ten farms might decide they need a significant shared resource — earthworks, water infrastructure, specialist equipment — that none of them could fund individually. Each contributes a share to the common fund. The project gets done. No single organisation has been created to manage it; no manager has been appointed with discretion over the whole budget; no external body has acquired influence over the farms' decisions.</w:t>
      </w:r>
    </w:p>
    <w:p>
      <w:pPr>
        <w:spacing w:after="160" w:before="80"/>
      </w:pPr>
      <w:r>
        <w:rPr>
          <w:rFonts w:ascii="Arial" w:cs="Arial" w:eastAsia="Arial" w:hAnsi="Arial"/>
          <w:sz w:val="24"/>
          <w:szCs w:val="24"/>
        </w:rPr>
        <w:t xml:space="preserve">The project is large. The groups stay small. These are not in conflict.</w:t>
      </w:r>
    </w:p>
    <w:p>
      <w:pPr>
        <w:pStyle w:val="Heading1"/>
        <w:pBdr>
          <w:bottom w:val="single" w:color="2E75B6" w:sz="6" w:space="4"/>
        </w:pBdr>
        <w:spacing w:after="160" w:before="400"/>
      </w:pPr>
      <w:r>
        <w:rPr>
          <w:rFonts w:ascii="Arial" w:cs="Arial" w:eastAsia="Arial" w:hAnsi="Arial"/>
          <w:b/>
          <w:bCs/>
          <w:color w:val="1a4a7a"/>
          <w:sz w:val="36"/>
          <w:szCs w:val="36"/>
        </w:rPr>
        <w:t xml:space="preserve">Why the Design Works This Way</w:t>
      </w:r>
    </w:p>
    <w:p>
      <w:pPr>
        <w:spacing w:after="160" w:before="80"/>
      </w:pPr>
      <w:r>
        <w:rPr>
          <w:rFonts w:ascii="Arial" w:cs="Arial" w:eastAsia="Arial" w:hAnsi="Arial"/>
          <w:sz w:val="24"/>
          <w:szCs w:val="24"/>
        </w:rPr>
        <w:t xml:space="preserve">The design is not based on an optimistic view of human nature. It is based on an accurate one.</w:t>
      </w:r>
    </w:p>
    <w:p>
      <w:pPr>
        <w:spacing w:after="160" w:before="80"/>
      </w:pPr>
      <w:r>
        <w:rPr>
          <w:rFonts w:ascii="Arial" w:cs="Arial" w:eastAsia="Arial" w:hAnsi="Arial"/>
          <w:sz w:val="24"/>
          <w:szCs w:val="24"/>
        </w:rPr>
        <w:t xml:space="preserve">When a single person or organisation controls funds on behalf of a group, it is entirely predictable — not a moral failing, simply human — that they will prioritise their own interests, their family, their friends. History provides no shortage of examples, from NGOs to governments to cooperatives with the best intentions. Awareness of the problem does not prevent it. Rules against it do not prevent it. Only design prevents it.</w:t>
      </w:r>
    </w:p>
    <w:p>
      <w:pPr>
        <w:spacing w:after="160" w:before="80"/>
      </w:pPr>
      <w:r>
        <w:rPr>
          <w:rFonts w:ascii="Arial" w:cs="Arial" w:eastAsia="Arial" w:hAnsi="Arial"/>
          <w:sz w:val="24"/>
          <w:szCs w:val="24"/>
        </w:rPr>
        <w:t xml:space="preserve">As the </w:t>
      </w:r>
      <w:hyperlink w:history="1" r:id="rIdwwel58bqziqzxtvtnzfuz">
        <w:r>
          <w:rPr>
            <w:rFonts w:ascii="Arial" w:cs="Arial" w:eastAsia="Arial" w:hAnsi="Arial"/>
            <w:color w:val="2E75B6"/>
            <w:sz w:val="24"/>
            <w:szCs w:val="24"/>
            <w:u w:val="single"/>
          </w:rPr>
          <w:t xml:space="preserve">Small Groups notes</w:t>
        </w:r>
      </w:hyperlink>
      <w:r>
        <w:rPr>
          <w:rFonts w:ascii="Arial" w:cs="Arial" w:eastAsia="Arial" w:hAnsi="Arial"/>
          <w:sz w:val="24"/>
          <w:szCs w:val="24"/>
        </w:rPr>
        <w:t xml:space="preserve"> put it: </w:t>
      </w:r>
      <w:r>
        <w:rPr>
          <w:rFonts w:ascii="Arial" w:cs="Arial" w:eastAsia="Arial" w:hAnsi="Arial"/>
          <w:i/>
          <w:iCs/>
          <w:sz w:val="24"/>
          <w:szCs w:val="24"/>
        </w:rPr>
        <w:t xml:space="preserve">"Can not, in contrast to should not."</w:t>
      </w:r>
      <w:r>
        <w:rPr>
          <w:rFonts w:ascii="Arial" w:cs="Arial" w:eastAsia="Arial" w:hAnsi="Arial"/>
          <w:sz w:val="24"/>
          <w:szCs w:val="24"/>
        </w:rPr>
        <w:t xml:space="preserve"> The system is not designed to make it difficult to abuse. It is designed to make it structurally impossible — by ensuring that money never leaves individual or collective group control until the moment a specific payment is made to a specific contractor for a specific agreed purpose.</w:t>
      </w:r>
    </w:p>
    <w:p>
      <w:pPr>
        <w:spacing w:after="160" w:before="80"/>
      </w:pPr>
      <w:r>
        <w:rPr>
          <w:rFonts w:ascii="Arial" w:cs="Arial" w:eastAsia="Arial" w:hAnsi="Arial"/>
          <w:sz w:val="24"/>
          <w:szCs w:val="24"/>
        </w:rPr>
        <w:t xml:space="preserve">This is why the definition matters. A group that has introduced a central fund controlled by one person, however well-intentioned, has become something other than a Direct Sponsor recipient group. Not because they are bad people, but because the design that protects everyone has been removed.</w:t>
      </w:r>
    </w:p>
    <w:p>
      <w:pPr>
        <w:pStyle w:val="Heading1"/>
        <w:pBdr>
          <w:bottom w:val="single" w:color="2E75B6" w:sz="6" w:space="4"/>
        </w:pBdr>
        <w:spacing w:after="160" w:before="400"/>
      </w:pPr>
      <w:r>
        <w:rPr>
          <w:rFonts w:ascii="Arial" w:cs="Arial" w:eastAsia="Arial" w:hAnsi="Arial"/>
          <w:b/>
          <w:bCs/>
          <w:color w:val="1a4a7a"/>
          <w:sz w:val="36"/>
          <w:szCs w:val="36"/>
        </w:rPr>
        <w:t xml:space="preserve">What the System Provides</w:t>
      </w:r>
    </w:p>
    <w:p>
      <w:pPr>
        <w:spacing w:after="160" w:before="80"/>
      </w:pPr>
      <w:r>
        <w:rPr>
          <w:rFonts w:ascii="Arial" w:cs="Arial" w:eastAsia="Arial" w:hAnsi="Arial"/>
          <w:sz w:val="24"/>
          <w:szCs w:val="24"/>
        </w:rPr>
        <w:t xml:space="preserve">For recipient groups, the Direct Sponsor system provides — or will provide — the following tools:</w:t>
      </w:r>
    </w:p>
    <w:p>
      <w:pPr>
        <w:pStyle w:val="ListParagraph"/>
        <w:numPr>
          <w:ilvl w:val="0"/>
          <w:numId w:val="2"/>
        </w:numPr>
        <w:spacing w:after="60" w:before="60"/>
      </w:pPr>
      <w:r>
        <w:rPr>
          <w:rFonts w:ascii="Arial" w:cs="Arial" w:eastAsia="Arial" w:hAnsi="Arial"/>
          <w:sz w:val="24"/>
          <w:szCs w:val="24"/>
        </w:rPr>
        <w:t xml:space="preserve">An accounting system for the common fund, tracking income and outgoings transparently</w:t>
      </w:r>
    </w:p>
    <w:p>
      <w:pPr>
        <w:pStyle w:val="ListParagraph"/>
        <w:numPr>
          <w:ilvl w:val="0"/>
          <w:numId w:val="2"/>
        </w:numPr>
        <w:spacing w:after="60" w:before="60"/>
      </w:pPr>
      <w:r>
        <w:rPr>
          <w:rFonts w:ascii="Arial" w:cs="Arial" w:eastAsia="Arial" w:hAnsi="Arial"/>
          <w:sz w:val="24"/>
          <w:szCs w:val="24"/>
        </w:rPr>
        <w:t xml:space="preserve">A record of coordinator actions, visible to all group members</w:t>
      </w:r>
    </w:p>
    <w:p>
      <w:pPr>
        <w:pStyle w:val="ListParagraph"/>
        <w:numPr>
          <w:ilvl w:val="0"/>
          <w:numId w:val="2"/>
        </w:numPr>
        <w:spacing w:after="60" w:before="60"/>
      </w:pPr>
      <w:r>
        <w:rPr>
          <w:rFonts w:ascii="Arial" w:cs="Arial" w:eastAsia="Arial" w:hAnsi="Arial"/>
          <w:sz w:val="24"/>
          <w:szCs w:val="24"/>
        </w:rPr>
        <w:t xml:space="preserve">Documentation of group decisions</w:t>
      </w:r>
    </w:p>
    <w:p>
      <w:pPr>
        <w:pStyle w:val="ListParagraph"/>
        <w:numPr>
          <w:ilvl w:val="0"/>
          <w:numId w:val="2"/>
        </w:numPr>
        <w:spacing w:after="60" w:before="60"/>
      </w:pPr>
      <w:r>
        <w:rPr>
          <w:rFonts w:ascii="Arial" w:cs="Arial" w:eastAsia="Arial" w:hAnsi="Arial"/>
          <w:sz w:val="24"/>
          <w:szCs w:val="24"/>
        </w:rPr>
        <w:t xml:space="preserve">Connection to the wider Direct Sponsor network via Nostr, enabling cross-node identity and participation in the shared sponsor queue</w:t>
      </w:r>
    </w:p>
    <w:p>
      <w:pPr>
        <w:spacing w:after="80" w:before="80"/>
      </w:pPr>
      <w:r>
        <w:rPr>
          <w:rFonts w:ascii="Arial" w:cs="Arial" w:eastAsia="Arial" w:hAnsi="Arial"/>
          <w:sz w:val="24"/>
          <w:szCs w:val="24"/>
        </w:rPr>
        <w:t xml:space="preserve"/>
      </w:r>
    </w:p>
    <w:p>
      <w:pPr>
        <w:pBdr>
          <w:left w:val="single" w:color="2E75B6" w:sz="12" w:space="12"/>
        </w:pBdr>
        <w:spacing w:after="120" w:before="120"/>
        <w:ind w:left="720"/>
      </w:pPr>
      <w:r>
        <w:rPr>
          <w:rFonts w:ascii="Arial" w:cs="Arial" w:eastAsia="Arial" w:hAnsi="Arial"/>
          <w:i/>
          <w:iCs/>
          <w:color w:val="555555"/>
          <w:sz w:val="22"/>
          <w:szCs w:val="22"/>
        </w:rPr>
        <w:t xml:space="preserve">These tools are planned. The current site (directsponsor.net) handles fundraisers and is the proof-of-concept foundation. Group fund tools are on the development roadmap.</w:t>
      </w:r>
    </w:p>
    <w:p>
      <w:pPr>
        <w:pStyle w:val="Heading1"/>
        <w:pBdr>
          <w:bottom w:val="single" w:color="2E75B6" w:sz="6" w:space="4"/>
        </w:pBdr>
        <w:spacing w:after="160" w:before="400"/>
      </w:pPr>
      <w:r>
        <w:rPr>
          <w:rFonts w:ascii="Arial" w:cs="Arial" w:eastAsia="Arial" w:hAnsi="Arial"/>
          <w:b/>
          <w:bCs/>
          <w:color w:val="1a4a7a"/>
          <w:sz w:val="36"/>
          <w:szCs w:val="36"/>
        </w:rPr>
        <w:t xml:space="preserve">Relationship to Sponsor Groups</w:t>
      </w:r>
    </w:p>
    <w:p>
      <w:pPr>
        <w:spacing w:after="160" w:before="80"/>
      </w:pPr>
      <w:r>
        <w:rPr>
          <w:rFonts w:ascii="Arial" w:cs="Arial" w:eastAsia="Arial" w:hAnsi="Arial"/>
          <w:sz w:val="24"/>
          <w:szCs w:val="24"/>
        </w:rPr>
        <w:t xml:space="preserve">Recipient groups and sponsor groups are the two sides of the same system. Each recipient (or recipient group member) has their own sponsor group — a small number of people making a regular monthly commitment. The two documents should be read together. See the companion document: </w:t>
      </w:r>
      <w:r>
        <w:rPr>
          <w:rFonts w:ascii="Arial" w:cs="Arial" w:eastAsia="Arial" w:hAnsi="Arial"/>
          <w:i/>
          <w:iCs/>
          <w:sz w:val="24"/>
          <w:szCs w:val="24"/>
        </w:rPr>
        <w:t xml:space="preserve">Direct Sponsor — Sponsorship Groups</w:t>
      </w:r>
      <w:r>
        <w:rPr>
          <w:rFonts w:ascii="Arial" w:cs="Arial" w:eastAsia="Arial" w:hAnsi="Arial"/>
          <w:sz w:val="24"/>
          <w:szCs w:val="24"/>
        </w:rPr>
        <w:t xml:space="preserve">.</w:t>
      </w:r>
    </w:p>
    <w:p>
      <w:pPr>
        <w:spacing w:after="160" w:before="80"/>
      </w:pPr>
      <w:r>
        <w:rPr>
          <w:rFonts w:ascii="Arial" w:cs="Arial" w:eastAsia="Arial" w:hAnsi="Arial"/>
          <w:sz w:val="24"/>
          <w:szCs w:val="24"/>
        </w:rPr>
        <w:t xml:space="preserve">The same principles run through both sides: keep groups small, keep control at the individual level, design out the opportunities for capture rather than relying on rules or goodwill to prevent it.</w:t>
      </w:r>
    </w:p>
    <w:p>
      <w:pPr>
        <w:spacing w:after="80" w:before="80"/>
      </w:pPr>
      <w:r>
        <w:rPr>
          <w:rFonts w:ascii="Arial" w:cs="Arial" w:eastAsia="Arial" w:hAnsi="Arial"/>
          <w:sz w:val="24"/>
          <w:szCs w:val="24"/>
        </w:rPr>
        <w:t xml:space="preserve"/>
      </w:r>
    </w:p>
    <w:p>
      <w:pPr>
        <w:spacing w:after="80" w:before="80"/>
      </w:pPr>
      <w:r>
        <w:rPr>
          <w:rFonts w:ascii="Arial" w:cs="Arial" w:eastAsia="Arial" w:hAnsi="Arial"/>
          <w:sz w:val="24"/>
          <w:szCs w:val="24"/>
        </w:rPr>
        <w:t xml:space="preserve"/>
      </w:r>
    </w:p>
    <w:p>
      <w:pPr>
        <w:pBdr>
          <w:top w:val="single" w:color="888888" w:sz="4" w:space="8"/>
        </w:pBdr>
        <w:spacing w:after="0" w:before="240"/>
      </w:pPr>
      <w:r>
        <w:rPr>
          <w:rFonts w:ascii="Arial" w:cs="Arial" w:eastAsia="Arial" w:hAnsi="Arial"/>
          <w:b/>
          <w:bCs/>
          <w:color w:val="555555"/>
          <w:sz w:val="20"/>
          <w:szCs w:val="20"/>
        </w:rPr>
        <w:t xml:space="preserve">Related reading:  </w:t>
      </w:r>
      <w:hyperlink w:history="1" r:id="rId6fldfjqyzrfkpzsmwavya">
        <w:r>
          <w:rPr>
            <w:rFonts w:ascii="Arial" w:cs="Arial" w:eastAsia="Arial" w:hAnsi="Arial"/>
            <w:color w:val="2E75B6"/>
            <w:sz w:val="24"/>
            <w:szCs w:val="24"/>
            <w:u w:val="single"/>
          </w:rPr>
          <w:t xml:space="preserve">directsponsor.net</w:t>
        </w:r>
      </w:hyperlink>
      <w:r>
        <w:rPr>
          <w:rFonts w:ascii="Arial" w:cs="Arial" w:eastAsia="Arial" w:hAnsi="Arial"/>
          <w:color w:val="888888"/>
          <w:sz w:val="20"/>
          <w:szCs w:val="20"/>
        </w:rPr>
        <w:t xml:space="preserve">   •   </w:t>
      </w:r>
      <w:hyperlink w:history="1" r:id="rIdlcskqkeqyd6pdbwziudq2">
        <w:r>
          <w:rPr>
            <w:rFonts w:ascii="Arial" w:cs="Arial" w:eastAsia="Arial" w:hAnsi="Arial"/>
            <w:color w:val="2E75B6"/>
            <w:sz w:val="24"/>
            <w:szCs w:val="24"/>
            <w:u w:val="single"/>
          </w:rPr>
          <w:t xml:space="preserve">Small Groups (nimno.net)</w:t>
        </w:r>
      </w:hyperlink>
      <w:r>
        <w:rPr>
          <w:rFonts w:ascii="Arial" w:cs="Arial" w:eastAsia="Arial" w:hAnsi="Arial"/>
          <w:color w:val="888888"/>
          <w:sz w:val="20"/>
          <w:szCs w:val="20"/>
        </w:rPr>
        <w:t xml:space="preserve">   •   </w:t>
      </w:r>
      <w:hyperlink w:history="1" r:id="rIdn5kn5d-ohnseqel5xaxq0">
        <w:r>
          <w:rPr>
            <w:rFonts w:ascii="Arial" w:cs="Arial" w:eastAsia="Arial" w:hAnsi="Arial"/>
            <w:color w:val="2E75B6"/>
            <w:sz w:val="24"/>
            <w:szCs w:val="24"/>
            <w:u w:val="single"/>
          </w:rPr>
          <w:t xml:space="preserve">Group Projects (nimno.net)</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Direct Sponsor — Internal Reference</w:t>
    </w:r>
    <w:r>
      <w:rPr>
        <w:rFonts w:ascii="Arial" w:cs="Arial" w:eastAsia="Arial" w:hAnsi="Arial"/>
        <w:sz w:val="18"/>
        <w:szCs w:val="18"/>
      </w:rPr>
      <w:t xml:space="preserve">	</w:t>
    </w: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a7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wel58bqziqzxtvtnzfuz" Type="http://schemas.openxmlformats.org/officeDocument/2006/relationships/hyperlink" Target="https://nimno.net/notes/small-groups/" TargetMode="External"/><Relationship Id="rId6fldfjqyzrfkpzsmwavya" Type="http://schemas.openxmlformats.org/officeDocument/2006/relationships/hyperlink" Target="https://directsponsor.net/" TargetMode="External"/><Relationship Id="rIdlcskqkeqyd6pdbwziudq2" Type="http://schemas.openxmlformats.org/officeDocument/2006/relationships/hyperlink" Target="https://nimno.net/notes/small-groups/" TargetMode="External"/><Relationship Id="rIdn5kn5d-ohnseqel5xaxq0" Type="http://schemas.openxmlformats.org/officeDocument/2006/relationships/hyperlink" Target="https://nimno.net/system/group-projec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2026-04-18T14:41:16.754Z</dcterms:created>
  <dcterms:modified xsi:type="dcterms:W3CDTF">2026-04-18T14:41:16.755Z</dcterms:modified>
</cp:coreProperties>
</file>

<file path=docProps/custom.xml><?xml version="1.0" encoding="utf-8"?>
<Properties xmlns="http://schemas.openxmlformats.org/officeDocument/2006/custom-properties" xmlns:vt="http://schemas.openxmlformats.org/officeDocument/2006/docPropsVTypes"/>
</file>