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6814" w14:textId="77777777" w:rsidR="00AC3BBF" w:rsidRDefault="00000000">
      <w:pPr>
        <w:pStyle w:val="Metadata"/>
      </w:pPr>
      <w:proofErr w:type="spellStart"/>
      <w:r>
        <w:t>title</w:t>
      </w:r>
      <w:proofErr w:type="spellEnd"/>
      <w:r>
        <w:t>: Begreper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895"/>
        <w:gridCol w:w="902"/>
        <w:gridCol w:w="1004"/>
        <w:gridCol w:w="1741"/>
      </w:tblGrid>
      <w:tr w:rsidR="00AC3BBF" w14:paraId="1B5F1C43" w14:textId="77777777">
        <w:tc>
          <w:tcPr>
            <w:tcW w:w="0" w:type="auto"/>
          </w:tcPr>
          <w:p w14:paraId="28829D23" w14:textId="77777777" w:rsidR="00AC3BBF" w:rsidRDefault="00000000">
            <w:r>
              <w:t>Status</w:t>
            </w:r>
          </w:p>
        </w:tc>
        <w:tc>
          <w:tcPr>
            <w:tcW w:w="0" w:type="auto"/>
          </w:tcPr>
          <w:p w14:paraId="35D30156" w14:textId="77777777" w:rsidR="00AC3BBF" w:rsidRDefault="00000000">
            <w:r>
              <w:t>Version</w:t>
            </w:r>
          </w:p>
        </w:tc>
        <w:tc>
          <w:tcPr>
            <w:tcW w:w="0" w:type="auto"/>
          </w:tcPr>
          <w:p w14:paraId="7AE70DDD" w14:textId="77777777" w:rsidR="00AC3BBF" w:rsidRDefault="00000000">
            <w:proofErr w:type="spellStart"/>
            <w:r>
              <w:t>Maturity</w:t>
            </w:r>
            <w:proofErr w:type="spellEnd"/>
          </w:p>
        </w:tc>
        <w:tc>
          <w:tcPr>
            <w:tcW w:w="0" w:type="auto"/>
          </w:tcPr>
          <w:p w14:paraId="0D0BDE62" w14:textId="77777777" w:rsidR="00AC3BBF" w:rsidRDefault="00000000">
            <w:r>
              <w:t xml:space="preserve">Normative </w:t>
            </w:r>
            <w:proofErr w:type="spellStart"/>
            <w:r>
              <w:t>level</w:t>
            </w:r>
            <w:proofErr w:type="spellEnd"/>
          </w:p>
        </w:tc>
      </w:tr>
      <w:tr w:rsidR="00AC3BBF" w14:paraId="24DCF492" w14:textId="77777777">
        <w:tc>
          <w:tcPr>
            <w:tcW w:w="0" w:type="auto"/>
          </w:tcPr>
          <w:p w14:paraId="2ACBF4D5" w14:textId="77777777" w:rsidR="00AC3BBF" w:rsidRDefault="00000000">
            <w:proofErr w:type="spellStart"/>
            <w:r>
              <w:t>Release</w:t>
            </w:r>
            <w:proofErr w:type="spellEnd"/>
          </w:p>
        </w:tc>
        <w:tc>
          <w:tcPr>
            <w:tcW w:w="0" w:type="auto"/>
          </w:tcPr>
          <w:p w14:paraId="6D7C5596" w14:textId="77777777" w:rsidR="00AC3BBF" w:rsidRDefault="00000000">
            <w:r>
              <w:t>v0.9.5</w:t>
            </w:r>
          </w:p>
        </w:tc>
        <w:tc>
          <w:tcPr>
            <w:tcW w:w="0" w:type="auto"/>
          </w:tcPr>
          <w:p w14:paraId="55EC3CE6" w14:textId="77777777" w:rsidR="00AC3BBF" w:rsidRDefault="00000000">
            <w:proofErr w:type="spellStart"/>
            <w:r>
              <w:t>mature</w:t>
            </w:r>
            <w:proofErr w:type="spellEnd"/>
          </w:p>
        </w:tc>
        <w:tc>
          <w:tcPr>
            <w:tcW w:w="0" w:type="auto"/>
          </w:tcPr>
          <w:p w14:paraId="62E9227D" w14:textId="77777777" w:rsidR="00AC3BBF" w:rsidRDefault="00000000">
            <w:r>
              <w:t>ikke normert</w:t>
            </w:r>
          </w:p>
        </w:tc>
      </w:tr>
    </w:tbl>
    <w:p w14:paraId="4B9F52BD" w14:textId="77777777" w:rsidR="00AC3BBF" w:rsidRDefault="00000000">
      <w:pPr>
        <w:pStyle w:val="Overskrift2"/>
      </w:pPr>
      <w:r>
        <w:t>Liste over sentrale begreper som benyttes i målarkitekturen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2439"/>
        <w:gridCol w:w="5835"/>
        <w:gridCol w:w="170"/>
      </w:tblGrid>
      <w:tr w:rsidR="00AC3BBF" w14:paraId="7B921D25" w14:textId="77777777">
        <w:trPr>
          <w:gridAfter w:val="1"/>
        </w:trPr>
        <w:tc>
          <w:tcPr>
            <w:tcW w:w="0" w:type="auto"/>
          </w:tcPr>
          <w:p w14:paraId="3A36045D" w14:textId="77777777" w:rsidR="00AC3BBF" w:rsidRDefault="00000000">
            <w:r>
              <w:t>Begrep</w:t>
            </w:r>
          </w:p>
        </w:tc>
        <w:tc>
          <w:tcPr>
            <w:tcW w:w="0" w:type="auto"/>
          </w:tcPr>
          <w:p w14:paraId="4552263F" w14:textId="77777777" w:rsidR="00AC3BBF" w:rsidRDefault="00000000">
            <w:r>
              <w:t>Definisjon</w:t>
            </w:r>
          </w:p>
        </w:tc>
      </w:tr>
      <w:tr w:rsidR="00AC3BBF" w14:paraId="3F406311" w14:textId="77777777">
        <w:trPr>
          <w:gridAfter w:val="1"/>
        </w:trPr>
        <w:tc>
          <w:tcPr>
            <w:tcW w:w="0" w:type="auto"/>
          </w:tcPr>
          <w:p w14:paraId="2F75019D" w14:textId="77777777" w:rsidR="00AC3BBF" w:rsidRDefault="00000000">
            <w:r>
              <w:t>Behandlingsforløp</w:t>
            </w:r>
          </w:p>
        </w:tc>
        <w:tc>
          <w:tcPr>
            <w:tcW w:w="0" w:type="auto"/>
          </w:tcPr>
          <w:p w14:paraId="36CBB08A" w14:textId="77777777" w:rsidR="00AC3BBF" w:rsidRDefault="00000000">
            <w:r>
              <w:t>En pasients kontakt med ulike deler av helsevesenet i en behandlingsperiode</w:t>
            </w:r>
          </w:p>
        </w:tc>
      </w:tr>
      <w:tr w:rsidR="00AC3BBF" w14:paraId="6639B2E4" w14:textId="77777777">
        <w:trPr>
          <w:gridAfter w:val="1"/>
        </w:trPr>
        <w:tc>
          <w:tcPr>
            <w:tcW w:w="0" w:type="auto"/>
          </w:tcPr>
          <w:p w14:paraId="24256136" w14:textId="77777777" w:rsidR="00AC3BBF" w:rsidRDefault="00000000">
            <w:r>
              <w:t>Brukerhistorie</w:t>
            </w:r>
          </w:p>
        </w:tc>
        <w:tc>
          <w:tcPr>
            <w:tcW w:w="0" w:type="auto"/>
          </w:tcPr>
          <w:p w14:paraId="490F2CE2" w14:textId="77777777" w:rsidR="00AC3BBF" w:rsidRDefault="00000000">
            <w:r>
              <w:t>Formen som er valgt for funksjonalitetsbeskrivelse. En kortfattet beskrivelse av Hvem som har behov, Hva slags funksjonalitet det er behov for og Hvorfor funksjonaliteten gir verdi</w:t>
            </w:r>
          </w:p>
        </w:tc>
      </w:tr>
      <w:tr w:rsidR="00AC3BBF" w14:paraId="5758A478" w14:textId="77777777">
        <w:trPr>
          <w:gridAfter w:val="1"/>
        </w:trPr>
        <w:tc>
          <w:tcPr>
            <w:tcW w:w="0" w:type="auto"/>
          </w:tcPr>
          <w:p w14:paraId="4E90B808" w14:textId="77777777" w:rsidR="00AC3BBF" w:rsidRDefault="00000000">
            <w:r>
              <w:t xml:space="preserve">Digital </w:t>
            </w:r>
            <w:proofErr w:type="spellStart"/>
            <w:r>
              <w:t>hjemmeoppfølging</w:t>
            </w:r>
            <w:proofErr w:type="spellEnd"/>
            <w:r>
              <w:t xml:space="preserve"> (DHO)</w:t>
            </w:r>
          </w:p>
        </w:tc>
        <w:tc>
          <w:tcPr>
            <w:tcW w:w="0" w:type="auto"/>
          </w:tcPr>
          <w:p w14:paraId="20F0F7A1" w14:textId="77777777" w:rsidR="00AC3BBF" w:rsidRDefault="00000000">
            <w:r>
              <w:t xml:space="preserve">Digital </w:t>
            </w:r>
            <w:proofErr w:type="spellStart"/>
            <w:r>
              <w:t>hjemmeoppfølging</w:t>
            </w:r>
            <w:proofErr w:type="spellEnd"/>
            <w:r>
              <w:t xml:space="preserve"> innebærer at hele eller deler av et behandlingstilbud foregår uten fysisk kontakt, der dialog og deling av data mellom pasient/bruker og behandler(e) skjer digitalt. Forslaget til definisjon har til hensikt å romme en bredde av ulike typer oppfølging og samhandling mellom pasienten og helsetjenesten. I arbeidet med målarkitektur og konsepter er hovedfokus på "Oppfølging basert på data fra pasient; data fra sensorer og medisinsk utstyr og pasientrapporterte data som symptomer, funksjon og målinger"</w:t>
            </w:r>
          </w:p>
        </w:tc>
      </w:tr>
      <w:tr w:rsidR="00AC3BBF" w14:paraId="56BBE89E" w14:textId="77777777">
        <w:trPr>
          <w:gridAfter w:val="1"/>
        </w:trPr>
        <w:tc>
          <w:tcPr>
            <w:tcW w:w="0" w:type="auto"/>
          </w:tcPr>
          <w:p w14:paraId="7EAA6648" w14:textId="77777777" w:rsidR="00AC3BBF" w:rsidRDefault="00000000">
            <w:r>
              <w:t>Data fra pasient</w:t>
            </w:r>
          </w:p>
        </w:tc>
        <w:tc>
          <w:tcPr>
            <w:tcW w:w="0" w:type="auto"/>
          </w:tcPr>
          <w:p w14:paraId="6A22DE6D" w14:textId="77777777" w:rsidR="00AC3BBF" w:rsidRDefault="00000000">
            <w:r>
              <w:t>I målarkitekturen inkluderer dette data fra sensorer og medisinsk utstyr og pasientrapporterte data som symptomer, funksjon og målinger</w:t>
            </w:r>
          </w:p>
        </w:tc>
      </w:tr>
      <w:tr w:rsidR="00AC3BBF" w14:paraId="3E381AB3" w14:textId="77777777">
        <w:trPr>
          <w:gridAfter w:val="1"/>
        </w:trPr>
        <w:tc>
          <w:tcPr>
            <w:tcW w:w="0" w:type="auto"/>
          </w:tcPr>
          <w:p w14:paraId="01D7DA42" w14:textId="77777777" w:rsidR="00AC3BBF" w:rsidRDefault="00000000">
            <w:r>
              <w:t>DHO-system</w:t>
            </w:r>
          </w:p>
        </w:tc>
        <w:tc>
          <w:tcPr>
            <w:tcW w:w="0" w:type="auto"/>
          </w:tcPr>
          <w:p w14:paraId="50DCB5D2" w14:textId="77777777" w:rsidR="00AC3BBF" w:rsidRDefault="00000000">
            <w:r>
              <w:t xml:space="preserve">IT-fagsystem/ løsning fra ulike leverandører som benyttes i oppfølging av pasienter </w:t>
            </w:r>
            <w:proofErr w:type="gramStart"/>
            <w:r>
              <w:t>som  mottar</w:t>
            </w:r>
            <w:proofErr w:type="gramEnd"/>
            <w:r>
              <w:t xml:space="preserve"> digital </w:t>
            </w:r>
            <w:proofErr w:type="spellStart"/>
            <w:r>
              <w:t>hjemmeoppfølging</w:t>
            </w:r>
            <w:proofErr w:type="spellEnd"/>
            <w:r>
              <w:t>, og kan benyttes sammen med måleutstyr, kartleggingsverktøy og skjema. Omtales også som medisinsk utstyr (se kilde: lov om medisinsk utstyr §3 for fullstendig beskrivelse)</w:t>
            </w:r>
          </w:p>
        </w:tc>
      </w:tr>
      <w:tr w:rsidR="00AC3BBF" w14:paraId="37F70429" w14:textId="77777777">
        <w:trPr>
          <w:gridAfter w:val="1"/>
        </w:trPr>
        <w:tc>
          <w:tcPr>
            <w:tcW w:w="0" w:type="auto"/>
          </w:tcPr>
          <w:p w14:paraId="0965149B" w14:textId="77777777" w:rsidR="00AC3BBF" w:rsidRDefault="00000000">
            <w:r>
              <w:t>Digital Samhandling</w:t>
            </w:r>
          </w:p>
        </w:tc>
        <w:tc>
          <w:tcPr>
            <w:tcW w:w="0" w:type="auto"/>
          </w:tcPr>
          <w:p w14:paraId="05D42E0B" w14:textId="77777777" w:rsidR="00AC3BBF" w:rsidRDefault="00000000">
            <w:r>
              <w:t>Samhandling mellom aktører som benytter ulike IKT-systemer på digital form (for eksempel meldingsutveksling, data- eller dokument-deling)</w:t>
            </w:r>
          </w:p>
        </w:tc>
      </w:tr>
      <w:tr w:rsidR="00AC3BBF" w14:paraId="6CCEC258" w14:textId="77777777">
        <w:trPr>
          <w:gridAfter w:val="1"/>
        </w:trPr>
        <w:tc>
          <w:tcPr>
            <w:tcW w:w="0" w:type="auto"/>
          </w:tcPr>
          <w:p w14:paraId="1A675A29" w14:textId="77777777" w:rsidR="00AC3BBF" w:rsidRDefault="00000000">
            <w:r>
              <w:lastRenderedPageBreak/>
              <w:t>Informasjonstjeneste</w:t>
            </w:r>
          </w:p>
        </w:tc>
        <w:tc>
          <w:tcPr>
            <w:tcW w:w="0" w:type="auto"/>
          </w:tcPr>
          <w:p w14:paraId="09FA9264" w14:textId="77777777" w:rsidR="00AC3BBF" w:rsidRDefault="00000000">
            <w:r>
              <w:t>Informasjonstjenester, er en samlebetegnelse for alle typer tjenester som tilbyr eller manipulerer informasjonsressurser i form av en definert tjeneste. I helhetlig samhandling brukes en mer generell definisjon: En informasjonstjeneste er en gruppering av informasjon/informasjonsbehov som kan deles mellom innbygger, helsepersonell og andre aktører via samhandlingsløsningene.  En informasjonstjeneste kan også en realiseres i form av en applikasjons komponent (IT-tjeneste) som gjør det mulig å dele et utvalg av helseinformasjon som for eksempel legemidler og egenbehandlingsplan. Ulike aktører kan knytte seg til informasjonstjenester for å få tilgang til informasjon fra andre, tilgjengeliggjøre informasjon fra egne løsninger eller oppdatere informasjon i sentrale kilder.</w:t>
            </w:r>
          </w:p>
        </w:tc>
      </w:tr>
      <w:tr w:rsidR="00AC3BBF" w14:paraId="3C2583BD" w14:textId="77777777">
        <w:trPr>
          <w:gridAfter w:val="1"/>
        </w:trPr>
        <w:tc>
          <w:tcPr>
            <w:tcW w:w="0" w:type="auto"/>
          </w:tcPr>
          <w:p w14:paraId="530296C4" w14:textId="77777777" w:rsidR="00AC3BBF" w:rsidRDefault="00000000">
            <w:r>
              <w:t>Informasjonsressurs</w:t>
            </w:r>
          </w:p>
        </w:tc>
        <w:tc>
          <w:tcPr>
            <w:tcW w:w="0" w:type="auto"/>
          </w:tcPr>
          <w:p w14:paraId="255EAD27" w14:textId="77777777" w:rsidR="00AC3BBF" w:rsidRDefault="00000000">
            <w:r>
              <w:t>Alle former for logisk avgrenset elektronisk informasjon som eksisterer i virksomheten</w:t>
            </w:r>
          </w:p>
        </w:tc>
      </w:tr>
      <w:tr w:rsidR="00AC3BBF" w14:paraId="423E1EF9" w14:textId="77777777">
        <w:trPr>
          <w:gridAfter w:val="1"/>
        </w:trPr>
        <w:tc>
          <w:tcPr>
            <w:tcW w:w="0" w:type="auto"/>
          </w:tcPr>
          <w:p w14:paraId="063BC9F2" w14:textId="77777777" w:rsidR="00AC3BBF" w:rsidRDefault="00000000">
            <w:r>
              <w:t>Felleskomponent</w:t>
            </w:r>
          </w:p>
        </w:tc>
        <w:tc>
          <w:tcPr>
            <w:tcW w:w="0" w:type="auto"/>
          </w:tcPr>
          <w:p w14:paraId="3EBF0C0D" w14:textId="77777777" w:rsidR="00AC3BBF" w:rsidRDefault="00000000">
            <w:r>
              <w:t>Defineres som avgrenset del av en IT-løsning som kan gjenbrukes i flere IT-løsninger for å dekke felles behov. De kan brukes på tvers av e-helseløsninger, virksomheter og forvaltningsnivå, og kan enten være frivillig eller påkrevd å bruke.</w:t>
            </w:r>
          </w:p>
        </w:tc>
      </w:tr>
      <w:tr w:rsidR="00AC3BBF" w14:paraId="399C6C76" w14:textId="77777777">
        <w:trPr>
          <w:gridAfter w:val="1"/>
        </w:trPr>
        <w:tc>
          <w:tcPr>
            <w:tcW w:w="0" w:type="auto"/>
          </w:tcPr>
          <w:p w14:paraId="6436FE89" w14:textId="77777777" w:rsidR="00AC3BBF" w:rsidRDefault="00000000">
            <w:r>
              <w:t>Fellestjeneste</w:t>
            </w:r>
          </w:p>
        </w:tc>
        <w:tc>
          <w:tcPr>
            <w:tcW w:w="0" w:type="auto"/>
          </w:tcPr>
          <w:p w14:paraId="2CCFC3EF" w14:textId="77777777" w:rsidR="00AC3BBF" w:rsidRDefault="00000000">
            <w:r>
              <w:t>Organisering av en tjeneste, slik at en virksomhet utfører aktiviteter på vegne av flere, for å gi en volumfordel. En fellestjeneste kan velge å bruke felleskomponenter som del av løsningen de bruker for å levere tjenesten.</w:t>
            </w:r>
          </w:p>
        </w:tc>
      </w:tr>
      <w:tr w:rsidR="00AC3BBF" w14:paraId="6D49EA89" w14:textId="77777777">
        <w:trPr>
          <w:gridAfter w:val="1"/>
        </w:trPr>
        <w:tc>
          <w:tcPr>
            <w:tcW w:w="0" w:type="auto"/>
          </w:tcPr>
          <w:p w14:paraId="40F9AD07" w14:textId="77777777" w:rsidR="00AC3BBF" w:rsidRDefault="00000000">
            <w:r>
              <w:t>Kapabilitet</w:t>
            </w:r>
          </w:p>
        </w:tc>
        <w:tc>
          <w:tcPr>
            <w:tcW w:w="0" w:type="auto"/>
          </w:tcPr>
          <w:p w14:paraId="456FCE4B" w14:textId="77777777" w:rsidR="00AC3BBF" w:rsidRDefault="00000000">
            <w:r>
              <w:t>En kapabilitet er en evne som en organisasjon, person, rolle, tjeneste eller et system kan inneha. En rolle, organisasjon eller person kan også være tilordnet en prosess som realiserer evnen</w:t>
            </w:r>
          </w:p>
        </w:tc>
      </w:tr>
      <w:tr w:rsidR="00AC3BBF" w14:paraId="3AD76623" w14:textId="77777777">
        <w:trPr>
          <w:gridAfter w:val="1"/>
        </w:trPr>
        <w:tc>
          <w:tcPr>
            <w:tcW w:w="0" w:type="auto"/>
          </w:tcPr>
          <w:p w14:paraId="47B77B10" w14:textId="77777777" w:rsidR="00AC3BBF" w:rsidRDefault="00000000">
            <w:r>
              <w:t>PIL</w:t>
            </w:r>
          </w:p>
        </w:tc>
        <w:tc>
          <w:tcPr>
            <w:tcW w:w="0" w:type="auto"/>
          </w:tcPr>
          <w:p w14:paraId="64F8E0DD" w14:textId="77777777" w:rsidR="00AC3BBF" w:rsidRDefault="00000000">
            <w:proofErr w:type="spellStart"/>
            <w:r>
              <w:t>Pasientinformasjonslokalisator</w:t>
            </w:r>
            <w:proofErr w:type="spellEnd"/>
            <w:r>
              <w:t xml:space="preserve"> (PIL)</w:t>
            </w:r>
          </w:p>
        </w:tc>
      </w:tr>
      <w:tr w:rsidR="00AC3BBF" w14:paraId="44598A24" w14:textId="77777777">
        <w:trPr>
          <w:gridAfter w:val="1"/>
        </w:trPr>
        <w:tc>
          <w:tcPr>
            <w:tcW w:w="0" w:type="auto"/>
          </w:tcPr>
          <w:p w14:paraId="74761D1C" w14:textId="77777777" w:rsidR="00AC3BBF" w:rsidRDefault="00000000">
            <w:r>
              <w:t>Samhandling</w:t>
            </w:r>
          </w:p>
        </w:tc>
        <w:tc>
          <w:tcPr>
            <w:tcW w:w="0" w:type="auto"/>
          </w:tcPr>
          <w:p w14:paraId="7247B78D" w14:textId="77777777" w:rsidR="00AC3BBF" w:rsidRDefault="00000000">
            <w:r>
              <w:t xml:space="preserve">All form for kontakt, samarbeid og informasjonsutveksling på tvers av virksomheter med mål om å sikre riktig behandling og koordinerte tjenester. Samhandling kan skje på ulike måter, for eksempel gjennom meldinger, telefon, møter, brev, </w:t>
            </w:r>
            <w:r>
              <w:lastRenderedPageBreak/>
              <w:t>papirutskrifter som sendes med innbyggeren.</w:t>
            </w:r>
          </w:p>
        </w:tc>
      </w:tr>
      <w:tr w:rsidR="00AC3BBF" w14:paraId="01836A26" w14:textId="77777777">
        <w:trPr>
          <w:gridAfter w:val="1"/>
        </w:trPr>
        <w:tc>
          <w:tcPr>
            <w:tcW w:w="0" w:type="auto"/>
          </w:tcPr>
          <w:p w14:paraId="3A1572E7" w14:textId="77777777" w:rsidR="00AC3BBF" w:rsidRDefault="00000000">
            <w:r>
              <w:lastRenderedPageBreak/>
              <w:t>Tillitsanker</w:t>
            </w:r>
          </w:p>
        </w:tc>
        <w:tc>
          <w:tcPr>
            <w:tcW w:w="0" w:type="auto"/>
          </w:tcPr>
          <w:p w14:paraId="63E5CA01" w14:textId="77777777" w:rsidR="00AC3BBF" w:rsidRDefault="00000000">
            <w:r>
              <w:t>Er en tillitsskapende tjeneste som fungerer som felles avtalepunkt i infrastrukturen for å etablere felles tillitsmodell</w:t>
            </w:r>
          </w:p>
        </w:tc>
      </w:tr>
      <w:tr w:rsidR="00AC3BBF" w14:paraId="40EC079C" w14:textId="77777777">
        <w:trPr>
          <w:gridAfter w:val="1"/>
        </w:trPr>
        <w:tc>
          <w:tcPr>
            <w:tcW w:w="0" w:type="auto"/>
          </w:tcPr>
          <w:p w14:paraId="298BE8DB" w14:textId="77777777" w:rsidR="00AC3BBF" w:rsidRDefault="00000000">
            <w:r>
              <w:t>Tillitsmodell</w:t>
            </w:r>
          </w:p>
        </w:tc>
        <w:tc>
          <w:tcPr>
            <w:tcW w:w="0" w:type="auto"/>
          </w:tcPr>
          <w:p w14:paraId="7770E41C" w14:textId="77777777" w:rsidR="00AC3BBF" w:rsidRDefault="00000000">
            <w:r>
              <w:t xml:space="preserve">Modell for etablering og bruk av </w:t>
            </w:r>
            <w:proofErr w:type="spellStart"/>
            <w:r>
              <w:t>tillitskapende</w:t>
            </w:r>
            <w:proofErr w:type="spellEnd"/>
            <w:r>
              <w:t xml:space="preserve"> tjenester som gjør det mulig for ulike aktører å samhandle elektronisk samtidig som aktørene kan ha tillit til at krav om personvern og sikkerhet ivaretas av alle samhandlende parter</w:t>
            </w:r>
          </w:p>
        </w:tc>
      </w:tr>
      <w:tr w:rsidR="00AC3BBF" w14:paraId="6E72BBC3" w14:textId="77777777">
        <w:trPr>
          <w:gridAfter w:val="1"/>
        </w:trPr>
        <w:tc>
          <w:tcPr>
            <w:tcW w:w="0" w:type="auto"/>
          </w:tcPr>
          <w:p w14:paraId="39ECD073" w14:textId="77777777" w:rsidR="00AC3BBF" w:rsidRDefault="00000000">
            <w:r>
              <w:t>Tillitsskapende tjeneste (tillitstjeneste)</w:t>
            </w:r>
          </w:p>
        </w:tc>
        <w:tc>
          <w:tcPr>
            <w:tcW w:w="0" w:type="auto"/>
          </w:tcPr>
          <w:p w14:paraId="4D05B161" w14:textId="77777777" w:rsidR="00AC3BBF" w:rsidRDefault="00000000">
            <w:r>
              <w:t xml:space="preserve">Tjenester som inngår i tillitsmodell, eksempel </w:t>
            </w:r>
            <w:proofErr w:type="spellStart"/>
            <w:r>
              <w:t>HelseId</w:t>
            </w:r>
            <w:proofErr w:type="spellEnd"/>
            <w:r>
              <w:t xml:space="preserve"> og tillitsanker</w:t>
            </w:r>
          </w:p>
        </w:tc>
      </w:tr>
      <w:tr w:rsidR="00AC3BBF" w14:paraId="2AFCEB5E" w14:textId="77777777">
        <w:trPr>
          <w:gridAfter w:val="1"/>
        </w:trPr>
        <w:tc>
          <w:tcPr>
            <w:tcW w:w="0" w:type="auto"/>
          </w:tcPr>
          <w:p w14:paraId="429A2CC3" w14:textId="77777777" w:rsidR="00AC3BBF" w:rsidRDefault="00000000">
            <w:r>
              <w:t>Tjeneste</w:t>
            </w:r>
          </w:p>
        </w:tc>
        <w:tc>
          <w:tcPr>
            <w:tcW w:w="0" w:type="auto"/>
          </w:tcPr>
          <w:p w14:paraId="2FB417AC" w14:textId="77777777" w:rsidR="00AC3BBF" w:rsidRDefault="00000000">
            <w:proofErr w:type="spellStart"/>
            <w:r>
              <w:t>Digdir</w:t>
            </w:r>
            <w:proofErr w:type="spellEnd"/>
            <w:r>
              <w:t>: avgrenset sett av aktiviteter som utføres av eller på vegne av en virksomhet for en aktør. Også brukt om tekniske komponenter som aktørene i sektor kan benytte for å levere IT-løsninger som understøtter ytelse av helsehjelp</w:t>
            </w:r>
          </w:p>
        </w:tc>
      </w:tr>
      <w:tr w:rsidR="00AC3BBF" w14:paraId="5A08B0DD" w14:textId="77777777">
        <w:tc>
          <w:tcPr>
            <w:tcW w:w="0" w:type="auto"/>
          </w:tcPr>
          <w:p w14:paraId="43DE2C5F" w14:textId="77777777" w:rsidR="00AC3BBF" w:rsidRDefault="00000000">
            <w:r>
              <w:t>Tjenesteforløp</w:t>
            </w:r>
          </w:p>
        </w:tc>
        <w:tc>
          <w:tcPr>
            <w:tcW w:w="0" w:type="auto"/>
          </w:tcPr>
          <w:p w14:paraId="3D590D55" w14:textId="77777777" w:rsidR="00AC3BBF" w:rsidRDefault="00000000">
            <w:r>
              <w:t xml:space="preserve">Et tjenesteforløp beskriver organisering og oppgaver knyttet til å yte helsetjenester til pasienter som følges med digital </w:t>
            </w:r>
            <w:proofErr w:type="spellStart"/>
            <w:r>
              <w:t>hjemmeoppfølging</w:t>
            </w:r>
            <w:proofErr w:type="spellEnd"/>
            <w:r>
              <w:t xml:space="preserve"> (kilde: sluttrapport fra nasjonal utprøving 2018-2021)</w:t>
            </w:r>
          </w:p>
        </w:tc>
        <w:tc>
          <w:tcPr>
            <w:tcW w:w="0" w:type="auto"/>
          </w:tcPr>
          <w:p w14:paraId="1C614109" w14:textId="77777777" w:rsidR="00AC3BBF" w:rsidRDefault="00AC3BBF"/>
        </w:tc>
      </w:tr>
    </w:tbl>
    <w:p w14:paraId="1A75E9C6" w14:textId="77777777" w:rsidR="00A61753" w:rsidRDefault="00A61753"/>
    <w:sectPr w:rsidR="00A617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056A"/>
    <w:multiLevelType w:val="multilevel"/>
    <w:tmpl w:val="EA4C01B4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3792176A"/>
    <w:multiLevelType w:val="multilevel"/>
    <w:tmpl w:val="D834BBE8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58760012"/>
    <w:multiLevelType w:val="multilevel"/>
    <w:tmpl w:val="E51C03C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283267330">
    <w:abstractNumId w:val="0"/>
  </w:num>
  <w:num w:numId="2" w16cid:durableId="850413063">
    <w:abstractNumId w:val="2"/>
  </w:num>
  <w:num w:numId="3" w16cid:durableId="28123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BF"/>
    <w:rsid w:val="00A61753"/>
    <w:rsid w:val="00AC3BBF"/>
    <w:rsid w:val="00CD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8797"/>
  <w15:docId w15:val="{C6B3245F-0E14-4FEF-BD90-3B331EA1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Overskrift3">
    <w:name w:val="heading 3"/>
    <w:basedOn w:val="Normal"/>
    <w:next w:val="Brdtekst"/>
    <w:uiPriority w:val="9"/>
    <w:semiHidden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Overskrift4">
    <w:name w:val="heading 4"/>
    <w:basedOn w:val="Normal"/>
    <w:next w:val="Brdtekst"/>
    <w:uiPriority w:val="9"/>
    <w:semiHidden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Overskrift5">
    <w:name w:val="heading 5"/>
    <w:basedOn w:val="Normal"/>
    <w:next w:val="Brdtekst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Overskrift6">
    <w:name w:val="heading 6"/>
    <w:basedOn w:val="Normal"/>
    <w:next w:val="Brdtekst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Overskrift7">
    <w:name w:val="heading 7"/>
    <w:basedOn w:val="Normal"/>
    <w:next w:val="Brdteks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Overskrift8">
    <w:name w:val="heading 8"/>
    <w:basedOn w:val="Normal"/>
    <w:next w:val="Brdteks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Overskrift9">
    <w:name w:val="heading 9"/>
    <w:basedOn w:val="Normal"/>
    <w:next w:val="Brdteks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next w:val="Normal"/>
    <w:qFormat/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next w:val="Normal"/>
    <w:qFormat/>
  </w:style>
  <w:style w:type="paragraph" w:styleId="Tittel">
    <w:name w:val="Title"/>
    <w:basedOn w:val="Normal"/>
    <w:next w:val="Brdtekst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Undertittel">
    <w:name w:val="Subtitle"/>
    <w:basedOn w:val="Tittel"/>
    <w:next w:val="Brdtekst"/>
    <w:uiPriority w:val="11"/>
    <w:qFormat/>
    <w:rPr>
      <w:sz w:val="30"/>
      <w:szCs w:val="30"/>
    </w:rPr>
  </w:style>
  <w:style w:type="paragraph" w:customStyle="1" w:styleId="Author">
    <w:name w:val="Author"/>
    <w:next w:val="Brdtekst"/>
    <w:qFormat/>
    <w:pPr>
      <w:jc w:val="center"/>
    </w:pPr>
  </w:style>
  <w:style w:type="paragraph" w:styleId="Dato">
    <w:name w:val="Date"/>
    <w:next w:val="Brdtekst"/>
    <w:qFormat/>
    <w:pPr>
      <w:jc w:val="center"/>
    </w:pPr>
  </w:style>
  <w:style w:type="paragraph" w:customStyle="1" w:styleId="Abstract">
    <w:name w:val="Abstract"/>
    <w:basedOn w:val="Normal"/>
    <w:next w:val="Brdtekst"/>
    <w:qFormat/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qFormat/>
    <w:pPr>
      <w:ind w:left="480" w:right="480"/>
    </w:pPr>
  </w:style>
  <w:style w:type="paragraph" w:styleId="Sitat">
    <w:name w:val="Quote"/>
    <w:basedOn w:val="Brdtekst"/>
    <w:next w:val="Brdtekst"/>
    <w:qFormat/>
    <w:pPr>
      <w:ind w:left="480" w:right="480"/>
    </w:pPr>
  </w:style>
  <w:style w:type="paragraph" w:styleId="Fotnoteteks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Bildetekst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Bildetekst"/>
    <w:next w:val="Normal"/>
    <w:qFormat/>
  </w:style>
  <w:style w:type="paragraph" w:customStyle="1" w:styleId="ImageCaption">
    <w:name w:val="Image Caption"/>
    <w:basedOn w:val="Bildetekst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Standardskriftforavsnit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tnotereferanse">
    <w:name w:val="footnote reference"/>
    <w:basedOn w:val="BodyTextChar"/>
    <w:qFormat/>
    <w:rPr>
      <w:vertAlign w:val="superscript"/>
    </w:rPr>
  </w:style>
  <w:style w:type="character" w:styleId="Hyperkobling">
    <w:name w:val="Hyperlink"/>
    <w:basedOn w:val="BodyTextChar"/>
    <w:qFormat/>
    <w:rPr>
      <w:color w:val="4F81BD"/>
    </w:rPr>
  </w:style>
  <w:style w:type="paragraph" w:styleId="Overskriftforinnholdsfortegnelse">
    <w:name w:val="TOC Heading"/>
    <w:basedOn w:val="Overskrift1"/>
    <w:next w:val="Brdtekst"/>
    <w:qFormat/>
    <w:rPr>
      <w:color w:val="365F91"/>
    </w:rPr>
  </w:style>
  <w:style w:type="paragraph" w:customStyle="1" w:styleId="SourceCode">
    <w:name w:val="Source Code"/>
    <w:basedOn w:val="Brdteks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Standardskriftforavsnit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Standardskriftforavsnit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rdteks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rdtekst"/>
    <w:next w:val="SourceCode"/>
    <w:qFormat/>
    <w:rPr>
      <w:rFonts w:ascii="Consolas" w:hAnsi="Consolas"/>
      <w:color w:val="D99594"/>
    </w:rPr>
  </w:style>
  <w:style w:type="paragraph" w:styleId="Listeavsnitt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3819</Characters>
  <Application>Microsoft Office Word</Application>
  <DocSecurity>0</DocSecurity>
  <Lines>31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Thomas Tveit Rosenlund</cp:lastModifiedBy>
  <cp:revision>2</cp:revision>
  <dcterms:created xsi:type="dcterms:W3CDTF">2023-10-24T13:42:00Z</dcterms:created>
  <dcterms:modified xsi:type="dcterms:W3CDTF">2023-10-24T13:42:00Z</dcterms:modified>
</cp:coreProperties>
</file>