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6B40" w14:textId="77777777" w:rsidR="004D6FD8" w:rsidRDefault="00000000">
      <w:pPr>
        <w:pStyle w:val="Metadata"/>
      </w:pPr>
      <w:proofErr w:type="spellStart"/>
      <w:r>
        <w:t>title</w:t>
      </w:r>
      <w:proofErr w:type="spellEnd"/>
      <w:r>
        <w:t>: Semantisk samhandlingsevne</w:t>
      </w:r>
    </w:p>
    <w:tbl>
      <w:tblPr>
        <w:tblW w:w="0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895"/>
        <w:gridCol w:w="902"/>
        <w:gridCol w:w="1004"/>
        <w:gridCol w:w="1741"/>
      </w:tblGrid>
      <w:tr w:rsidR="004D6FD8" w14:paraId="599E360B" w14:textId="77777777">
        <w:tc>
          <w:tcPr>
            <w:tcW w:w="0" w:type="auto"/>
          </w:tcPr>
          <w:p w14:paraId="42B4332B" w14:textId="77777777" w:rsidR="004D6FD8" w:rsidRDefault="00000000">
            <w:r>
              <w:t>Status</w:t>
            </w:r>
          </w:p>
        </w:tc>
        <w:tc>
          <w:tcPr>
            <w:tcW w:w="0" w:type="auto"/>
          </w:tcPr>
          <w:p w14:paraId="161BC5F3" w14:textId="77777777" w:rsidR="004D6FD8" w:rsidRDefault="00000000">
            <w:r>
              <w:t>Version</w:t>
            </w:r>
          </w:p>
        </w:tc>
        <w:tc>
          <w:tcPr>
            <w:tcW w:w="0" w:type="auto"/>
          </w:tcPr>
          <w:p w14:paraId="4285C023" w14:textId="77777777" w:rsidR="004D6FD8" w:rsidRDefault="00000000">
            <w:proofErr w:type="spellStart"/>
            <w:r>
              <w:t>Maturity</w:t>
            </w:r>
            <w:proofErr w:type="spellEnd"/>
          </w:p>
        </w:tc>
        <w:tc>
          <w:tcPr>
            <w:tcW w:w="0" w:type="auto"/>
          </w:tcPr>
          <w:p w14:paraId="2028D5C9" w14:textId="77777777" w:rsidR="004D6FD8" w:rsidRDefault="00000000">
            <w:r>
              <w:t xml:space="preserve">Normative </w:t>
            </w:r>
            <w:proofErr w:type="spellStart"/>
            <w:r>
              <w:t>level</w:t>
            </w:r>
            <w:proofErr w:type="spellEnd"/>
          </w:p>
        </w:tc>
      </w:tr>
      <w:tr w:rsidR="004D6FD8" w14:paraId="5F89C865" w14:textId="77777777">
        <w:tc>
          <w:tcPr>
            <w:tcW w:w="0" w:type="auto"/>
          </w:tcPr>
          <w:p w14:paraId="258C1C6A" w14:textId="77777777" w:rsidR="004D6FD8" w:rsidRDefault="00000000">
            <w:proofErr w:type="spellStart"/>
            <w:r>
              <w:t>Release</w:t>
            </w:r>
            <w:proofErr w:type="spellEnd"/>
          </w:p>
        </w:tc>
        <w:tc>
          <w:tcPr>
            <w:tcW w:w="0" w:type="auto"/>
          </w:tcPr>
          <w:p w14:paraId="0B2ACEE0" w14:textId="77777777" w:rsidR="004D6FD8" w:rsidRDefault="00000000">
            <w:r>
              <w:t>v0.9.5</w:t>
            </w:r>
          </w:p>
        </w:tc>
        <w:tc>
          <w:tcPr>
            <w:tcW w:w="0" w:type="auto"/>
          </w:tcPr>
          <w:p w14:paraId="044F1BFB" w14:textId="77777777" w:rsidR="004D6FD8" w:rsidRDefault="00000000">
            <w:proofErr w:type="spellStart"/>
            <w:r>
              <w:t>mature</w:t>
            </w:r>
            <w:proofErr w:type="spellEnd"/>
          </w:p>
        </w:tc>
        <w:tc>
          <w:tcPr>
            <w:tcW w:w="0" w:type="auto"/>
          </w:tcPr>
          <w:p w14:paraId="69F10CED" w14:textId="77777777" w:rsidR="004D6FD8" w:rsidRDefault="00000000">
            <w:r>
              <w:t>ikke normert</w:t>
            </w:r>
          </w:p>
        </w:tc>
      </w:tr>
    </w:tbl>
    <w:p w14:paraId="43D9C4E6" w14:textId="77777777" w:rsidR="004D6FD8" w:rsidRDefault="00000000">
      <w:pPr>
        <w:pStyle w:val="Overskrift2"/>
      </w:pPr>
      <w:r>
        <w:t>Hva er semantisk samhandlingsevne</w:t>
      </w:r>
    </w:p>
    <w:p w14:paraId="14638F36" w14:textId="77777777" w:rsidR="004D6FD8" w:rsidRDefault="00000000">
      <w:r>
        <w:t>Semantisk samhandlingsevne har å gjøre med meningen med innholdet i dataelementer, relasjonen mellom dem og formatet informasjonen utveksles på. Det skilles mellom semantikk og syntaks:</w:t>
      </w:r>
    </w:p>
    <w:p w14:paraId="4A79D46C" w14:textId="77777777" w:rsidR="004D6FD8" w:rsidRDefault="00000000">
      <w:pPr>
        <w:pStyle w:val="Listeavsnitt"/>
        <w:numPr>
          <w:ilvl w:val="0"/>
          <w:numId w:val="4"/>
        </w:numPr>
      </w:pPr>
      <w:r>
        <w:t>Semantikk handler om dataenes betydningsinnhold og interne relasjon mellom data, dette innebærer også begrepsavklaringer og definisjoner som sikrer at alle parter oppfatter betydningen av data likt</w:t>
      </w:r>
    </w:p>
    <w:p w14:paraId="3ED709DA" w14:textId="77777777" w:rsidR="004D6FD8" w:rsidRDefault="00000000">
      <w:pPr>
        <w:pStyle w:val="Listeavsnitt"/>
        <w:numPr>
          <w:ilvl w:val="0"/>
          <w:numId w:val="4"/>
        </w:numPr>
      </w:pPr>
      <w:r>
        <w:t>Syntaks handler om format og struktur på data som utveksles</w:t>
      </w:r>
    </w:p>
    <w:p w14:paraId="5AA1C922" w14:textId="77777777" w:rsidR="004D6FD8" w:rsidRDefault="00000000">
      <w:r>
        <w:t xml:space="preserve">Samhandling må vanligvis etableres på mange nivåer for å understøtte samhandling mellom personer i ulike virksomheter. I European </w:t>
      </w:r>
      <w:proofErr w:type="spellStart"/>
      <w:r>
        <w:t>Interoperability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(EIF) skilles det på juridisk, organisatorisk, semantisk og teknisk samhandling. I praksis peker denne modellen på at man må oppnå samhandling på alle fire nivå for å oppnå reell semantisk samhandling mellom personer i ulik kontekst, for eksempel i ulike organisasjoner.</w:t>
      </w:r>
    </w:p>
    <w:p w14:paraId="0BAE0E7F" w14:textId="77777777" w:rsidR="004D6FD8" w:rsidRDefault="00000000">
      <w:r>
        <w:rPr>
          <w:noProof/>
        </w:rPr>
        <w:lastRenderedPageBreak/>
        <w:drawing>
          <wp:inline distT="0" distB="0" distL="0" distR="0" wp14:anchorId="54C3B625" wp14:editId="732F9962">
            <wp:extent cx="5334000" cy="3514725"/>
            <wp:effectExtent l="0" t="0" r="0" b="0"/>
            <wp:docPr id="1" name="Figure" descr="Figur som viser European Interoperability Framework. Illustrasj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img/no-domain-EIF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 xml:space="preserve">European </w:t>
      </w:r>
      <w:proofErr w:type="spellStart"/>
      <w:r>
        <w:rPr>
          <w:i/>
          <w:iCs/>
        </w:rPr>
        <w:t>Interoperability</w:t>
      </w:r>
      <w:proofErr w:type="spellEnd"/>
      <w:r>
        <w:rPr>
          <w:i/>
          <w:iCs/>
        </w:rPr>
        <w:t xml:space="preserve"> Framework, juridisk, organisatorisk, semantisk og teknisk samhandlingsevne</w:t>
      </w:r>
    </w:p>
    <w:p w14:paraId="2F6EDC41" w14:textId="77777777" w:rsidR="004D6FD8" w:rsidRDefault="00000000">
      <w:pPr>
        <w:pStyle w:val="Overskrift2"/>
      </w:pPr>
      <w:r>
        <w:t>Når er dette viktig?</w:t>
      </w:r>
    </w:p>
    <w:p w14:paraId="4B047358" w14:textId="77777777" w:rsidR="004D6FD8" w:rsidRDefault="00000000">
      <w:r>
        <w:t>Det er viktig å jobbe med semantisk samhandling så tidlig som mulig i prosessen med å oppnå samhandling mellom virksomheter i helsesektoren. Målet med den semantiske samhandlingen er alltid å understøtte den organisatoriske og juridiske samhandlingsevnen. På organisatorisk nivå må det arbeides med å identifisere og prioritere behov for informasjon, noen av disse må behovene trenger løsninger i form av produkter som understøtter semantisk samhandling. I helsesektoren betyr dette å jobbe med semantisk samhandling knyttet til identifiserte behov for informasjon i tjenesteforløpet.</w:t>
      </w:r>
    </w:p>
    <w:p w14:paraId="04C9C69F" w14:textId="77777777" w:rsidR="004D6FD8" w:rsidRDefault="00000000">
      <w:pPr>
        <w:pStyle w:val="Overskrift2"/>
      </w:pPr>
      <w:r>
        <w:t>Hvordan?</w:t>
      </w:r>
    </w:p>
    <w:p w14:paraId="4BD57875" w14:textId="77777777" w:rsidR="004D6FD8" w:rsidRDefault="00000000">
      <w:r>
        <w:t xml:space="preserve">En strategi for informasjonsforvaltning og samhandling må utarbeides av virksomhetene og forankres slik at virksomhetene sammen kan løse utfordringer knyttet til </w:t>
      </w:r>
      <w:proofErr w:type="spellStart"/>
      <w:r>
        <w:t>semangisk</w:t>
      </w:r>
      <w:proofErr w:type="spellEnd"/>
      <w:r>
        <w:t xml:space="preserve"> samhandling.  Eksempelvis må virksomhetene være enige om bruk av referansedata (taksonomier, vokabularer, kodelister </w:t>
      </w:r>
      <w:proofErr w:type="spellStart"/>
      <w:r>
        <w:t>etc</w:t>
      </w:r>
      <w:proofErr w:type="spellEnd"/>
      <w:r>
        <w:t xml:space="preserve">), felles informasjonsmodeller, datastrukturer og datamodeller for utveksling er helt </w:t>
      </w:r>
      <w:r>
        <w:lastRenderedPageBreak/>
        <w:t>nødvendige for å oppnå semantisk samhandling. Virksomhetene må være enige om når det er hensiktsmessig å ta i bruk standarder og referansedatasett der. I tillegg må det knyttes informasjon om hvordan data er skapt og brukt for å forstå og bruke data riktig.</w:t>
      </w:r>
    </w:p>
    <w:p w14:paraId="577B1145" w14:textId="77777777" w:rsidR="004D6FD8" w:rsidRDefault="00000000">
      <w:pPr>
        <w:pStyle w:val="Overskrift2"/>
      </w:pPr>
      <w:r>
        <w:t>Hva er fordelene med semantisk samhandling?</w:t>
      </w:r>
    </w:p>
    <w:p w14:paraId="27526C12" w14:textId="77777777" w:rsidR="004D6FD8" w:rsidRDefault="00000000">
      <w:pPr>
        <w:pStyle w:val="Overskrift3"/>
      </w:pPr>
      <w:r>
        <w:t>Gjenbruk</w:t>
      </w:r>
    </w:p>
    <w:p w14:paraId="2008A683" w14:textId="77777777" w:rsidR="004D6FD8" w:rsidRDefault="00000000">
      <w:r>
        <w:t>«Kun én gang»-prinsippet styrker informasjonsforvaltningen. Brukere slipper å oppgi samme opplysninger flere ganger. Ulike virksomheter som deltar i tjenesteforløpet deler data fremfor å vedlikeholde egne kopier av data. «Data lagres én gang og tilgjengeliggjøres fra én kilde».</w:t>
      </w:r>
    </w:p>
    <w:p w14:paraId="06E8BD5F" w14:textId="77777777" w:rsidR="004D6FD8" w:rsidRDefault="00000000">
      <w:pPr>
        <w:pStyle w:val="Overskrift3"/>
      </w:pPr>
      <w:r>
        <w:t>Økt datakvalitet</w:t>
      </w:r>
    </w:p>
    <w:p w14:paraId="29B58775" w14:textId="77777777" w:rsidR="004D6FD8" w:rsidRDefault="00000000">
      <w:r>
        <w:t xml:space="preserve">Brukere opplever tjenester med kontekst som er korrekt og oppdatert. Tjenesteprodusenter og dataprodusenter kan gjenbruke data fra andre kilder direkte, uten å kjenne intern struktur på data i kildesystemene. </w:t>
      </w:r>
    </w:p>
    <w:p w14:paraId="341A51D8" w14:textId="77777777" w:rsidR="004D6FD8" w:rsidRDefault="00000000">
      <w:pPr>
        <w:pStyle w:val="Overskrift3"/>
      </w:pPr>
      <w:r>
        <w:t>Økt effektivitet</w:t>
      </w:r>
    </w:p>
    <w:p w14:paraId="70C2AA1A" w14:textId="77777777" w:rsidR="004D6FD8" w:rsidRDefault="00000000">
      <w:r>
        <w:t>Brukere har tilgang til data med høy kvalitet. Tilgang til nødvendig informasjon av høy kvalitet gir potensiale for automatisering, redusert ressursbruk og er dermed grunnlag for mer effektive tjenester.</w:t>
      </w:r>
    </w:p>
    <w:p w14:paraId="77049117" w14:textId="77777777" w:rsidR="004D6FD8" w:rsidRDefault="00000000">
      <w:pPr>
        <w:pStyle w:val="Overskrift3"/>
      </w:pPr>
      <w:r>
        <w:t>Økt samhandlingsevne</w:t>
      </w:r>
    </w:p>
    <w:p w14:paraId="053F240F" w14:textId="77777777" w:rsidR="004D6FD8" w:rsidRDefault="00000000">
      <w:r>
        <w:t>Brukere i tjenesteforløpet opplever at de har tilgang til de riktig informasjon uavhengig av hvilken arbeidsprosess de er involvert i. Brukere har tilgang til informasjon på tvers av tjenestenivå og virksomheter.</w:t>
      </w:r>
    </w:p>
    <w:p w14:paraId="6256FAEF" w14:textId="77777777" w:rsidR="004D6FD8" w:rsidRDefault="00000000">
      <w:pPr>
        <w:pStyle w:val="Overskrift3"/>
      </w:pPr>
      <w:r>
        <w:t>Økt endringsevne og tjenesteinnovasjon</w:t>
      </w:r>
    </w:p>
    <w:p w14:paraId="3DE59876" w14:textId="77777777" w:rsidR="004D6FD8" w:rsidRDefault="00000000">
      <w:r>
        <w:t>Brukere får raskt støtte for nye arbeidsmåter gjennom automatiserte støttetjenester som bygger på oppdatert datagrunnlag av høy kvalitet. Tjenesteprodusentene får evne til å handle raskt basert på oppdaterte og korrekte data.</w:t>
      </w:r>
    </w:p>
    <w:p w14:paraId="2C16C774" w14:textId="77777777" w:rsidR="004D6FD8" w:rsidRDefault="00000000">
      <w:pPr>
        <w:pStyle w:val="Overskrift3"/>
      </w:pPr>
      <w:r>
        <w:t>Økt tilgang til data</w:t>
      </w:r>
    </w:p>
    <w:p w14:paraId="00EE65CA" w14:textId="77777777" w:rsidR="004D6FD8" w:rsidRDefault="00000000">
      <w:r>
        <w:lastRenderedPageBreak/>
        <w:t>Brukere opplever at informasjonstjenestene de har tilgang til gir enkel tilgang til oppdaterte informasjon. Tjenesteprodusenter har enkel tilgang til data koblet til relevante metadata.</w:t>
      </w:r>
    </w:p>
    <w:sectPr w:rsidR="004D6FD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10D4"/>
    <w:multiLevelType w:val="multilevel"/>
    <w:tmpl w:val="6DE6816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44942A8A"/>
    <w:multiLevelType w:val="multilevel"/>
    <w:tmpl w:val="308A7A82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2" w15:restartNumberingAfterBreak="0">
    <w:nsid w:val="603B0BFB"/>
    <w:multiLevelType w:val="multilevel"/>
    <w:tmpl w:val="A862280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744253FB"/>
    <w:multiLevelType w:val="multilevel"/>
    <w:tmpl w:val="11DA2664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num w:numId="1" w16cid:durableId="1663047126">
    <w:abstractNumId w:val="1"/>
  </w:num>
  <w:num w:numId="2" w16cid:durableId="2115636974">
    <w:abstractNumId w:val="0"/>
  </w:num>
  <w:num w:numId="3" w16cid:durableId="1606690913">
    <w:abstractNumId w:val="3"/>
  </w:num>
  <w:num w:numId="4" w16cid:durableId="1229658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D8"/>
    <w:rsid w:val="004D6FD8"/>
    <w:rsid w:val="00EB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29A83"/>
  <w15:docId w15:val="{BCD28F6A-E8D7-445F-B3F3-EB162AD0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Overskrift3">
    <w:name w:val="heading 3"/>
    <w:basedOn w:val="Normal"/>
    <w:next w:val="Brdtekst"/>
    <w:uiPriority w:val="9"/>
    <w:unhideWhenUsed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Overskrift4">
    <w:name w:val="heading 4"/>
    <w:basedOn w:val="Normal"/>
    <w:next w:val="Brdtekst"/>
    <w:uiPriority w:val="9"/>
    <w:semiHidden/>
    <w:unhideWhenUsed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Overskrift5">
    <w:name w:val="heading 5"/>
    <w:basedOn w:val="Normal"/>
    <w:next w:val="Brdtekst"/>
    <w:uiPriority w:val="9"/>
    <w:semiHidden/>
    <w:unhideWhenUsed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Overskrift6">
    <w:name w:val="heading 6"/>
    <w:basedOn w:val="Normal"/>
    <w:next w:val="Brdtekst"/>
    <w:uiPriority w:val="9"/>
    <w:semiHidden/>
    <w:unhideWhenUsed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Overskrift7">
    <w:name w:val="heading 7"/>
    <w:basedOn w:val="Normal"/>
    <w:next w:val="Brdteks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Overskrift8">
    <w:name w:val="heading 8"/>
    <w:basedOn w:val="Normal"/>
    <w:next w:val="Brdteks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Overskrift9">
    <w:name w:val="heading 9"/>
    <w:basedOn w:val="Normal"/>
    <w:next w:val="Brdteks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next w:val="Normal"/>
    <w:qFormat/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next w:val="Normal"/>
    <w:qFormat/>
  </w:style>
  <w:style w:type="paragraph" w:styleId="Tittel">
    <w:name w:val="Title"/>
    <w:basedOn w:val="Normal"/>
    <w:next w:val="Brdtekst"/>
    <w:uiPriority w:val="10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Undertittel">
    <w:name w:val="Subtitle"/>
    <w:basedOn w:val="Tittel"/>
    <w:next w:val="Brdtekst"/>
    <w:uiPriority w:val="11"/>
    <w:qFormat/>
    <w:rPr>
      <w:sz w:val="30"/>
      <w:szCs w:val="30"/>
    </w:rPr>
  </w:style>
  <w:style w:type="paragraph" w:customStyle="1" w:styleId="Author">
    <w:name w:val="Author"/>
    <w:next w:val="Brdtekst"/>
    <w:qFormat/>
    <w:pPr>
      <w:jc w:val="center"/>
    </w:pPr>
  </w:style>
  <w:style w:type="paragraph" w:styleId="Dato">
    <w:name w:val="Date"/>
    <w:next w:val="Brdtekst"/>
    <w:qFormat/>
    <w:pPr>
      <w:jc w:val="center"/>
    </w:pPr>
  </w:style>
  <w:style w:type="paragraph" w:customStyle="1" w:styleId="Abstract">
    <w:name w:val="Abstract"/>
    <w:basedOn w:val="Normal"/>
    <w:next w:val="Brdtekst"/>
    <w:qFormat/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qFormat/>
    <w:pPr>
      <w:ind w:left="480" w:right="480"/>
    </w:pPr>
  </w:style>
  <w:style w:type="paragraph" w:styleId="Sitat">
    <w:name w:val="Quote"/>
    <w:basedOn w:val="Brdtekst"/>
    <w:next w:val="Brdtekst"/>
    <w:qFormat/>
    <w:pPr>
      <w:ind w:left="480" w:right="480"/>
    </w:pPr>
  </w:style>
  <w:style w:type="paragraph" w:styleId="Fotnoteteks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Bildetekst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Bildetekst"/>
    <w:next w:val="Normal"/>
    <w:qFormat/>
  </w:style>
  <w:style w:type="paragraph" w:customStyle="1" w:styleId="ImageCaption">
    <w:name w:val="Image Caption"/>
    <w:basedOn w:val="Bildetekst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Standardskriftforavsnit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tnotereferanse">
    <w:name w:val="footnote reference"/>
    <w:basedOn w:val="BodyTextChar"/>
    <w:qFormat/>
    <w:rPr>
      <w:vertAlign w:val="superscript"/>
    </w:rPr>
  </w:style>
  <w:style w:type="character" w:styleId="Hyperkobling">
    <w:name w:val="Hyperlink"/>
    <w:basedOn w:val="BodyTextChar"/>
    <w:qFormat/>
    <w:rPr>
      <w:color w:val="4F81BD"/>
    </w:rPr>
  </w:style>
  <w:style w:type="paragraph" w:styleId="Overskriftforinnholdsfortegnelse">
    <w:name w:val="TOC Heading"/>
    <w:basedOn w:val="Overskrift1"/>
    <w:next w:val="Brdtekst"/>
    <w:qFormat/>
    <w:rPr>
      <w:color w:val="365F91"/>
    </w:rPr>
  </w:style>
  <w:style w:type="paragraph" w:customStyle="1" w:styleId="SourceCode">
    <w:name w:val="Source Code"/>
    <w:basedOn w:val="Brdteks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Standardskriftforavsnit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Standardskriftforavsnit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rdteks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rdtekst"/>
    <w:next w:val="SourceCode"/>
    <w:qFormat/>
    <w:rPr>
      <w:rFonts w:ascii="Consolas" w:hAnsi="Consolas"/>
      <w:color w:val="D99594"/>
    </w:rPr>
  </w:style>
  <w:style w:type="paragraph" w:styleId="Listeavsnitt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612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Thomas Tveit Rosenlund</cp:lastModifiedBy>
  <cp:revision>2</cp:revision>
  <dcterms:created xsi:type="dcterms:W3CDTF">2023-10-26T14:56:00Z</dcterms:created>
  <dcterms:modified xsi:type="dcterms:W3CDTF">2023-10-26T14:56:00Z</dcterms:modified>
</cp:coreProperties>
</file>