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F863E" w14:textId="77777777" w:rsidR="00490424" w:rsidRDefault="00CC6E8F">
      <w:pPr>
        <w:spacing w:after="60"/>
        <w:jc w:val="center"/>
      </w:pPr>
      <w:r>
        <w:rPr>
          <w:rFonts w:ascii="Calibri" w:eastAsia="Calibri" w:hAnsi="Calibri" w:cs="Calibri"/>
          <w:b/>
          <w:bCs/>
          <w:color w:val="215E99"/>
          <w:sz w:val="44"/>
          <w:szCs w:val="44"/>
        </w:rPr>
        <w:t>Minutes of Meeting</w:t>
      </w:r>
    </w:p>
    <w:p w14:paraId="2C5DE64B" w14:textId="77777777" w:rsidR="00490424" w:rsidRDefault="00CC6E8F">
      <w:pPr>
        <w:pBdr>
          <w:bottom w:val="single" w:sz="6" w:space="8" w:color="0D6EFD"/>
        </w:pBdr>
        <w:spacing w:after="160"/>
        <w:jc w:val="center"/>
      </w:pPr>
      <w:r>
        <w:rPr>
          <w:rFonts w:ascii="Calibri" w:eastAsia="Calibri" w:hAnsi="Calibri" w:cs="Calibri"/>
          <w:i/>
          <w:iCs/>
          <w:color w:val="0B1324"/>
          <w:sz w:val="24"/>
          <w:szCs w:val="24"/>
        </w:rPr>
        <w:t>Workshop — AI Governance, Configuration Assistant &amp; Forecasting; Guest Website UX Review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490424" w14:paraId="292B8638"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958A90F" w14:textId="77777777" w:rsidR="00490424" w:rsidRDefault="00CC6E8F">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495A67CF" w14:textId="77777777" w:rsidR="00490424" w:rsidRDefault="00CC6E8F">
            <w:r>
              <w:rPr>
                <w:rFonts w:ascii="Calibri" w:eastAsia="Calibri" w:hAnsi="Calibri" w:cs="Calibri"/>
                <w:sz w:val="24"/>
                <w:szCs w:val="24"/>
              </w:rPr>
              <w:t>18-September-2026</w:t>
            </w:r>
          </w:p>
        </w:tc>
        <w:tc>
          <w:tcPr>
            <w:tcW w:w="1700" w:type="dxa"/>
            <w:shd w:val="clear" w:color="auto" w:fill="E7EEFB"/>
            <w:tcMar>
              <w:top w:w="80" w:type="dxa"/>
              <w:left w:w="120" w:type="dxa"/>
              <w:bottom w:w="80" w:type="dxa"/>
              <w:right w:w="120" w:type="dxa"/>
            </w:tcMar>
            <w:vAlign w:val="center"/>
          </w:tcPr>
          <w:p w14:paraId="2C4D555B" w14:textId="77777777" w:rsidR="00490424" w:rsidRDefault="00CC6E8F">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2DD03FC7" w14:textId="77777777" w:rsidR="00490424" w:rsidRDefault="00CC6E8F">
            <w:r>
              <w:rPr>
                <w:rFonts w:ascii="Calibri" w:eastAsia="Calibri" w:hAnsi="Calibri" w:cs="Calibri"/>
                <w:sz w:val="24"/>
                <w:szCs w:val="24"/>
              </w:rPr>
              <w:t>TICVAI</w:t>
            </w:r>
          </w:p>
        </w:tc>
      </w:tr>
      <w:tr w:rsidR="00490424" w14:paraId="3B5F559E"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5C8CC6B" w14:textId="77777777" w:rsidR="00490424" w:rsidRDefault="00CC6E8F">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0356CF96" w14:textId="77777777" w:rsidR="00490424" w:rsidRDefault="00CC6E8F">
            <w:r>
              <w:rPr>
                <w:rFonts w:ascii="Calibri" w:eastAsia="Calibri" w:hAnsi="Calibri" w:cs="Calibri"/>
                <w:sz w:val="24"/>
                <w:szCs w:val="24"/>
              </w:rPr>
              <w:t>Product Workshop — AI Governance, Configuration Assistant &amp; Forecasting; Guest Website UX Review</w:t>
            </w:r>
          </w:p>
        </w:tc>
        <w:tc>
          <w:tcPr>
            <w:tcW w:w="1700" w:type="dxa"/>
            <w:shd w:val="clear" w:color="auto" w:fill="E7EEFB"/>
            <w:tcMar>
              <w:top w:w="80" w:type="dxa"/>
              <w:left w:w="120" w:type="dxa"/>
              <w:bottom w:w="80" w:type="dxa"/>
              <w:right w:w="120" w:type="dxa"/>
            </w:tcMar>
            <w:vAlign w:val="center"/>
          </w:tcPr>
          <w:p w14:paraId="34664F23" w14:textId="77777777" w:rsidR="00490424" w:rsidRDefault="00CC6E8F">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53F6BA8B" w14:textId="77777777" w:rsidR="00490424" w:rsidRDefault="00CC6E8F">
            <w:r>
              <w:rPr>
                <w:rFonts w:ascii="Calibri" w:eastAsia="Calibri" w:hAnsi="Calibri" w:cs="Calibri"/>
                <w:sz w:val="24"/>
                <w:szCs w:val="24"/>
              </w:rPr>
              <w:t>Chitrangi Mestry</w:t>
            </w:r>
          </w:p>
        </w:tc>
      </w:tr>
    </w:tbl>
    <w:p w14:paraId="5364502F" w14:textId="77777777" w:rsidR="00490424" w:rsidRDefault="00490424">
      <w:pPr>
        <w:spacing w:after="160"/>
      </w:pPr>
    </w:p>
    <w:p w14:paraId="4A650758" w14:textId="77777777" w:rsidR="00490424" w:rsidRDefault="00CC6E8F">
      <w:pPr>
        <w:spacing w:before="180" w:after="100"/>
      </w:pPr>
      <w:r>
        <w:rPr>
          <w:rFonts w:ascii="Calibri" w:eastAsia="Calibri" w:hAnsi="Calibri" w:cs="Calibri"/>
          <w:b/>
          <w:bCs/>
          <w:color w:val="215E99"/>
          <w:sz w:val="32"/>
          <w:szCs w:val="32"/>
        </w:rPr>
        <w:t>Primary Objective</w:t>
      </w:r>
    </w:p>
    <w:p w14:paraId="20D7A6DE" w14:textId="77777777" w:rsidR="00490424" w:rsidRDefault="00CC6E8F">
      <w:pPr>
        <w:spacing w:after="120"/>
      </w:pPr>
      <w:r>
        <w:rPr>
          <w:rFonts w:ascii="Calibri" w:eastAsia="Calibri" w:hAnsi="Calibri" w:cs="Calibri"/>
          <w:color w:val="000000"/>
          <w:sz w:val="24"/>
          <w:szCs w:val="24"/>
        </w:rPr>
        <w:t>To cover three of the platform's AI topics — AI governance and policy management, the AI configuration assistant, and AI-driven forecasting — with remaining AI topics (personalization, core AI platform, fraud/risk intelligence) deferred to Monday, followed by an extended, live feedback session on Chinmay's guest website prototype covering page structure, layout flexibility, and booking flows.</w:t>
      </w:r>
    </w:p>
    <w:p w14:paraId="0C295BB5" w14:textId="77777777" w:rsidR="00490424" w:rsidRDefault="00CC6E8F">
      <w:pPr>
        <w:spacing w:before="180" w:after="100"/>
      </w:pPr>
      <w:r>
        <w:rPr>
          <w:rFonts w:ascii="Calibri" w:eastAsia="Calibri" w:hAnsi="Calibri" w:cs="Calibri"/>
          <w:b/>
          <w:bCs/>
          <w:color w:val="215E99"/>
          <w:sz w:val="32"/>
          <w:szCs w:val="32"/>
        </w:rPr>
        <w:t>Participants</w:t>
      </w:r>
    </w:p>
    <w:p w14:paraId="29AFE60D" w14:textId="6AAA782A" w:rsidR="00490424" w:rsidRDefault="00CC6E8F">
      <w:pPr>
        <w:pStyle w:val="ListParagraph"/>
        <w:numPr>
          <w:ilvl w:val="0"/>
          <w:numId w:val="2"/>
        </w:numPr>
        <w:spacing w:after="70"/>
      </w:pPr>
      <w:r>
        <w:rPr>
          <w:rFonts w:ascii="Calibri" w:eastAsia="Calibri" w:hAnsi="Calibri" w:cs="Calibri"/>
          <w:sz w:val="24"/>
          <w:szCs w:val="24"/>
        </w:rPr>
        <w:t xml:space="preserve">TICVAI Team </w:t>
      </w:r>
    </w:p>
    <w:p w14:paraId="5C195C82" w14:textId="234A0B91" w:rsidR="00490424" w:rsidRDefault="00CC6E8F">
      <w:pPr>
        <w:pStyle w:val="ListParagraph"/>
        <w:numPr>
          <w:ilvl w:val="0"/>
          <w:numId w:val="2"/>
        </w:numPr>
        <w:spacing w:after="70"/>
      </w:pPr>
      <w:r>
        <w:rPr>
          <w:rFonts w:ascii="Calibri" w:eastAsia="Calibri" w:hAnsi="Calibri" w:cs="Calibri"/>
          <w:sz w:val="24"/>
          <w:szCs w:val="24"/>
        </w:rPr>
        <w:t xml:space="preserve">Softlabs Team </w:t>
      </w:r>
    </w:p>
    <w:p w14:paraId="53FED49F" w14:textId="77777777" w:rsidR="00490424" w:rsidRDefault="00CC6E8F">
      <w:pPr>
        <w:spacing w:before="180" w:after="100"/>
      </w:pPr>
      <w:r>
        <w:rPr>
          <w:rFonts w:ascii="Calibri" w:eastAsia="Calibri" w:hAnsi="Calibri" w:cs="Calibri"/>
          <w:b/>
          <w:bCs/>
          <w:color w:val="215E99"/>
          <w:sz w:val="32"/>
          <w:szCs w:val="32"/>
        </w:rPr>
        <w:t>Agenda</w:t>
      </w:r>
    </w:p>
    <w:p w14:paraId="722FB917" w14:textId="77777777" w:rsidR="00490424" w:rsidRDefault="00CC6E8F">
      <w:pPr>
        <w:pStyle w:val="ListParagraph"/>
        <w:numPr>
          <w:ilvl w:val="0"/>
          <w:numId w:val="2"/>
        </w:numPr>
        <w:spacing w:after="70"/>
      </w:pPr>
      <w:r>
        <w:rPr>
          <w:rFonts w:ascii="Calibri" w:eastAsia="Calibri" w:hAnsi="Calibri" w:cs="Calibri"/>
          <w:sz w:val="24"/>
          <w:szCs w:val="24"/>
        </w:rPr>
        <w:t>AI governance — capability registration, risk and autonomy configuration</w:t>
      </w:r>
    </w:p>
    <w:p w14:paraId="2BDCA5B0" w14:textId="77777777" w:rsidR="00490424" w:rsidRDefault="00CC6E8F">
      <w:pPr>
        <w:pStyle w:val="ListParagraph"/>
        <w:numPr>
          <w:ilvl w:val="0"/>
          <w:numId w:val="2"/>
        </w:numPr>
        <w:spacing w:after="70"/>
      </w:pPr>
      <w:r>
        <w:rPr>
          <w:rFonts w:ascii="Calibri" w:eastAsia="Calibri" w:hAnsi="Calibri" w:cs="Calibri"/>
          <w:sz w:val="24"/>
          <w:szCs w:val="24"/>
        </w:rPr>
        <w:t>AI governance — approval, human oversight and intervention</w:t>
      </w:r>
    </w:p>
    <w:p w14:paraId="4ACD0E01" w14:textId="77777777" w:rsidR="00490424" w:rsidRDefault="00CC6E8F">
      <w:pPr>
        <w:pStyle w:val="ListParagraph"/>
        <w:numPr>
          <w:ilvl w:val="0"/>
          <w:numId w:val="2"/>
        </w:numPr>
        <w:spacing w:after="70"/>
      </w:pPr>
      <w:r>
        <w:rPr>
          <w:rFonts w:ascii="Calibri" w:eastAsia="Calibri" w:hAnsi="Calibri" w:cs="Calibri"/>
          <w:sz w:val="24"/>
          <w:szCs w:val="24"/>
        </w:rPr>
        <w:t>AI governance — explainability, decision trace and audit</w:t>
      </w:r>
    </w:p>
    <w:p w14:paraId="379F17A0" w14:textId="77777777" w:rsidR="00490424" w:rsidRDefault="00CC6E8F">
      <w:pPr>
        <w:pStyle w:val="ListParagraph"/>
        <w:numPr>
          <w:ilvl w:val="0"/>
          <w:numId w:val="2"/>
        </w:numPr>
        <w:spacing w:after="70"/>
      </w:pPr>
      <w:r>
        <w:rPr>
          <w:rFonts w:ascii="Calibri" w:eastAsia="Calibri" w:hAnsi="Calibri" w:cs="Calibri"/>
          <w:sz w:val="24"/>
          <w:szCs w:val="24"/>
        </w:rPr>
        <w:t>AI governance — risk, compliance and continuous monitoring</w:t>
      </w:r>
    </w:p>
    <w:p w14:paraId="6D5A381A" w14:textId="77777777" w:rsidR="00490424" w:rsidRDefault="00CC6E8F">
      <w:pPr>
        <w:pStyle w:val="ListParagraph"/>
        <w:numPr>
          <w:ilvl w:val="0"/>
          <w:numId w:val="2"/>
        </w:numPr>
        <w:spacing w:after="70"/>
      </w:pPr>
      <w:r>
        <w:rPr>
          <w:rFonts w:ascii="Calibri" w:eastAsia="Calibri" w:hAnsi="Calibri" w:cs="Calibri"/>
          <w:sz w:val="24"/>
          <w:szCs w:val="24"/>
        </w:rPr>
        <w:t>AI configuration assistant — conversational requirement gathering</w:t>
      </w:r>
    </w:p>
    <w:p w14:paraId="39273BA0" w14:textId="77777777" w:rsidR="00490424" w:rsidRDefault="00CC6E8F">
      <w:pPr>
        <w:pStyle w:val="ListParagraph"/>
        <w:numPr>
          <w:ilvl w:val="0"/>
          <w:numId w:val="2"/>
        </w:numPr>
        <w:spacing w:after="70"/>
      </w:pPr>
      <w:r>
        <w:rPr>
          <w:rFonts w:ascii="Calibri" w:eastAsia="Calibri" w:hAnsi="Calibri" w:cs="Calibri"/>
          <w:sz w:val="24"/>
          <w:szCs w:val="24"/>
        </w:rPr>
        <w:t>AI configuration assistant — configuration builder and validation</w:t>
      </w:r>
    </w:p>
    <w:p w14:paraId="31273E78" w14:textId="77777777" w:rsidR="00490424" w:rsidRDefault="00CC6E8F">
      <w:pPr>
        <w:pStyle w:val="ListParagraph"/>
        <w:numPr>
          <w:ilvl w:val="0"/>
          <w:numId w:val="2"/>
        </w:numPr>
        <w:spacing w:after="70"/>
      </w:pPr>
      <w:r>
        <w:rPr>
          <w:rFonts w:ascii="Calibri" w:eastAsia="Calibri" w:hAnsi="Calibri" w:cs="Calibri"/>
          <w:sz w:val="24"/>
          <w:szCs w:val="24"/>
        </w:rPr>
        <w:t>AI configuration assistant — approval, execution and audit trail</w:t>
      </w:r>
    </w:p>
    <w:p w14:paraId="49945729" w14:textId="77777777" w:rsidR="00490424" w:rsidRDefault="00CC6E8F">
      <w:pPr>
        <w:pStyle w:val="ListParagraph"/>
        <w:numPr>
          <w:ilvl w:val="0"/>
          <w:numId w:val="2"/>
        </w:numPr>
        <w:spacing w:after="70"/>
      </w:pPr>
      <w:r>
        <w:rPr>
          <w:rFonts w:ascii="Calibri" w:eastAsia="Calibri" w:hAnsi="Calibri" w:cs="Calibri"/>
          <w:sz w:val="24"/>
          <w:szCs w:val="24"/>
        </w:rPr>
        <w:t>Guest checkout and profile deduplication — extended discussion</w:t>
      </w:r>
    </w:p>
    <w:p w14:paraId="5AE0AA5E" w14:textId="77777777" w:rsidR="00490424" w:rsidRDefault="00CC6E8F">
      <w:pPr>
        <w:pStyle w:val="ListParagraph"/>
        <w:numPr>
          <w:ilvl w:val="0"/>
          <w:numId w:val="2"/>
        </w:numPr>
        <w:spacing w:after="70"/>
      </w:pPr>
      <w:r>
        <w:rPr>
          <w:rFonts w:ascii="Calibri" w:eastAsia="Calibri" w:hAnsi="Calibri" w:cs="Calibri"/>
          <w:sz w:val="24"/>
          <w:szCs w:val="24"/>
        </w:rPr>
        <w:t>AI forecasting — model strategies and signal configuration</w:t>
      </w:r>
    </w:p>
    <w:p w14:paraId="77F4B641" w14:textId="77777777" w:rsidR="00490424" w:rsidRDefault="00CC6E8F">
      <w:pPr>
        <w:pStyle w:val="ListParagraph"/>
        <w:numPr>
          <w:ilvl w:val="0"/>
          <w:numId w:val="2"/>
        </w:numPr>
        <w:spacing w:after="70"/>
      </w:pPr>
      <w:r>
        <w:rPr>
          <w:rFonts w:ascii="Calibri" w:eastAsia="Calibri" w:hAnsi="Calibri" w:cs="Calibri"/>
          <w:sz w:val="24"/>
          <w:szCs w:val="24"/>
        </w:rPr>
        <w:t>AI forecasting — attendance, demand, revenue and capacity forecasting</w:t>
      </w:r>
    </w:p>
    <w:p w14:paraId="0200E137" w14:textId="77777777" w:rsidR="00490424" w:rsidRDefault="00CC6E8F">
      <w:pPr>
        <w:pStyle w:val="ListParagraph"/>
        <w:numPr>
          <w:ilvl w:val="0"/>
          <w:numId w:val="2"/>
        </w:numPr>
        <w:spacing w:after="70"/>
      </w:pPr>
      <w:r>
        <w:rPr>
          <w:rFonts w:ascii="Calibri" w:eastAsia="Calibri" w:hAnsi="Calibri" w:cs="Calibri"/>
          <w:sz w:val="24"/>
          <w:szCs w:val="24"/>
        </w:rPr>
        <w:t>Guest website UX review — page structure and hero banner flexibility</w:t>
      </w:r>
    </w:p>
    <w:p w14:paraId="76CCA95C" w14:textId="77777777" w:rsidR="00490424" w:rsidRDefault="00CC6E8F">
      <w:pPr>
        <w:pStyle w:val="ListParagraph"/>
        <w:numPr>
          <w:ilvl w:val="0"/>
          <w:numId w:val="2"/>
        </w:numPr>
        <w:spacing w:after="70"/>
      </w:pPr>
      <w:r>
        <w:rPr>
          <w:rFonts w:ascii="Calibri" w:eastAsia="Calibri" w:hAnsi="Calibri" w:cs="Calibri"/>
          <w:sz w:val="24"/>
          <w:szCs w:val="24"/>
        </w:rPr>
        <w:t>Guest website UX review — category display formats and cart interaction patterns</w:t>
      </w:r>
    </w:p>
    <w:p w14:paraId="248A18F9" w14:textId="77777777" w:rsidR="00490424" w:rsidRDefault="00CC6E8F">
      <w:pPr>
        <w:pStyle w:val="ListParagraph"/>
        <w:numPr>
          <w:ilvl w:val="0"/>
          <w:numId w:val="2"/>
        </w:numPr>
        <w:spacing w:after="70"/>
      </w:pPr>
      <w:r>
        <w:rPr>
          <w:rFonts w:ascii="Calibri" w:eastAsia="Calibri" w:hAnsi="Calibri" w:cs="Calibri"/>
          <w:sz w:val="24"/>
          <w:szCs w:val="24"/>
        </w:rPr>
        <w:t>Guest website UX review — ticket type flows and seat map selection</w:t>
      </w:r>
    </w:p>
    <w:p w14:paraId="60ECDE40" w14:textId="77777777" w:rsidR="00490424" w:rsidRDefault="00CC6E8F">
      <w:pPr>
        <w:pStyle w:val="ListParagraph"/>
        <w:numPr>
          <w:ilvl w:val="0"/>
          <w:numId w:val="2"/>
        </w:numPr>
        <w:spacing w:after="70"/>
      </w:pPr>
      <w:r>
        <w:rPr>
          <w:rFonts w:ascii="Calibri" w:eastAsia="Calibri" w:hAnsi="Calibri" w:cs="Calibri"/>
          <w:sz w:val="24"/>
          <w:szCs w:val="24"/>
        </w:rPr>
        <w:t>Guest website UX review — upsell/cross-sell placement and reference sites</w:t>
      </w:r>
    </w:p>
    <w:p w14:paraId="7A171643" w14:textId="77777777" w:rsidR="00490424" w:rsidRDefault="00CC6E8F">
      <w:pPr>
        <w:pStyle w:val="ListParagraph"/>
        <w:numPr>
          <w:ilvl w:val="0"/>
          <w:numId w:val="2"/>
        </w:numPr>
        <w:spacing w:after="70"/>
      </w:pPr>
      <w:r>
        <w:rPr>
          <w:rFonts w:ascii="Calibri" w:eastAsia="Calibri" w:hAnsi="Calibri" w:cs="Calibri"/>
          <w:sz w:val="24"/>
          <w:szCs w:val="24"/>
        </w:rPr>
        <w:t>Planning for Monday's session</w:t>
      </w:r>
    </w:p>
    <w:p w14:paraId="62BE0073" w14:textId="77777777" w:rsidR="00490424" w:rsidRDefault="00CC6E8F">
      <w:pPr>
        <w:spacing w:before="180" w:after="100"/>
      </w:pPr>
      <w:r>
        <w:rPr>
          <w:rFonts w:ascii="Calibri" w:eastAsia="Calibri" w:hAnsi="Calibri" w:cs="Calibri"/>
          <w:b/>
          <w:bCs/>
          <w:color w:val="215E99"/>
          <w:sz w:val="32"/>
          <w:szCs w:val="32"/>
        </w:rPr>
        <w:t>4. Detailed Discussion</w:t>
      </w:r>
    </w:p>
    <w:p w14:paraId="2E241C36" w14:textId="77777777" w:rsidR="00490424" w:rsidRDefault="00CC6E8F">
      <w:pPr>
        <w:spacing w:before="140" w:after="60"/>
      </w:pPr>
      <w:r>
        <w:rPr>
          <w:rFonts w:ascii="Calibri" w:eastAsia="Calibri" w:hAnsi="Calibri" w:cs="Calibri"/>
          <w:b/>
          <w:bCs/>
          <w:color w:val="215E99"/>
          <w:sz w:val="32"/>
          <w:szCs w:val="32"/>
        </w:rPr>
        <w:lastRenderedPageBreak/>
        <w:t>4.1 AI Governance — Capability Registration, Risk &amp; Autonomy Configuration</w:t>
      </w:r>
    </w:p>
    <w:p w14:paraId="3A5B14B1" w14:textId="77777777" w:rsidR="00490424" w:rsidRDefault="00CC6E8F">
      <w:pPr>
        <w:pStyle w:val="ListParagraph"/>
        <w:numPr>
          <w:ilvl w:val="0"/>
          <w:numId w:val="2"/>
        </w:numPr>
        <w:spacing w:after="70"/>
      </w:pPr>
      <w:r>
        <w:rPr>
          <w:rFonts w:ascii="Calibri" w:eastAsia="Calibri" w:hAnsi="Calibri" w:cs="Calibri"/>
          <w:sz w:val="24"/>
          <w:szCs w:val="24"/>
        </w:rPr>
        <w:t>Allam introduced AI governance as the framework defining what AI is allowed to do on the platform — permissions, risk levels, environment restrictions, and exceptions.</w:t>
      </w:r>
    </w:p>
    <w:p w14:paraId="5335924E" w14:textId="77777777" w:rsidR="00490424" w:rsidRDefault="00CC6E8F">
      <w:pPr>
        <w:pStyle w:val="ListParagraph"/>
        <w:numPr>
          <w:ilvl w:val="0"/>
          <w:numId w:val="2"/>
        </w:numPr>
        <w:spacing w:after="70"/>
      </w:pPr>
      <w:r>
        <w:rPr>
          <w:rFonts w:ascii="Calibri" w:eastAsia="Calibri" w:hAnsi="Calibri" w:cs="Calibri"/>
          <w:sz w:val="24"/>
          <w:szCs w:val="24"/>
        </w:rPr>
        <w:t>An AI governance center gives an overview of registered AI capabilities, active policies, blocked actions, and any violations. Capability registration and ownership lists each AI tool the platform will use (e.g., the AI configuration assistant, a recommendation engine, a dynamic pricing engine) and assigns ownership.</w:t>
      </w:r>
    </w:p>
    <w:p w14:paraId="493AA987" w14:textId="77777777" w:rsidR="00490424" w:rsidRDefault="00CC6E8F">
      <w:pPr>
        <w:pStyle w:val="ListParagraph"/>
        <w:numPr>
          <w:ilvl w:val="0"/>
          <w:numId w:val="2"/>
        </w:numPr>
        <w:spacing w:after="70"/>
      </w:pPr>
      <w:r>
        <w:rPr>
          <w:rFonts w:ascii="Calibri" w:eastAsia="Calibri" w:hAnsi="Calibri" w:cs="Calibri"/>
          <w:sz w:val="24"/>
          <w:szCs w:val="24"/>
        </w:rPr>
        <w:t>AI risk calculation and assessment classifies the risk level of a given AI action based on customer, financial, or operational impact — e.g., an AI-generated sales report explanation is low risk, while an AI-suggested price change is high risk.</w:t>
      </w:r>
    </w:p>
    <w:p w14:paraId="6A868F29" w14:textId="77777777" w:rsidR="00490424" w:rsidRDefault="00CC6E8F">
      <w:pPr>
        <w:pStyle w:val="ListParagraph"/>
        <w:numPr>
          <w:ilvl w:val="0"/>
          <w:numId w:val="2"/>
        </w:numPr>
        <w:spacing w:after="70"/>
      </w:pPr>
      <w:r>
        <w:rPr>
          <w:rFonts w:ascii="Calibri" w:eastAsia="Calibri" w:hAnsi="Calibri" w:cs="Calibri"/>
          <w:b/>
          <w:bCs/>
          <w:sz w:val="24"/>
          <w:szCs w:val="24"/>
        </w:rPr>
        <w:t xml:space="preserve">AI autonomy level configuration: </w:t>
      </w:r>
      <w:r>
        <w:rPr>
          <w:rFonts w:ascii="Calibri" w:eastAsia="Calibri" w:hAnsi="Calibri" w:cs="Calibri"/>
          <w:sz w:val="24"/>
          <w:szCs w:val="24"/>
        </w:rPr>
        <w:t>defines where AI can act independently versus where human intervention is required — e.g., AI can prepare a weekend price increase, but a human must approve and publish it; AI does not complete high-impact actions end-to-end on its own.</w:t>
      </w:r>
    </w:p>
    <w:p w14:paraId="472F000B" w14:textId="77777777" w:rsidR="00490424" w:rsidRDefault="00CC6E8F">
      <w:pPr>
        <w:pStyle w:val="ListParagraph"/>
        <w:numPr>
          <w:ilvl w:val="0"/>
          <w:numId w:val="2"/>
        </w:numPr>
        <w:spacing w:after="70"/>
      </w:pPr>
      <w:r>
        <w:rPr>
          <w:rFonts w:ascii="Calibri" w:eastAsia="Calibri" w:hAnsi="Calibri" w:cs="Calibri"/>
          <w:sz w:val="24"/>
          <w:szCs w:val="24"/>
        </w:rPr>
        <w:t>The action/permission policy builder defines detailed read/recommend/prepare/modify/execute rules per capability; the data access and usage policy controls what information a given AI can read, use, or share with external AI providers (e.g., AI can read a customer's purchase history but not their card details).</w:t>
      </w:r>
    </w:p>
    <w:p w14:paraId="71219244" w14:textId="77777777" w:rsidR="00490424" w:rsidRDefault="00CC6E8F">
      <w:pPr>
        <w:pStyle w:val="ListParagraph"/>
        <w:numPr>
          <w:ilvl w:val="0"/>
          <w:numId w:val="2"/>
        </w:numPr>
        <w:spacing w:after="70"/>
      </w:pPr>
      <w:r>
        <w:rPr>
          <w:rFonts w:ascii="Calibri" w:eastAsia="Calibri" w:hAnsi="Calibri" w:cs="Calibri"/>
          <w:sz w:val="24"/>
          <w:szCs w:val="24"/>
        </w:rPr>
        <w:t>Environment and tenant scope rules restrict certain AI actions to specific environments (e.g., price testing allowed in sandbox/staging but not production); policy conflict and exception handling detects contradictions (e.g., an AI-suggested price increase that would exceed a configured maximum) and flags them rather than applying silently.</w:t>
      </w:r>
    </w:p>
    <w:p w14:paraId="2FF5269A" w14:textId="77777777" w:rsidR="00490424" w:rsidRDefault="00CC6E8F">
      <w:pPr>
        <w:pStyle w:val="ListParagraph"/>
        <w:numPr>
          <w:ilvl w:val="0"/>
          <w:numId w:val="2"/>
        </w:numPr>
        <w:spacing w:after="70"/>
      </w:pPr>
      <w:r>
        <w:rPr>
          <w:rFonts w:ascii="Calibri" w:eastAsia="Calibri" w:hAnsi="Calibri" w:cs="Calibri"/>
          <w:sz w:val="24"/>
          <w:szCs w:val="24"/>
        </w:rPr>
        <w:t>AI policy governance and testing validates governance rules before publishing so administrators can preview what would be allowed or blocked; policy publication manages version control and approval history for governance policy changes.</w:t>
      </w:r>
    </w:p>
    <w:p w14:paraId="6AD6AB00" w14:textId="77777777" w:rsidR="00490424" w:rsidRDefault="00CC6E8F">
      <w:pPr>
        <w:spacing w:before="140" w:after="60"/>
      </w:pPr>
      <w:r>
        <w:rPr>
          <w:rFonts w:ascii="Calibri" w:eastAsia="Calibri" w:hAnsi="Calibri" w:cs="Calibri"/>
          <w:b/>
          <w:bCs/>
          <w:color w:val="215E99"/>
          <w:sz w:val="32"/>
          <w:szCs w:val="32"/>
        </w:rPr>
        <w:t>4.2 AI Governance — Approval, Human Oversight &amp; Intervention</w:t>
      </w:r>
    </w:p>
    <w:p w14:paraId="486AFCA9" w14:textId="77777777" w:rsidR="00490424" w:rsidRDefault="00CC6E8F">
      <w:pPr>
        <w:pStyle w:val="ListParagraph"/>
        <w:numPr>
          <w:ilvl w:val="0"/>
          <w:numId w:val="2"/>
        </w:numPr>
        <w:spacing w:after="70"/>
      </w:pPr>
      <w:r>
        <w:rPr>
          <w:rFonts w:ascii="Calibri" w:eastAsia="Calibri" w:hAnsi="Calibri" w:cs="Calibri"/>
          <w:sz w:val="24"/>
          <w:szCs w:val="24"/>
        </w:rPr>
        <w:t>This board defines exactly where human approval, supervision, or intervention is required for an AI-proposed action, with an overview of pending, escalated, and higher-risk approvals awaiting review.</w:t>
      </w:r>
    </w:p>
    <w:p w14:paraId="4B6BBB55" w14:textId="77777777" w:rsidR="00490424" w:rsidRDefault="00CC6E8F">
      <w:pPr>
        <w:pStyle w:val="ListParagraph"/>
        <w:numPr>
          <w:ilvl w:val="0"/>
          <w:numId w:val="2"/>
        </w:numPr>
        <w:spacing w:after="70"/>
      </w:pPr>
      <w:r>
        <w:rPr>
          <w:rFonts w:ascii="Calibri" w:eastAsia="Calibri" w:hAnsi="Calibri" w:cs="Calibri"/>
          <w:sz w:val="24"/>
          <w:szCs w:val="24"/>
        </w:rPr>
        <w:t>Approval requirement and routing configuration defines who must approve a given AI action, in what order, and within what timeframe, based on risk level (e.g., a pricing change routes through the commercial manager, then the venue general manager and commercial director).</w:t>
      </w:r>
    </w:p>
    <w:p w14:paraId="7EFE80D8" w14:textId="77777777" w:rsidR="00490424" w:rsidRDefault="00CC6E8F">
      <w:pPr>
        <w:pStyle w:val="ListParagraph"/>
        <w:numPr>
          <w:ilvl w:val="0"/>
          <w:numId w:val="2"/>
        </w:numPr>
        <w:spacing w:after="70"/>
      </w:pPr>
      <w:r>
        <w:rPr>
          <w:rFonts w:ascii="Calibri" w:eastAsia="Calibri" w:hAnsi="Calibri" w:cs="Calibri"/>
          <w:sz w:val="24"/>
          <w:szCs w:val="24"/>
        </w:rPr>
        <w:t>The AI approval and review workspace gives the approver everything needed to decide — current vs. proposed value, impact, risk, and affected objects (e.g., a proposed weekend price increase shown alongside which channels it publishes to and whether future bookings are affected).</w:t>
      </w:r>
    </w:p>
    <w:p w14:paraId="04A1DDED" w14:textId="77777777" w:rsidR="00490424" w:rsidRDefault="00CC6E8F">
      <w:pPr>
        <w:pStyle w:val="ListParagraph"/>
        <w:numPr>
          <w:ilvl w:val="0"/>
          <w:numId w:val="2"/>
        </w:numPr>
        <w:spacing w:after="70"/>
      </w:pPr>
      <w:r>
        <w:rPr>
          <w:rFonts w:ascii="Calibri" w:eastAsia="Calibri" w:hAnsi="Calibri" w:cs="Calibri"/>
          <w:b/>
          <w:bCs/>
          <w:sz w:val="24"/>
          <w:szCs w:val="24"/>
        </w:rPr>
        <w:t xml:space="preserve">Conditional approval: </w:t>
      </w:r>
      <w:r>
        <w:rPr>
          <w:rFonts w:ascii="Calibri" w:eastAsia="Calibri" w:hAnsi="Calibri" w:cs="Calibri"/>
          <w:sz w:val="24"/>
          <w:szCs w:val="24"/>
        </w:rPr>
        <w:t>allows approval with restrictions rather than a binary approve/reject — e.g., a commercial manager may be authorized to approve price increases only up to a defined ceiling, with anything higher requiring escalation.</w:t>
      </w:r>
    </w:p>
    <w:p w14:paraId="50CB7F86" w14:textId="77777777" w:rsidR="00490424" w:rsidRDefault="00CC6E8F">
      <w:pPr>
        <w:pStyle w:val="ListParagraph"/>
        <w:numPr>
          <w:ilvl w:val="0"/>
          <w:numId w:val="2"/>
        </w:numPr>
        <w:spacing w:after="70"/>
      </w:pPr>
      <w:r>
        <w:rPr>
          <w:rFonts w:ascii="Calibri" w:eastAsia="Calibri" w:hAnsi="Calibri" w:cs="Calibri"/>
          <w:sz w:val="24"/>
          <w:szCs w:val="24"/>
        </w:rPr>
        <w:lastRenderedPageBreak/>
        <w:t>Human review and challenge lets an approver question an AI proposal and request supporting evidence or alternatives before validating it; escalation, delegation, and SLA management ensures approval requests are actioned within policy-defined timeframes.</w:t>
      </w:r>
    </w:p>
    <w:p w14:paraId="29E81AE3" w14:textId="77777777" w:rsidR="00490424" w:rsidRDefault="00CC6E8F">
      <w:pPr>
        <w:pStyle w:val="ListParagraph"/>
        <w:numPr>
          <w:ilvl w:val="0"/>
          <w:numId w:val="2"/>
        </w:numPr>
        <w:spacing w:after="70"/>
      </w:pPr>
      <w:r>
        <w:rPr>
          <w:rFonts w:ascii="Calibri" w:eastAsia="Calibri" w:hAnsi="Calibri" w:cs="Calibri"/>
          <w:sz w:val="24"/>
          <w:szCs w:val="24"/>
        </w:rPr>
        <w:t>Live AI execution oversight lets a user monitor an in-progress AI-driven process step by step (e.g., watching an AI configuration assistant create a venue, then products, then performances); human override and manual control lets an authorized person reject, modify, or replace an AI decision at any point, with a full intervention history and oversight-flow view showing the complete approval journey before production.</w:t>
      </w:r>
    </w:p>
    <w:p w14:paraId="485C3CD3" w14:textId="77777777" w:rsidR="00490424" w:rsidRDefault="00CC6E8F">
      <w:pPr>
        <w:spacing w:before="140" w:after="60"/>
      </w:pPr>
      <w:r>
        <w:rPr>
          <w:rFonts w:ascii="Calibri" w:eastAsia="Calibri" w:hAnsi="Calibri" w:cs="Calibri"/>
          <w:b/>
          <w:bCs/>
          <w:color w:val="215E99"/>
          <w:sz w:val="32"/>
          <w:szCs w:val="32"/>
        </w:rPr>
        <w:t>4.3 AI Governance — Explainability, Decision Trace &amp; Audit</w:t>
      </w:r>
    </w:p>
    <w:p w14:paraId="159633A3" w14:textId="77777777" w:rsidR="00490424" w:rsidRDefault="00CC6E8F">
      <w:pPr>
        <w:pStyle w:val="ListParagraph"/>
        <w:numPr>
          <w:ilvl w:val="0"/>
          <w:numId w:val="2"/>
        </w:numPr>
        <w:spacing w:after="70"/>
      </w:pPr>
      <w:r>
        <w:rPr>
          <w:rFonts w:ascii="Calibri" w:eastAsia="Calibri" w:hAnsi="Calibri" w:cs="Calibri"/>
          <w:sz w:val="24"/>
          <w:szCs w:val="24"/>
        </w:rPr>
        <w:t>This board answers why an AI produced a given result, what data/rules/models were involved, who approved it, and what was ultimately executed — fully searchable by customer, venue, or AI capability via an AI decision explorer.</w:t>
      </w:r>
    </w:p>
    <w:p w14:paraId="3E47A48B" w14:textId="77777777" w:rsidR="00490424" w:rsidRDefault="00CC6E8F">
      <w:pPr>
        <w:pStyle w:val="ListParagraph"/>
        <w:numPr>
          <w:ilvl w:val="0"/>
          <w:numId w:val="2"/>
        </w:numPr>
        <w:spacing w:after="70"/>
      </w:pPr>
      <w:r>
        <w:rPr>
          <w:rFonts w:ascii="Calibri" w:eastAsia="Calibri" w:hAnsi="Calibri" w:cs="Calibri"/>
          <w:sz w:val="24"/>
          <w:szCs w:val="24"/>
        </w:rPr>
        <w:t>An AI decision explanation workspace translates an AI outcome into understandable terms for a specific case (e.g., explaining why AI recommended introducing a fast-pass ticket, based on a pattern of customers upgrading at the counter).</w:t>
      </w:r>
    </w:p>
    <w:p w14:paraId="5D804867" w14:textId="77777777" w:rsidR="00490424" w:rsidRDefault="00CC6E8F">
      <w:pPr>
        <w:pStyle w:val="ListParagraph"/>
        <w:numPr>
          <w:ilvl w:val="0"/>
          <w:numId w:val="2"/>
        </w:numPr>
        <w:spacing w:after="70"/>
      </w:pPr>
      <w:r>
        <w:rPr>
          <w:rFonts w:ascii="Calibri" w:eastAsia="Calibri" w:hAnsi="Calibri" w:cs="Calibri"/>
          <w:sz w:val="24"/>
          <w:szCs w:val="24"/>
        </w:rPr>
        <w:t>Data/feature/evidence provenance shows what information contributed to a decision and where it came from; the candidate rule and decision path view connects an AI recommendation to the governance rule and any human override that changed the outcome (e.g., a manager overriding an AI-suggested price increase due to a configured price ceiling).</w:t>
      </w:r>
    </w:p>
    <w:p w14:paraId="1D668471" w14:textId="77777777" w:rsidR="00490424" w:rsidRDefault="00CC6E8F">
      <w:pPr>
        <w:pStyle w:val="ListParagraph"/>
        <w:numPr>
          <w:ilvl w:val="0"/>
          <w:numId w:val="2"/>
        </w:numPr>
        <w:spacing w:after="70"/>
      </w:pPr>
      <w:r>
        <w:rPr>
          <w:rFonts w:ascii="Calibri" w:eastAsia="Calibri" w:hAnsi="Calibri" w:cs="Calibri"/>
          <w:sz w:val="24"/>
          <w:szCs w:val="24"/>
        </w:rPr>
        <w:t>Model reference tracking records which AI model/provider produced a given outcome; governance-approval status, execution/business-outcome linkage, and a full audit/trace record complete this board — giving end-to-end traceability from AI recommendation through human decision to real-world business impact.</w:t>
      </w:r>
    </w:p>
    <w:p w14:paraId="00F3A18C" w14:textId="77777777" w:rsidR="00490424" w:rsidRDefault="00CC6E8F">
      <w:pPr>
        <w:spacing w:before="140" w:after="60"/>
      </w:pPr>
      <w:r>
        <w:rPr>
          <w:rFonts w:ascii="Calibri" w:eastAsia="Calibri" w:hAnsi="Calibri" w:cs="Calibri"/>
          <w:b/>
          <w:bCs/>
          <w:color w:val="215E99"/>
          <w:sz w:val="32"/>
          <w:szCs w:val="32"/>
        </w:rPr>
        <w:t>4.4 AI Governance — Risk, Compliance &amp; Continuous Monitoring</w:t>
      </w:r>
    </w:p>
    <w:p w14:paraId="1D8917B5" w14:textId="77777777" w:rsidR="00490424" w:rsidRDefault="00CC6E8F">
      <w:pPr>
        <w:pStyle w:val="ListParagraph"/>
        <w:numPr>
          <w:ilvl w:val="0"/>
          <w:numId w:val="2"/>
        </w:numPr>
        <w:spacing w:after="70"/>
      </w:pPr>
      <w:r>
        <w:rPr>
          <w:rFonts w:ascii="Calibri" w:eastAsia="Calibri" w:hAnsi="Calibri" w:cs="Calibri"/>
          <w:sz w:val="24"/>
          <w:szCs w:val="24"/>
        </w:rPr>
        <w:t>This board monitors ongoing AI behavior against policy after actions are published — e.g., checking whether an AI-driven price increase actually benefited revenue or had a negative effect — via an overall governance health dashboard.</w:t>
      </w:r>
    </w:p>
    <w:p w14:paraId="2F5F35CD" w14:textId="77777777" w:rsidR="00490424" w:rsidRDefault="00CC6E8F">
      <w:pPr>
        <w:pStyle w:val="ListParagraph"/>
        <w:numPr>
          <w:ilvl w:val="0"/>
          <w:numId w:val="2"/>
        </w:numPr>
        <w:spacing w:after="70"/>
      </w:pPr>
      <w:r>
        <w:rPr>
          <w:rFonts w:ascii="Calibri" w:eastAsia="Calibri" w:hAnsi="Calibri" w:cs="Calibri"/>
          <w:sz w:val="24"/>
          <w:szCs w:val="24"/>
        </w:rPr>
        <w:t>An AI risk register centrally tracks identified risks and ownership; a governance control library defines and verifies whether configured controls are actually functioning; policy violation monitoring detects AI activity breaching governance rules (e.g., a price change exceeding a configured maximum).</w:t>
      </w:r>
    </w:p>
    <w:p w14:paraId="729FBD8B" w14:textId="77777777" w:rsidR="00490424" w:rsidRDefault="00CC6E8F">
      <w:pPr>
        <w:pStyle w:val="ListParagraph"/>
        <w:numPr>
          <w:ilvl w:val="0"/>
          <w:numId w:val="2"/>
        </w:numPr>
        <w:spacing w:after="70"/>
      </w:pPr>
      <w:r>
        <w:rPr>
          <w:rFonts w:ascii="Calibri" w:eastAsia="Calibri" w:hAnsi="Calibri" w:cs="Calibri"/>
          <w:sz w:val="24"/>
          <w:szCs w:val="24"/>
        </w:rPr>
        <w:t>AI data privacy monitoring confirms AI only uses permitted information; AI quality/behavior drift monitoring detects significant shifts in AI recommendations that could materially affect the business; incident and remediation management, plus a governance review process, round out this board.</w:t>
      </w:r>
    </w:p>
    <w:p w14:paraId="75376B4D" w14:textId="77777777" w:rsidR="00490424" w:rsidRDefault="00CC6E8F">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noted these AI governance/monitoring boards closely resemble similar dashboards seen across other modules, and asked whether AI monitoring should live in a single centralized AI command dashboard or be distributed as widgets within each relevant functional module's own dashboard.</w:t>
      </w:r>
    </w:p>
    <w:p w14:paraId="6A1C5D7C" w14:textId="77777777" w:rsidR="00490424" w:rsidRDefault="00CC6E8F">
      <w:pPr>
        <w:pStyle w:val="ListParagraph"/>
        <w:numPr>
          <w:ilvl w:val="0"/>
          <w:numId w:val="2"/>
        </w:numPr>
        <w:spacing w:after="70"/>
      </w:pPr>
      <w:r>
        <w:rPr>
          <w:rFonts w:ascii="Calibri" w:eastAsia="Calibri" w:hAnsi="Calibri" w:cs="Calibri"/>
          <w:b/>
          <w:bCs/>
          <w:sz w:val="24"/>
          <w:szCs w:val="24"/>
        </w:rPr>
        <w:lastRenderedPageBreak/>
        <w:t xml:space="preserve">Response (Allam): </w:t>
      </w:r>
      <w:r>
        <w:rPr>
          <w:rFonts w:ascii="Calibri" w:eastAsia="Calibri" w:hAnsi="Calibri" w:cs="Calibri"/>
          <w:sz w:val="24"/>
          <w:szCs w:val="24"/>
        </w:rPr>
        <w:t>confirmed this is Softlabs' call to make — the current proposal is illustrative, and Chinmay's team is welcome to come back with a better-suited structure for the next session.</w:t>
      </w:r>
    </w:p>
    <w:p w14:paraId="5D3B4945" w14:textId="77777777" w:rsidR="00490424" w:rsidRDefault="00CC6E8F">
      <w:pPr>
        <w:spacing w:before="140" w:after="60"/>
      </w:pPr>
      <w:r>
        <w:rPr>
          <w:rFonts w:ascii="Calibri" w:eastAsia="Calibri" w:hAnsi="Calibri" w:cs="Calibri"/>
          <w:b/>
          <w:bCs/>
          <w:color w:val="215E99"/>
          <w:sz w:val="32"/>
          <w:szCs w:val="32"/>
        </w:rPr>
        <w:t>4.5 AI Configuration Assistant — Conversational Requirement Gathering</w:t>
      </w:r>
    </w:p>
    <w:p w14:paraId="4676B322" w14:textId="77777777" w:rsidR="00490424" w:rsidRDefault="00CC6E8F">
      <w:pPr>
        <w:pStyle w:val="ListParagraph"/>
        <w:numPr>
          <w:ilvl w:val="0"/>
          <w:numId w:val="2"/>
        </w:numPr>
        <w:spacing w:after="70"/>
      </w:pPr>
      <w:r>
        <w:rPr>
          <w:rFonts w:ascii="Calibri" w:eastAsia="Calibri" w:hAnsi="Calibri" w:cs="Calibri"/>
          <w:sz w:val="24"/>
          <w:szCs w:val="24"/>
        </w:rPr>
        <w:t>The AI configuration assistant helps administrators (or newly onboarded clients) build configuration — from creating a venue through to defining products, pricing, and publishing to sales channels — through a conversational, iterative interaction.</w:t>
      </w:r>
    </w:p>
    <w:p w14:paraId="52C2FBBD" w14:textId="77777777" w:rsidR="00490424" w:rsidRDefault="00CC6E8F">
      <w:pPr>
        <w:pStyle w:val="ListParagraph"/>
        <w:numPr>
          <w:ilvl w:val="0"/>
          <w:numId w:val="2"/>
        </w:numPr>
        <w:spacing w:after="70"/>
      </w:pPr>
      <w:r>
        <w:rPr>
          <w:rFonts w:ascii="Calibri" w:eastAsia="Calibri" w:hAnsi="Calibri" w:cs="Calibri"/>
          <w:sz w:val="24"/>
          <w:szCs w:val="24"/>
        </w:rPr>
        <w:t>When an admin states a requirement (e.g., “I want to create a product”), the AI asks the relevant follow-up questions (ticket type, validity, date/time requirements, etc.) until it has enough information to propose a configuration, consistent with the iterative, clarifying-question approach agreed for AI-assisted work in an earlier session.</w:t>
      </w:r>
    </w:p>
    <w:p w14:paraId="1D405A14" w14:textId="77777777" w:rsidR="00490424" w:rsidRDefault="00CC6E8F">
      <w:pPr>
        <w:pStyle w:val="ListParagraph"/>
        <w:numPr>
          <w:ilvl w:val="0"/>
          <w:numId w:val="2"/>
        </w:numPr>
        <w:spacing w:after="70"/>
      </w:pPr>
      <w:r>
        <w:rPr>
          <w:rFonts w:ascii="Calibri" w:eastAsia="Calibri" w:hAnsi="Calibri" w:cs="Calibri"/>
          <w:b/>
          <w:bCs/>
          <w:sz w:val="24"/>
          <w:szCs w:val="24"/>
        </w:rPr>
        <w:t xml:space="preserve">Missing information handling: </w:t>
      </w:r>
      <w:r>
        <w:rPr>
          <w:rFonts w:ascii="Calibri" w:eastAsia="Calibri" w:hAnsi="Calibri" w:cs="Calibri"/>
          <w:sz w:val="24"/>
          <w:szCs w:val="24"/>
        </w:rPr>
        <w:t>if required information (e.g., capacity) is missing, the AI recognizes the gap and asks for it rather than proceeding with an incomplete configuration, before producing a configuration blueprint and dependency map.</w:t>
      </w:r>
    </w:p>
    <w:p w14:paraId="48CC71A1" w14:textId="77777777" w:rsidR="00490424" w:rsidRDefault="00CC6E8F">
      <w:pPr>
        <w:spacing w:before="140" w:after="60"/>
      </w:pPr>
      <w:r>
        <w:rPr>
          <w:rFonts w:ascii="Calibri" w:eastAsia="Calibri" w:hAnsi="Calibri" w:cs="Calibri"/>
          <w:b/>
          <w:bCs/>
          <w:color w:val="215E99"/>
          <w:sz w:val="32"/>
          <w:szCs w:val="32"/>
        </w:rPr>
        <w:t>4.6 AI Configuration Assistant — Configuration Builder &amp; Validation</w:t>
      </w:r>
    </w:p>
    <w:p w14:paraId="66300873" w14:textId="77777777" w:rsidR="00490424" w:rsidRDefault="00CC6E8F">
      <w:pPr>
        <w:pStyle w:val="ListParagraph"/>
        <w:numPr>
          <w:ilvl w:val="0"/>
          <w:numId w:val="2"/>
        </w:numPr>
        <w:spacing w:after="70"/>
      </w:pPr>
      <w:r>
        <w:rPr>
          <w:rFonts w:ascii="Calibri" w:eastAsia="Calibri" w:hAnsi="Calibri" w:cs="Calibri"/>
          <w:sz w:val="24"/>
          <w:szCs w:val="24"/>
        </w:rPr>
        <w:t>Once requirements are gathered, this board builds and validates the actual configuration — checking dependencies (e.g., ensuring pricing is defined for a channel before publishing a product to it) across product setup, scheduling/capacity, pricing/commercial configuration, and promotion/bundle setup.</w:t>
      </w:r>
    </w:p>
    <w:p w14:paraId="5BC1113F" w14:textId="77777777" w:rsidR="00490424" w:rsidRDefault="00CC6E8F">
      <w:pPr>
        <w:spacing w:before="140" w:after="60"/>
      </w:pPr>
      <w:r>
        <w:rPr>
          <w:rFonts w:ascii="Calibri" w:eastAsia="Calibri" w:hAnsi="Calibri" w:cs="Calibri"/>
          <w:b/>
          <w:bCs/>
          <w:color w:val="215E99"/>
          <w:sz w:val="32"/>
          <w:szCs w:val="32"/>
        </w:rPr>
        <w:t>4.7 AI Configuration Assistant — Approval, Execution &amp; Audit Trail</w:t>
      </w:r>
    </w:p>
    <w:p w14:paraId="18BF8631" w14:textId="77777777" w:rsidR="00490424" w:rsidRDefault="00CC6E8F">
      <w:pPr>
        <w:pStyle w:val="ListParagraph"/>
        <w:numPr>
          <w:ilvl w:val="0"/>
          <w:numId w:val="2"/>
        </w:numPr>
        <w:spacing w:after="70"/>
      </w:pPr>
      <w:r>
        <w:rPr>
          <w:rFonts w:ascii="Calibri" w:eastAsia="Calibri" w:hAnsi="Calibri" w:cs="Calibri"/>
          <w:sz w:val="24"/>
          <w:szCs w:val="24"/>
        </w:rPr>
        <w:t>This board manages the approval, publishing, and audit trail of AI-prepared configuration — validating required approvals, publishing once approved, and maintaining full version control (e.g., tracking every price change with who suggested it, who approved it, and when it was published).</w:t>
      </w:r>
    </w:p>
    <w:p w14:paraId="068BB349" w14:textId="77777777" w:rsidR="00490424" w:rsidRDefault="00CC6E8F">
      <w:pPr>
        <w:spacing w:before="140" w:after="60"/>
      </w:pPr>
      <w:r>
        <w:rPr>
          <w:rFonts w:ascii="Calibri" w:eastAsia="Calibri" w:hAnsi="Calibri" w:cs="Calibri"/>
          <w:b/>
          <w:bCs/>
          <w:color w:val="215E99"/>
          <w:sz w:val="32"/>
          <w:szCs w:val="32"/>
        </w:rPr>
        <w:t>4.8 Guest Checkout &amp; Profile Deduplication — Extended Discussion</w:t>
      </w:r>
    </w:p>
    <w:p w14:paraId="3869B4D0" w14:textId="77777777" w:rsidR="00490424" w:rsidRDefault="00CC6E8F">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for direction on when guest checkout (no account required) versus mandatory login/registration should apply — for ticket purchases, F&amp;B, retail, and under offline mobile conditions.</w:t>
      </w:r>
    </w:p>
    <w:p w14:paraId="4A4A595E" w14:textId="77777777" w:rsidR="00490424" w:rsidRDefault="00CC6E8F">
      <w:pPr>
        <w:pStyle w:val="ListParagraph"/>
        <w:numPr>
          <w:ilvl w:val="0"/>
          <w:numId w:val="2"/>
        </w:numPr>
        <w:spacing w:after="70"/>
      </w:pPr>
      <w:r>
        <w:rPr>
          <w:rFonts w:ascii="Calibri" w:eastAsia="Calibri" w:hAnsi="Calibri" w:cs="Calibri"/>
          <w:b/>
          <w:bCs/>
          <w:sz w:val="24"/>
          <w:szCs w:val="24"/>
        </w:rPr>
        <w:t xml:space="preserve">Clarified (Allam): </w:t>
      </w:r>
      <w:r>
        <w:rPr>
          <w:rFonts w:ascii="Calibri" w:eastAsia="Calibri" w:hAnsi="Calibri" w:cs="Calibri"/>
          <w:sz w:val="24"/>
          <w:szCs w:val="24"/>
        </w:rPr>
        <w:t>confirmed this is business-configurable per venue — typically presented as guest checkout, registered checkout (login or create account), or single sign-on, with many businesses offering multiple options together. Guest checkout still captures minimum information (name, mobile number, email) and creates a backend profile, but without login credentials — so a returning guest checking out as a guest again must re-enter their details each time.</w:t>
      </w:r>
    </w:p>
    <w:p w14:paraId="215341C5" w14:textId="77777777" w:rsidR="00490424" w:rsidRDefault="00CC6E8F">
      <w:pPr>
        <w:pStyle w:val="ListParagraph"/>
        <w:numPr>
          <w:ilvl w:val="0"/>
          <w:numId w:val="2"/>
        </w:numPr>
        <w:spacing w:after="70"/>
      </w:pPr>
      <w:r>
        <w:rPr>
          <w:rFonts w:ascii="Calibri" w:eastAsia="Calibri" w:hAnsi="Calibri" w:cs="Calibri"/>
          <w:b/>
          <w:bCs/>
          <w:sz w:val="24"/>
          <w:szCs w:val="24"/>
        </w:rPr>
        <w:t xml:space="preserve">Raised (Qossai) — marketing consent nuance: </w:t>
      </w:r>
      <w:r>
        <w:rPr>
          <w:rFonts w:ascii="Calibri" w:eastAsia="Calibri" w:hAnsi="Calibri" w:cs="Calibri"/>
          <w:sz w:val="24"/>
          <w:szCs w:val="24"/>
        </w:rPr>
        <w:t>noted that a guest-checkout customer may not have explicitly opted into marketing communications the way a registered customer accepting full terms has, though he was not aware of a confirmed client precedent either way — flagged as worth considering rather than resolved today.</w:t>
      </w:r>
    </w:p>
    <w:p w14:paraId="120ED525" w14:textId="77777777" w:rsidR="00490424" w:rsidRDefault="00CC6E8F">
      <w:pPr>
        <w:pStyle w:val="ListParagraph"/>
        <w:numPr>
          <w:ilvl w:val="0"/>
          <w:numId w:val="2"/>
        </w:numPr>
        <w:spacing w:after="70"/>
      </w:pPr>
      <w:r>
        <w:rPr>
          <w:rFonts w:ascii="Calibri" w:eastAsia="Calibri" w:hAnsi="Calibri" w:cs="Calibri"/>
          <w:b/>
          <w:bCs/>
          <w:sz w:val="24"/>
          <w:szCs w:val="24"/>
        </w:rPr>
        <w:lastRenderedPageBreak/>
        <w:t xml:space="preserve">Key requirement (Allam) — profile deduplication: </w:t>
      </w:r>
      <w:r>
        <w:rPr>
          <w:rFonts w:ascii="Calibri" w:eastAsia="Calibri" w:hAnsi="Calibri" w:cs="Calibri"/>
          <w:sz w:val="24"/>
          <w:szCs w:val="24"/>
        </w:rPr>
        <w:t>a returning guest using the same unique identifier (ideally email address, alternatively phone number) across multiple guest checkouts must be recognized as the same customer and consolidated into a single backend profile, rather than creating a new profile per transaction — essential for accurate customer sales history. He cited a real limitation in a current system where 10 transactions under the same name/email created 10 separate profiles, requiring a manual profile-merge process to consolidate afterwar</w:t>
      </w:r>
      <w:r>
        <w:rPr>
          <w:rFonts w:ascii="Calibri" w:eastAsia="Calibri" w:hAnsi="Calibri" w:cs="Calibri"/>
          <w:sz w:val="24"/>
          <w:szCs w:val="24"/>
        </w:rPr>
        <w:t>d, which is a workaround rather than the desired default behavior.</w:t>
      </w:r>
    </w:p>
    <w:p w14:paraId="5E13B738" w14:textId="77777777" w:rsidR="00490424" w:rsidRDefault="00CC6E8F">
      <w:pPr>
        <w:pStyle w:val="ListParagraph"/>
        <w:numPr>
          <w:ilvl w:val="0"/>
          <w:numId w:val="2"/>
        </w:numPr>
        <w:spacing w:after="70"/>
      </w:pPr>
      <w:r>
        <w:rPr>
          <w:rFonts w:ascii="Calibri" w:eastAsia="Calibri" w:hAnsi="Calibri" w:cs="Calibri"/>
          <w:b/>
          <w:bCs/>
          <w:sz w:val="24"/>
          <w:szCs w:val="24"/>
        </w:rPr>
        <w:t xml:space="preserve">Acknowledged (Chinmay): </w:t>
      </w:r>
      <w:r>
        <w:rPr>
          <w:rFonts w:ascii="Calibri" w:eastAsia="Calibri" w:hAnsi="Calibri" w:cs="Calibri"/>
          <w:sz w:val="24"/>
          <w:szCs w:val="24"/>
        </w:rPr>
        <w:t>agreed a persistent backend profile must be maintained even for guests who never formally register, and noted browser-level identifiers (cookies) could supplement this, though a durable backend identifier (email or phone) remains necessary.</w:t>
      </w:r>
    </w:p>
    <w:p w14:paraId="3568C3D3" w14:textId="77777777" w:rsidR="00490424" w:rsidRDefault="00CC6E8F">
      <w:pPr>
        <w:pStyle w:val="ListParagraph"/>
        <w:numPr>
          <w:ilvl w:val="0"/>
          <w:numId w:val="2"/>
        </w:numPr>
        <w:spacing w:after="70"/>
      </w:pPr>
      <w:r>
        <w:rPr>
          <w:rFonts w:ascii="Calibri" w:eastAsia="Calibri" w:hAnsi="Calibri" w:cs="Calibri"/>
          <w:sz w:val="24"/>
          <w:szCs w:val="24"/>
        </w:rPr>
        <w:t>A manual merge-customer-profile capability remains available as a fallback for edge cases (e.g., slightly different name spelling under the same email) where automatic deduplication doesn't fully resolve the match.</w:t>
      </w:r>
    </w:p>
    <w:p w14:paraId="0F2D3F63" w14:textId="77777777" w:rsidR="00490424" w:rsidRDefault="00CC6E8F">
      <w:pPr>
        <w:spacing w:before="140" w:after="60"/>
      </w:pPr>
      <w:r>
        <w:rPr>
          <w:rFonts w:ascii="Calibri" w:eastAsia="Calibri" w:hAnsi="Calibri" w:cs="Calibri"/>
          <w:b/>
          <w:bCs/>
          <w:color w:val="215E99"/>
          <w:sz w:val="32"/>
          <w:szCs w:val="32"/>
        </w:rPr>
        <w:t>4.9 AI Forecasting — Model Strategies &amp; Signal Configuration</w:t>
      </w:r>
    </w:p>
    <w:p w14:paraId="55E56240" w14:textId="77777777" w:rsidR="00490424" w:rsidRDefault="00CC6E8F">
      <w:pPr>
        <w:pStyle w:val="ListParagraph"/>
        <w:numPr>
          <w:ilvl w:val="0"/>
          <w:numId w:val="2"/>
        </w:numPr>
        <w:spacing w:after="70"/>
      </w:pPr>
      <w:r>
        <w:rPr>
          <w:rFonts w:ascii="Calibri" w:eastAsia="Calibri" w:hAnsi="Calibri" w:cs="Calibri"/>
          <w:sz w:val="24"/>
          <w:szCs w:val="24"/>
        </w:rPr>
        <w:t>Forecasting supports multiple model strategies: statistical (based on historical patterns, e.g., recognizing September as historically a low or high season), machine learning (learning from configured pricing rules and historical outcomes), and AI/ML-ensemble or rules-based approaches.</w:t>
      </w:r>
    </w:p>
    <w:p w14:paraId="5BF70E4F" w14:textId="77777777" w:rsidR="00490424" w:rsidRDefault="00CC6E8F">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noted forecasting should account for seasonal patterns (e.g., summer being a difficult period for outdoor water park attendance in Dubai) and festivities, feeding into pricing/promotional decisions — e.g., increasing promotional activity ahead of an expected low-turnout period, or raising prices ahead of an expected high-turnout period, informed by confidence ranges and current booking pace.</w:t>
      </w:r>
    </w:p>
    <w:p w14:paraId="2FECDD78" w14:textId="77777777" w:rsidR="00490424" w:rsidRDefault="00CC6E8F">
      <w:pPr>
        <w:pStyle w:val="ListParagraph"/>
        <w:numPr>
          <w:ilvl w:val="0"/>
          <w:numId w:val="2"/>
        </w:numPr>
        <w:spacing w:after="70"/>
      </w:pPr>
      <w:r>
        <w:rPr>
          <w:rFonts w:ascii="Calibri" w:eastAsia="Calibri" w:hAnsi="Calibri" w:cs="Calibri"/>
          <w:b/>
          <w:bCs/>
          <w:sz w:val="24"/>
          <w:szCs w:val="24"/>
        </w:rPr>
        <w:t xml:space="preserve">Added (Allam): </w:t>
      </w:r>
      <w:r>
        <w:rPr>
          <w:rFonts w:ascii="Calibri" w:eastAsia="Calibri" w:hAnsi="Calibri" w:cs="Calibri"/>
          <w:sz w:val="24"/>
          <w:szCs w:val="24"/>
        </w:rPr>
        <w:t>weather-based forecasting should also factor in — e.g., anticipating lower attendance ahead of forecasted rain, combined with historical sales patterns.</w:t>
      </w:r>
    </w:p>
    <w:p w14:paraId="2CF9063C" w14:textId="77777777" w:rsidR="00490424" w:rsidRDefault="00CC6E8F">
      <w:pPr>
        <w:pStyle w:val="ListParagraph"/>
        <w:numPr>
          <w:ilvl w:val="0"/>
          <w:numId w:val="2"/>
        </w:numPr>
        <w:spacing w:after="70"/>
      </w:pPr>
      <w:r>
        <w:rPr>
          <w:rFonts w:ascii="Calibri" w:eastAsia="Calibri" w:hAnsi="Calibri" w:cs="Calibri"/>
          <w:b/>
          <w:bCs/>
          <w:sz w:val="24"/>
          <w:szCs w:val="24"/>
        </w:rPr>
        <w:t xml:space="preserve">Forecast data and signal configuration: </w:t>
      </w:r>
      <w:r>
        <w:rPr>
          <w:rFonts w:ascii="Calibri" w:eastAsia="Calibri" w:hAnsi="Calibri" w:cs="Calibri"/>
          <w:sz w:val="24"/>
          <w:szCs w:val="24"/>
        </w:rPr>
        <w:t>defines which data sources and coverage periods the AI is allowed to use — e.g., historical sales data covering the last 36 months, real-time current bookings, and attendance history over the same period.</w:t>
      </w:r>
    </w:p>
    <w:p w14:paraId="6870E3C4" w14:textId="77777777" w:rsidR="00490424" w:rsidRDefault="00CC6E8F">
      <w:pPr>
        <w:spacing w:before="140" w:after="60"/>
      </w:pPr>
      <w:r>
        <w:rPr>
          <w:rFonts w:ascii="Calibri" w:eastAsia="Calibri" w:hAnsi="Calibri" w:cs="Calibri"/>
          <w:b/>
          <w:bCs/>
          <w:color w:val="215E99"/>
          <w:sz w:val="32"/>
          <w:szCs w:val="32"/>
        </w:rPr>
        <w:t>4.10 AI Forecasting — Attendance, Demand, Revenue &amp; Capacity Forecasting</w:t>
      </w:r>
    </w:p>
    <w:p w14:paraId="4DDECA57" w14:textId="77777777" w:rsidR="00490424" w:rsidRDefault="00CC6E8F">
      <w:pPr>
        <w:pStyle w:val="ListParagraph"/>
        <w:numPr>
          <w:ilvl w:val="0"/>
          <w:numId w:val="2"/>
        </w:numPr>
        <w:spacing w:after="70"/>
      </w:pPr>
      <w:r>
        <w:rPr>
          <w:rFonts w:ascii="Calibri" w:eastAsia="Calibri" w:hAnsi="Calibri" w:cs="Calibri"/>
          <w:sz w:val="24"/>
          <w:szCs w:val="24"/>
        </w:rPr>
        <w:t>Attendance and visitor forecasting projects expected visitor volume; ticket/product and time-slot demand forecasting shows current sales pace, forecast, and remaining opportunity, broken down by sales channel; revenue and commercial forecasting projects expected revenue, with forecast drivers and confidence levels shown alongside.</w:t>
      </w:r>
    </w:p>
    <w:p w14:paraId="77055A46" w14:textId="77777777" w:rsidR="00490424" w:rsidRDefault="00CC6E8F">
      <w:pPr>
        <w:pStyle w:val="ListParagraph"/>
        <w:numPr>
          <w:ilvl w:val="0"/>
          <w:numId w:val="2"/>
        </w:numPr>
        <w:spacing w:after="70"/>
      </w:pPr>
      <w:r>
        <w:rPr>
          <w:rFonts w:ascii="Calibri" w:eastAsia="Calibri" w:hAnsi="Calibri" w:cs="Calibri"/>
          <w:b/>
          <w:bCs/>
          <w:sz w:val="24"/>
          <w:szCs w:val="24"/>
        </w:rPr>
        <w:t xml:space="preserve">Forecast simulator: </w:t>
      </w:r>
      <w:r>
        <w:rPr>
          <w:rFonts w:ascii="Calibri" w:eastAsia="Calibri" w:hAnsi="Calibri" w:cs="Calibri"/>
          <w:sz w:val="24"/>
          <w:szCs w:val="24"/>
        </w:rPr>
        <w:t>lets the business model the impact of a hypothetical change before making it — e.g., the effect of a 10% price decrease, or reduced operating hours — on projected demand and revenue.</w:t>
      </w:r>
    </w:p>
    <w:p w14:paraId="23651423" w14:textId="77777777" w:rsidR="00490424" w:rsidRDefault="00CC6E8F">
      <w:pPr>
        <w:pStyle w:val="ListParagraph"/>
        <w:numPr>
          <w:ilvl w:val="0"/>
          <w:numId w:val="2"/>
        </w:numPr>
        <w:spacing w:after="70"/>
      </w:pPr>
      <w:r>
        <w:rPr>
          <w:rFonts w:ascii="Calibri" w:eastAsia="Calibri" w:hAnsi="Calibri" w:cs="Calibri"/>
          <w:sz w:val="24"/>
          <w:szCs w:val="24"/>
        </w:rPr>
        <w:t>Capacity forecasting extends this to workforce and park-resource planning — modeling the impact of increasing or decreasing staffing levels on operational capacity.</w:t>
      </w:r>
    </w:p>
    <w:p w14:paraId="77C23AFC" w14:textId="77777777" w:rsidR="00490424" w:rsidRDefault="00CC6E8F">
      <w:pPr>
        <w:spacing w:before="140" w:after="60"/>
      </w:pPr>
      <w:r>
        <w:rPr>
          <w:rFonts w:ascii="Calibri" w:eastAsia="Calibri" w:hAnsi="Calibri" w:cs="Calibri"/>
          <w:b/>
          <w:bCs/>
          <w:color w:val="215E99"/>
          <w:sz w:val="32"/>
          <w:szCs w:val="32"/>
        </w:rPr>
        <w:lastRenderedPageBreak/>
        <w:t>4.11 Guest Website UX Review — Page Structure &amp; Hero Banner Flexibility</w:t>
      </w:r>
    </w:p>
    <w:p w14:paraId="715DBF31" w14:textId="77777777" w:rsidR="00490424" w:rsidRDefault="00CC6E8F">
      <w:pPr>
        <w:pStyle w:val="ListParagraph"/>
        <w:numPr>
          <w:ilvl w:val="0"/>
          <w:numId w:val="2"/>
        </w:numPr>
        <w:spacing w:after="70"/>
      </w:pPr>
      <w:r>
        <w:rPr>
          <w:rFonts w:ascii="Calibri" w:eastAsia="Calibri" w:hAnsi="Calibri" w:cs="Calibri"/>
          <w:sz w:val="24"/>
          <w:szCs w:val="24"/>
        </w:rPr>
        <w:t>With the day's core AI topics covered, Allam shared detailed feedback on Chinmay's guest website prototype, referencing several real-world ticketing sites for comparison.</w:t>
      </w:r>
    </w:p>
    <w:p w14:paraId="347CBF80" w14:textId="77777777" w:rsidR="00490424" w:rsidRDefault="00CC6E8F">
      <w:pPr>
        <w:pStyle w:val="ListParagraph"/>
        <w:numPr>
          <w:ilvl w:val="0"/>
          <w:numId w:val="2"/>
        </w:numPr>
        <w:spacing w:after="70"/>
      </w:pPr>
      <w:r>
        <w:rPr>
          <w:rFonts w:ascii="Calibri" w:eastAsia="Calibri" w:hAnsi="Calibri" w:cs="Calibri"/>
          <w:b/>
          <w:bCs/>
          <w:sz w:val="24"/>
          <w:szCs w:val="24"/>
        </w:rPr>
        <w:t xml:space="preserve">Proposed standard page structure: </w:t>
      </w:r>
      <w:r>
        <w:rPr>
          <w:rFonts w:ascii="Calibri" w:eastAsia="Calibri" w:hAnsi="Calibri" w:cs="Calibri"/>
          <w:sz w:val="24"/>
          <w:szCs w:val="24"/>
        </w:rPr>
        <w:t>header (logo, navigation tabs, language selector, cart, account), a category/tab layer (e.g., day tickets, special offers, memberships, F&amp;B, retail), a progress-bar layer, the product selection and summary area, a help/policy links section, and a footer — intended as a consistent structural template across white-labeled sites.</w:t>
      </w:r>
    </w:p>
    <w:p w14:paraId="30CB5F5A" w14:textId="77777777" w:rsidR="00490424" w:rsidRDefault="00CC6E8F">
      <w:pPr>
        <w:pStyle w:val="ListParagraph"/>
        <w:numPr>
          <w:ilvl w:val="0"/>
          <w:numId w:val="2"/>
        </w:numPr>
        <w:spacing w:after="70"/>
      </w:pPr>
      <w:r>
        <w:rPr>
          <w:rFonts w:ascii="Calibri" w:eastAsia="Calibri" w:hAnsi="Calibri" w:cs="Calibri"/>
          <w:b/>
          <w:bCs/>
          <w:sz w:val="24"/>
          <w:szCs w:val="24"/>
        </w:rPr>
        <w:t xml:space="preserve">Hero banner — debated and resolved as optional (Qossai): </w:t>
      </w:r>
      <w:r>
        <w:rPr>
          <w:rFonts w:ascii="Calibri" w:eastAsia="Calibri" w:hAnsi="Calibri" w:cs="Calibri"/>
          <w:sz w:val="24"/>
          <w:szCs w:val="24"/>
        </w:rPr>
        <w:t>Allam initially questioned why a large top-of-page image/banner was needed for a pure ticket-purchase flow. Qossai argued it should remain available as an optional, toggleable layer, since some clients (roughly estimated at 30%) don't have their own separate corporate/marketing website and will use the TICVAI-powered B2C site as their only web presence — for these clients, the hero banner carries essential marketing content (images, video, general venue information) that a client with an existing website wo</w:t>
      </w:r>
      <w:r>
        <w:rPr>
          <w:rFonts w:ascii="Calibri" w:eastAsia="Calibri" w:hAnsi="Calibri" w:cs="Calibri"/>
          <w:sz w:val="24"/>
          <w:szCs w:val="24"/>
        </w:rPr>
        <w:t>uldn't need repeated here.</w:t>
      </w:r>
    </w:p>
    <w:p w14:paraId="0515CEF9" w14:textId="77777777" w:rsidR="00490424" w:rsidRDefault="00CC6E8F">
      <w:pPr>
        <w:pStyle w:val="ListParagraph"/>
        <w:numPr>
          <w:ilvl w:val="0"/>
          <w:numId w:val="2"/>
        </w:numPr>
        <w:spacing w:after="70"/>
      </w:pPr>
      <w:r>
        <w:rPr>
          <w:rFonts w:ascii="Calibri" w:eastAsia="Calibri" w:hAnsi="Calibri" w:cs="Calibri"/>
          <w:b/>
          <w:bCs/>
          <w:sz w:val="24"/>
          <w:szCs w:val="24"/>
        </w:rPr>
        <w:t xml:space="preserve">Agreed (Allam/Chinmay): </w:t>
      </w:r>
      <w:r>
        <w:rPr>
          <w:rFonts w:ascii="Calibri" w:eastAsia="Calibri" w:hAnsi="Calibri" w:cs="Calibri"/>
          <w:sz w:val="24"/>
          <w:szCs w:val="24"/>
        </w:rPr>
        <w:t>the hero banner and related marketing-layer elements (search, video, browse-by-venue) should be part of a configurable white-label builder — a client can turn them on and build a fuller landing-page-style experience, or turn them off for a lean, direct-to-ticket flow, depending on whether they already have their own marketing site.</w:t>
      </w:r>
    </w:p>
    <w:p w14:paraId="30B1E0AD" w14:textId="77777777" w:rsidR="00490424" w:rsidRDefault="00CC6E8F">
      <w:pPr>
        <w:spacing w:before="140" w:after="60"/>
      </w:pPr>
      <w:r>
        <w:rPr>
          <w:rFonts w:ascii="Calibri" w:eastAsia="Calibri" w:hAnsi="Calibri" w:cs="Calibri"/>
          <w:b/>
          <w:bCs/>
          <w:color w:val="215E99"/>
          <w:sz w:val="32"/>
          <w:szCs w:val="32"/>
        </w:rPr>
        <w:t>4.12 Guest Website UX Review — Category Display Formats &amp; Cart Interaction Patterns</w:t>
      </w:r>
    </w:p>
    <w:p w14:paraId="33052BDC" w14:textId="77777777" w:rsidR="00490424" w:rsidRDefault="00CC6E8F">
      <w:pPr>
        <w:pStyle w:val="ListParagraph"/>
        <w:numPr>
          <w:ilvl w:val="0"/>
          <w:numId w:val="2"/>
        </w:numPr>
        <w:spacing w:after="70"/>
      </w:pPr>
      <w:r>
        <w:rPr>
          <w:rFonts w:ascii="Calibri" w:eastAsia="Calibri" w:hAnsi="Calibri" w:cs="Calibri"/>
          <w:b/>
          <w:bCs/>
          <w:sz w:val="24"/>
          <w:szCs w:val="24"/>
        </w:rPr>
        <w:t xml:space="preserve">Display format flexibility (Allam): </w:t>
      </w:r>
      <w:r>
        <w:rPr>
          <w:rFonts w:ascii="Calibri" w:eastAsia="Calibri" w:hAnsi="Calibri" w:cs="Calibri"/>
          <w:sz w:val="24"/>
          <w:szCs w:val="24"/>
        </w:rPr>
        <w:t>requested that ticket/product categories be displayable in both a horizontal/row layout and a grid layout, business-configurable via CMS rather than fixed to one pattern — illustrated against two different reference sites, one using each style.</w:t>
      </w:r>
    </w:p>
    <w:p w14:paraId="687056AF" w14:textId="77777777" w:rsidR="00490424" w:rsidRDefault="00CC6E8F">
      <w:pPr>
        <w:pStyle w:val="ListParagraph"/>
        <w:numPr>
          <w:ilvl w:val="0"/>
          <w:numId w:val="2"/>
        </w:numPr>
        <w:spacing w:after="70"/>
      </w:pPr>
      <w:r>
        <w:rPr>
          <w:rFonts w:ascii="Calibri" w:eastAsia="Calibri" w:hAnsi="Calibri" w:cs="Calibri"/>
          <w:b/>
          <w:bCs/>
          <w:sz w:val="24"/>
          <w:szCs w:val="24"/>
        </w:rPr>
        <w:t xml:space="preserve">Cart interaction flexibility: </w:t>
      </w:r>
      <w:r>
        <w:rPr>
          <w:rFonts w:ascii="Calibri" w:eastAsia="Calibri" w:hAnsi="Calibri" w:cs="Calibri"/>
          <w:sz w:val="24"/>
          <w:szCs w:val="24"/>
        </w:rPr>
        <w:t>similarly requested that adding a product to cart support both a slide-in-from-the-right panel and a slide-up-from-the-bottom panel, with the business able to choose which pattern fits their site.</w:t>
      </w:r>
    </w:p>
    <w:p w14:paraId="38BA6785" w14:textId="77777777" w:rsidR="00490424" w:rsidRDefault="00CC6E8F">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confirmed different layout variations already exist across different prototype categories and that both formats can be made available as configuration options.</w:t>
      </w:r>
    </w:p>
    <w:p w14:paraId="62221B07" w14:textId="77777777" w:rsidR="00490424" w:rsidRDefault="00CC6E8F">
      <w:pPr>
        <w:spacing w:before="140" w:after="60"/>
      </w:pPr>
      <w:r>
        <w:rPr>
          <w:rFonts w:ascii="Calibri" w:eastAsia="Calibri" w:hAnsi="Calibri" w:cs="Calibri"/>
          <w:b/>
          <w:bCs/>
          <w:color w:val="215E99"/>
          <w:sz w:val="32"/>
          <w:szCs w:val="32"/>
        </w:rPr>
        <w:t>4.13 Guest Website UX Review — Ticket Type Flows &amp; Seat Map Selection</w:t>
      </w:r>
    </w:p>
    <w:p w14:paraId="5173C0D8" w14:textId="77777777" w:rsidR="00490424" w:rsidRDefault="00CC6E8F">
      <w:pPr>
        <w:pStyle w:val="ListParagraph"/>
        <w:numPr>
          <w:ilvl w:val="0"/>
          <w:numId w:val="2"/>
        </w:numPr>
        <w:spacing w:after="70"/>
      </w:pPr>
      <w:r>
        <w:rPr>
          <w:rFonts w:ascii="Calibri" w:eastAsia="Calibri" w:hAnsi="Calibri" w:cs="Calibri"/>
          <w:sz w:val="24"/>
          <w:szCs w:val="24"/>
        </w:rPr>
        <w:t>Allam walked through the distinct booking flows expected for each ticket type: open-dated (no calendar step, straight to guest-category/quantity selection, valid for a defined window such as 30–60 days), dated (choose date, then product), dated-with-time (choose date, time, and product), and seated (date, time, and seat selection), each requiring its own tailored flow in the wireframes.</w:t>
      </w:r>
    </w:p>
    <w:p w14:paraId="60BA0E7C" w14:textId="77777777" w:rsidR="00490424" w:rsidRDefault="00CC6E8F">
      <w:pPr>
        <w:pStyle w:val="ListParagraph"/>
        <w:numPr>
          <w:ilvl w:val="0"/>
          <w:numId w:val="2"/>
        </w:numPr>
        <w:spacing w:after="70"/>
      </w:pPr>
      <w:r>
        <w:rPr>
          <w:rFonts w:ascii="Calibri" w:eastAsia="Calibri" w:hAnsi="Calibri" w:cs="Calibri"/>
          <w:b/>
          <w:bCs/>
          <w:sz w:val="24"/>
          <w:szCs w:val="24"/>
        </w:rPr>
        <w:t xml:space="preserve">Single-event pages: </w:t>
      </w:r>
      <w:r>
        <w:rPr>
          <w:rFonts w:ascii="Calibri" w:eastAsia="Calibri" w:hAnsi="Calibri" w:cs="Calibri"/>
          <w:sz w:val="24"/>
          <w:szCs w:val="24"/>
        </w:rPr>
        <w:t>for a venue selling only one event, a dedicated page with a banner/video and brief description was recommended, showing only the near-term available dates (e.g., next 7 days) by default.</w:t>
      </w:r>
    </w:p>
    <w:p w14:paraId="5CCA9A17" w14:textId="77777777" w:rsidR="00490424" w:rsidRDefault="00CC6E8F">
      <w:pPr>
        <w:pStyle w:val="ListParagraph"/>
        <w:numPr>
          <w:ilvl w:val="0"/>
          <w:numId w:val="2"/>
        </w:numPr>
        <w:spacing w:after="70"/>
      </w:pPr>
      <w:r>
        <w:rPr>
          <w:rFonts w:ascii="Calibri" w:eastAsia="Calibri" w:hAnsi="Calibri" w:cs="Calibri"/>
          <w:b/>
          <w:bCs/>
          <w:sz w:val="24"/>
          <w:szCs w:val="24"/>
        </w:rPr>
        <w:lastRenderedPageBreak/>
        <w:t xml:space="preserve">Seat map — key feedback: </w:t>
      </w:r>
      <w:r>
        <w:rPr>
          <w:rFonts w:ascii="Calibri" w:eastAsia="Calibri" w:hAnsi="Calibri" w:cs="Calibri"/>
          <w:sz w:val="24"/>
          <w:szCs w:val="24"/>
        </w:rPr>
        <w:t>for 3D venue maps, Allam asked that selecting a section take the guest directly into that section's individual seats in one motion, rather than opening a separate pop-up/new window as an intermediate step — referencing another live reference site as the target experience. Chinmay confirmed this is achievable by zooming directly into the section rather than opening a modal.</w:t>
      </w:r>
    </w:p>
    <w:p w14:paraId="63864589" w14:textId="77777777" w:rsidR="00490424" w:rsidRDefault="00CC6E8F">
      <w:pPr>
        <w:spacing w:before="140" w:after="60"/>
      </w:pPr>
      <w:r>
        <w:rPr>
          <w:rFonts w:ascii="Calibri" w:eastAsia="Calibri" w:hAnsi="Calibri" w:cs="Calibri"/>
          <w:b/>
          <w:bCs/>
          <w:color w:val="215E99"/>
          <w:sz w:val="32"/>
          <w:szCs w:val="32"/>
        </w:rPr>
        <w:t>4.14 Guest Website UX Review — Upsell/Cross-Sell Placement &amp; Reference Sites</w:t>
      </w:r>
    </w:p>
    <w:p w14:paraId="3126892A" w14:textId="77777777" w:rsidR="00490424" w:rsidRDefault="00CC6E8F">
      <w:pPr>
        <w:pStyle w:val="ListParagraph"/>
        <w:numPr>
          <w:ilvl w:val="0"/>
          <w:numId w:val="2"/>
        </w:numPr>
        <w:spacing w:after="70"/>
      </w:pPr>
      <w:r>
        <w:rPr>
          <w:rFonts w:ascii="Calibri" w:eastAsia="Calibri" w:hAnsi="Calibri" w:cs="Calibri"/>
          <w:b/>
          <w:bCs/>
          <w:sz w:val="24"/>
          <w:szCs w:val="24"/>
        </w:rPr>
        <w:t xml:space="preserve">Key feedback (Allam): </w:t>
      </w:r>
      <w:r>
        <w:rPr>
          <w:rFonts w:ascii="Calibri" w:eastAsia="Calibri" w:hAnsi="Calibri" w:cs="Calibri"/>
          <w:sz w:val="24"/>
          <w:szCs w:val="24"/>
        </w:rPr>
        <w:t>upsell/cross-sell prompts (e.g., suggesting a family pass after a guest adds 2 adult + 2 child tickets) should be presented as a distinct step — within a dedicated “extras” stage after the main product selection — rather than inline on the same page as the primary ticket selection, since guests are unlikely to reliably notice a prompt competing for attention on a busy selection screen.</w:t>
      </w:r>
    </w:p>
    <w:p w14:paraId="2E68D56B" w14:textId="77777777" w:rsidR="00490424" w:rsidRDefault="00CC6E8F">
      <w:pPr>
        <w:pStyle w:val="ListParagraph"/>
        <w:numPr>
          <w:ilvl w:val="0"/>
          <w:numId w:val="2"/>
        </w:numPr>
        <w:spacing w:after="70"/>
      </w:pPr>
      <w:r>
        <w:rPr>
          <w:rFonts w:ascii="Calibri" w:eastAsia="Calibri" w:hAnsi="Calibri" w:cs="Calibri"/>
          <w:b/>
          <w:bCs/>
          <w:sz w:val="24"/>
          <w:szCs w:val="24"/>
        </w:rPr>
        <w:t xml:space="preserve">Reference site walkthrough: </w:t>
      </w:r>
      <w:r>
        <w:rPr>
          <w:rFonts w:ascii="Calibri" w:eastAsia="Calibri" w:hAnsi="Calibri" w:cs="Calibri"/>
          <w:sz w:val="24"/>
          <w:szCs w:val="24"/>
        </w:rPr>
        <w:t>Allam demonstrated a simple, card-based family-entertainment-center-style site as a strong model — minimal clicks, a right-side cart drawer, and video that autoplays when a guest taps “read more” on a product, adapting seamlessly between desktop and mobile layouts. Both Allam and Qossai felt this simplicity (“help me choose,” clear categories, minimal page-to-page navigation) should guide the guest experience design.</w:t>
      </w:r>
    </w:p>
    <w:p w14:paraId="06D03674" w14:textId="77777777" w:rsidR="00490424" w:rsidRDefault="00CC6E8F">
      <w:pPr>
        <w:pStyle w:val="ListParagraph"/>
        <w:numPr>
          <w:ilvl w:val="0"/>
          <w:numId w:val="2"/>
        </w:numPr>
        <w:spacing w:after="70"/>
      </w:pPr>
      <w:r>
        <w:rPr>
          <w:rFonts w:ascii="Calibri" w:eastAsia="Calibri" w:hAnsi="Calibri" w:cs="Calibri"/>
          <w:sz w:val="24"/>
          <w:szCs w:val="24"/>
        </w:rPr>
        <w:t>Chinmay confirmed he would incorporate this reference flow into the existing prototype, continue building out mobile-responsive versions following the same configuration approach as the web app, and share updated links once ready; he also confirmed a dedicated POS UI/UX file (from Pradnya, on leave that day) would be shared separately by email.</w:t>
      </w:r>
    </w:p>
    <w:p w14:paraId="7CC5A5AD" w14:textId="77777777" w:rsidR="00490424" w:rsidRDefault="00CC6E8F">
      <w:pPr>
        <w:spacing w:before="140" w:after="60"/>
      </w:pPr>
      <w:r>
        <w:rPr>
          <w:rFonts w:ascii="Calibri" w:eastAsia="Calibri" w:hAnsi="Calibri" w:cs="Calibri"/>
          <w:b/>
          <w:bCs/>
          <w:color w:val="215E99"/>
          <w:sz w:val="32"/>
          <w:szCs w:val="32"/>
        </w:rPr>
        <w:t>4.15 Planning &amp; Next Steps</w:t>
      </w:r>
    </w:p>
    <w:p w14:paraId="4571DE20" w14:textId="77777777" w:rsidR="00490424" w:rsidRDefault="00CC6E8F">
      <w:pPr>
        <w:pStyle w:val="ListParagraph"/>
        <w:numPr>
          <w:ilvl w:val="0"/>
          <w:numId w:val="2"/>
        </w:numPr>
        <w:spacing w:after="70"/>
      </w:pPr>
      <w:r>
        <w:rPr>
          <w:rFonts w:ascii="Calibri" w:eastAsia="Calibri" w:hAnsi="Calibri" w:cs="Calibri"/>
          <w:b/>
          <w:bCs/>
          <w:sz w:val="24"/>
          <w:szCs w:val="24"/>
        </w:rPr>
        <w:t xml:space="preserve">Remaining AI topics (Qossai/Allam): </w:t>
      </w:r>
      <w:r>
        <w:rPr>
          <w:rFonts w:ascii="Calibri" w:eastAsia="Calibri" w:hAnsi="Calibri" w:cs="Calibri"/>
          <w:sz w:val="24"/>
          <w:szCs w:val="24"/>
        </w:rPr>
        <w:t>personalization/recommendation, core AI platform &amp; enterprise intelligence, and AI fraud/risk intelligence are deferred to Monday's session, with both sides aiming to fully close the AI chapter next week.</w:t>
      </w:r>
    </w:p>
    <w:p w14:paraId="3C634A44" w14:textId="77777777" w:rsidR="00490424" w:rsidRDefault="00CC6E8F">
      <w:pPr>
        <w:pStyle w:val="ListParagraph"/>
        <w:numPr>
          <w:ilvl w:val="0"/>
          <w:numId w:val="2"/>
        </w:numPr>
        <w:spacing w:after="70"/>
      </w:pPr>
      <w:r>
        <w:rPr>
          <w:rFonts w:ascii="Calibri" w:eastAsia="Calibri" w:hAnsi="Calibri" w:cs="Calibri"/>
          <w:b/>
          <w:bCs/>
          <w:sz w:val="24"/>
          <w:szCs w:val="24"/>
        </w:rPr>
        <w:t xml:space="preserve">Following AI completion (Qossai): </w:t>
      </w:r>
      <w:r>
        <w:rPr>
          <w:rFonts w:ascii="Calibri" w:eastAsia="Calibri" w:hAnsi="Calibri" w:cs="Calibri"/>
          <w:sz w:val="24"/>
          <w:szCs w:val="24"/>
        </w:rPr>
        <w:t>the team will then focus on finalizing UI/UX for the mobile app, website, and point of sale to close that chapter as well.</w:t>
      </w:r>
    </w:p>
    <w:p w14:paraId="4824E7F9" w14:textId="77777777" w:rsidR="00490424" w:rsidRDefault="00CC6E8F">
      <w:pPr>
        <w:pStyle w:val="ListParagraph"/>
        <w:numPr>
          <w:ilvl w:val="0"/>
          <w:numId w:val="2"/>
        </w:numPr>
        <w:spacing w:after="70"/>
      </w:pPr>
      <w:r>
        <w:rPr>
          <w:rFonts w:ascii="Calibri" w:eastAsia="Calibri" w:hAnsi="Calibri" w:cs="Calibri"/>
          <w:sz w:val="24"/>
          <w:szCs w:val="24"/>
        </w:rPr>
        <w:t>Allam confirmed he would send Monday's exact session timing by end of day, targeting approximately 10:00 Dubai time.</w:t>
      </w:r>
    </w:p>
    <w:p w14:paraId="4AE40A0E" w14:textId="77777777" w:rsidR="00490424" w:rsidRDefault="00CC6E8F">
      <w:pPr>
        <w:spacing w:before="180" w:after="100"/>
      </w:pPr>
      <w:r>
        <w:rPr>
          <w:rFonts w:ascii="Calibri" w:eastAsia="Calibri" w:hAnsi="Calibri" w:cs="Calibri"/>
          <w:b/>
          <w:bCs/>
          <w:color w:val="215E99"/>
          <w:sz w:val="32"/>
          <w:szCs w:val="32"/>
        </w:rPr>
        <w:t>5. Key Decisions &amp; Agreements</w:t>
      </w:r>
    </w:p>
    <w:p w14:paraId="2962A9AF" w14:textId="77777777" w:rsidR="00490424" w:rsidRDefault="00CC6E8F">
      <w:pPr>
        <w:pStyle w:val="ListParagraph"/>
        <w:numPr>
          <w:ilvl w:val="0"/>
          <w:numId w:val="2"/>
        </w:numPr>
        <w:spacing w:after="70"/>
      </w:pPr>
      <w:r>
        <w:rPr>
          <w:rFonts w:ascii="Calibri" w:eastAsia="Calibri" w:hAnsi="Calibri" w:cs="Calibri"/>
          <w:sz w:val="24"/>
          <w:szCs w:val="24"/>
        </w:rPr>
        <w:t>AI actions are risk-classified, with purely informational actions (e.g., explaining a report) treated as low risk and requiring no approval, while actions with customer/financial/operational impact (e.g., price changes) require configurable, risk-based human approval before publishing.</w:t>
      </w:r>
    </w:p>
    <w:p w14:paraId="491455F2" w14:textId="77777777" w:rsidR="00490424" w:rsidRDefault="00CC6E8F">
      <w:pPr>
        <w:pStyle w:val="ListParagraph"/>
        <w:numPr>
          <w:ilvl w:val="0"/>
          <w:numId w:val="2"/>
        </w:numPr>
        <w:spacing w:after="70"/>
      </w:pPr>
      <w:r>
        <w:rPr>
          <w:rFonts w:ascii="Calibri" w:eastAsia="Calibri" w:hAnsi="Calibri" w:cs="Calibri"/>
          <w:sz w:val="24"/>
          <w:szCs w:val="24"/>
        </w:rPr>
        <w:t>Approval authority can be conditional/threshold-based — an approver may be authorized up to a defined limit, with anything beyond it requiring escalation to a higher approval level.</w:t>
      </w:r>
    </w:p>
    <w:p w14:paraId="2C3207AC" w14:textId="77777777" w:rsidR="00490424" w:rsidRDefault="00CC6E8F">
      <w:pPr>
        <w:pStyle w:val="ListParagraph"/>
        <w:numPr>
          <w:ilvl w:val="0"/>
          <w:numId w:val="2"/>
        </w:numPr>
        <w:spacing w:after="70"/>
      </w:pPr>
      <w:r>
        <w:rPr>
          <w:rFonts w:ascii="Calibri" w:eastAsia="Calibri" w:hAnsi="Calibri" w:cs="Calibri"/>
          <w:sz w:val="24"/>
          <w:szCs w:val="24"/>
        </w:rPr>
        <w:t>Every AI decision must be fully traceable and auditable — the data/model behind it, who approved it, and when it was published — searchable by customer, venue, or AI capability.</w:t>
      </w:r>
    </w:p>
    <w:p w14:paraId="165D1466" w14:textId="77777777" w:rsidR="00490424" w:rsidRDefault="00CC6E8F">
      <w:pPr>
        <w:pStyle w:val="ListParagraph"/>
        <w:numPr>
          <w:ilvl w:val="0"/>
          <w:numId w:val="2"/>
        </w:numPr>
        <w:spacing w:after="70"/>
      </w:pPr>
      <w:r>
        <w:rPr>
          <w:rFonts w:ascii="Calibri" w:eastAsia="Calibri" w:hAnsi="Calibri" w:cs="Calibri"/>
          <w:sz w:val="24"/>
          <w:szCs w:val="24"/>
        </w:rPr>
        <w:lastRenderedPageBreak/>
        <w:t>The AI configuration assistant will gather missing required information through iterative clarifying questions rather than proceeding with incomplete configuration.</w:t>
      </w:r>
    </w:p>
    <w:p w14:paraId="0BE44867" w14:textId="77777777" w:rsidR="00490424" w:rsidRDefault="00CC6E8F">
      <w:pPr>
        <w:pStyle w:val="ListParagraph"/>
        <w:numPr>
          <w:ilvl w:val="0"/>
          <w:numId w:val="2"/>
        </w:numPr>
        <w:spacing w:after="70"/>
      </w:pPr>
      <w:r>
        <w:rPr>
          <w:rFonts w:ascii="Calibri" w:eastAsia="Calibri" w:hAnsi="Calibri" w:cs="Calibri"/>
          <w:sz w:val="24"/>
          <w:szCs w:val="24"/>
        </w:rPr>
        <w:t>Guest profiles must be deduplicated using a unique identifier (preferably email, alternatively phone number) so a returning guest checking out without an account is recognized as the same customer across transactions, rather than generating a new profile each time; manual profile merge remains available as a fallback for edge cases.</w:t>
      </w:r>
    </w:p>
    <w:p w14:paraId="4FBA4580" w14:textId="77777777" w:rsidR="00490424" w:rsidRDefault="00CC6E8F">
      <w:pPr>
        <w:pStyle w:val="ListParagraph"/>
        <w:numPr>
          <w:ilvl w:val="0"/>
          <w:numId w:val="2"/>
        </w:numPr>
        <w:spacing w:after="70"/>
      </w:pPr>
      <w:r>
        <w:rPr>
          <w:rFonts w:ascii="Calibri" w:eastAsia="Calibri" w:hAnsi="Calibri" w:cs="Calibri"/>
          <w:sz w:val="24"/>
          <w:szCs w:val="24"/>
        </w:rPr>
        <w:t>The guest website's hero banner/marketing layer will be a configurable, toggleable feature within the white-label builder — available for clients without their own separate marketing website, and switched off for clients who already have one.</w:t>
      </w:r>
    </w:p>
    <w:p w14:paraId="38090E2D" w14:textId="77777777" w:rsidR="00490424" w:rsidRDefault="00CC6E8F">
      <w:pPr>
        <w:pStyle w:val="ListParagraph"/>
        <w:numPr>
          <w:ilvl w:val="0"/>
          <w:numId w:val="2"/>
        </w:numPr>
        <w:spacing w:after="70"/>
      </w:pPr>
      <w:r>
        <w:rPr>
          <w:rFonts w:ascii="Calibri" w:eastAsia="Calibri" w:hAnsi="Calibri" w:cs="Calibri"/>
          <w:sz w:val="24"/>
          <w:szCs w:val="24"/>
        </w:rPr>
        <w:t>Product/category display must support both horizontal and grid layouts, and cart interactions must support both right-side slide-in and bottom slide-up patterns, configurable via CMS.</w:t>
      </w:r>
    </w:p>
    <w:p w14:paraId="4E71A38C" w14:textId="77777777" w:rsidR="00490424" w:rsidRDefault="00CC6E8F">
      <w:pPr>
        <w:pStyle w:val="ListParagraph"/>
        <w:numPr>
          <w:ilvl w:val="0"/>
          <w:numId w:val="2"/>
        </w:numPr>
        <w:spacing w:after="70"/>
      </w:pPr>
      <w:r>
        <w:rPr>
          <w:rFonts w:ascii="Calibri" w:eastAsia="Calibri" w:hAnsi="Calibri" w:cs="Calibri"/>
          <w:sz w:val="24"/>
          <w:szCs w:val="24"/>
        </w:rPr>
        <w:t>Upsell/cross-sell offers will be presented as a distinct “extras” step after primary product selection, not inline on the same screen.</w:t>
      </w:r>
    </w:p>
    <w:p w14:paraId="789C0B78" w14:textId="77777777" w:rsidR="00490424" w:rsidRDefault="00CC6E8F">
      <w:pPr>
        <w:spacing w:before="180" w:after="100"/>
      </w:pPr>
      <w:r>
        <w:rPr>
          <w:rFonts w:ascii="Calibri" w:eastAsia="Calibri" w:hAnsi="Calibri" w:cs="Calibri"/>
          <w:b/>
          <w:bCs/>
          <w:color w:val="215E99"/>
          <w:sz w:val="32"/>
          <w:szCs w:val="32"/>
        </w:rPr>
        <w:t>6. Open Items / Questions for Follow-Up</w:t>
      </w:r>
    </w:p>
    <w:p w14:paraId="15710417" w14:textId="77777777" w:rsidR="00490424" w:rsidRDefault="00CC6E8F">
      <w:pPr>
        <w:pStyle w:val="ListParagraph"/>
        <w:numPr>
          <w:ilvl w:val="0"/>
          <w:numId w:val="2"/>
        </w:numPr>
        <w:spacing w:after="70"/>
      </w:pPr>
      <w:r>
        <w:rPr>
          <w:rFonts w:ascii="Calibri" w:eastAsia="Calibri" w:hAnsi="Calibri" w:cs="Calibri"/>
          <w:sz w:val="24"/>
          <w:szCs w:val="24"/>
        </w:rPr>
        <w:t>AI governance dashboard placement (centralized command center vs. distributed per-module widgets) — Chinmay's team to propose an approach.</w:t>
      </w:r>
    </w:p>
    <w:p w14:paraId="2BB6A5D2" w14:textId="77777777" w:rsidR="00490424" w:rsidRDefault="00CC6E8F">
      <w:pPr>
        <w:pStyle w:val="ListParagraph"/>
        <w:numPr>
          <w:ilvl w:val="0"/>
          <w:numId w:val="2"/>
        </w:numPr>
        <w:spacing w:after="70"/>
      </w:pPr>
      <w:r>
        <w:rPr>
          <w:rFonts w:ascii="Calibri" w:eastAsia="Calibri" w:hAnsi="Calibri" w:cs="Calibri"/>
          <w:sz w:val="24"/>
          <w:szCs w:val="24"/>
        </w:rPr>
        <w:t>Guest-checkout marketing-consent handling — no confirmed precedent yet; flagged for further consideration.</w:t>
      </w:r>
    </w:p>
    <w:p w14:paraId="19043D5C" w14:textId="77777777" w:rsidR="00490424" w:rsidRDefault="00CC6E8F">
      <w:pPr>
        <w:pStyle w:val="ListParagraph"/>
        <w:numPr>
          <w:ilvl w:val="0"/>
          <w:numId w:val="2"/>
        </w:numPr>
        <w:spacing w:after="70"/>
      </w:pPr>
      <w:r>
        <w:rPr>
          <w:rFonts w:ascii="Calibri" w:eastAsia="Calibri" w:hAnsi="Calibri" w:cs="Calibri"/>
          <w:sz w:val="24"/>
          <w:szCs w:val="24"/>
        </w:rPr>
        <w:t>Remaining AI topics (personalization/recommendation, core AI platform/enterprise intelligence, fraud/risk intelligence) — deferred to Monday.</w:t>
      </w:r>
    </w:p>
    <w:p w14:paraId="52B2C49E" w14:textId="77777777" w:rsidR="00490424" w:rsidRDefault="00CC6E8F">
      <w:pPr>
        <w:pStyle w:val="ListParagraph"/>
        <w:numPr>
          <w:ilvl w:val="0"/>
          <w:numId w:val="2"/>
        </w:numPr>
        <w:spacing w:after="70"/>
      </w:pPr>
      <w:r>
        <w:rPr>
          <w:rFonts w:ascii="Calibri" w:eastAsia="Calibri" w:hAnsi="Calibri" w:cs="Calibri"/>
          <w:sz w:val="24"/>
          <w:szCs w:val="24"/>
        </w:rPr>
        <w:t>Updated guest web app prototype incorporating today's structural feedback, and the updated POS UI/UX file — pending from Chinmay's team.</w:t>
      </w:r>
    </w:p>
    <w:p w14:paraId="2F2DC534" w14:textId="77777777" w:rsidR="00490424" w:rsidRDefault="00CC6E8F">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490424" w14:paraId="7DC9DB08"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09F333A3" w14:textId="77777777" w:rsidR="00490424" w:rsidRDefault="00CC6E8F">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52109C3A" w14:textId="77777777" w:rsidR="00490424" w:rsidRDefault="00CC6E8F">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624636C2" w14:textId="77777777" w:rsidR="00490424" w:rsidRDefault="00CC6E8F">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3AAF9A93" w14:textId="77777777" w:rsidR="00490424" w:rsidRDefault="00CC6E8F">
            <w:r>
              <w:rPr>
                <w:rFonts w:ascii="Calibri" w:eastAsia="Calibri" w:hAnsi="Calibri" w:cs="Calibri"/>
                <w:b/>
                <w:bCs/>
                <w:color w:val="FFFFFF"/>
                <w:sz w:val="24"/>
                <w:szCs w:val="24"/>
              </w:rPr>
              <w:t>Status</w:t>
            </w:r>
          </w:p>
        </w:tc>
      </w:tr>
      <w:tr w:rsidR="00490424" w14:paraId="4A9DDC14" w14:textId="77777777">
        <w:tblPrEx>
          <w:tblCellMar>
            <w:top w:w="0" w:type="dxa"/>
            <w:bottom w:w="0" w:type="dxa"/>
          </w:tblCellMar>
        </w:tblPrEx>
        <w:tc>
          <w:tcPr>
            <w:tcW w:w="3800" w:type="dxa"/>
            <w:tcMar>
              <w:top w:w="80" w:type="dxa"/>
              <w:left w:w="120" w:type="dxa"/>
              <w:bottom w:w="80" w:type="dxa"/>
              <w:right w:w="120" w:type="dxa"/>
            </w:tcMar>
          </w:tcPr>
          <w:p w14:paraId="43E4B5BF" w14:textId="77777777" w:rsidR="00490424" w:rsidRDefault="00CC6E8F">
            <w:r>
              <w:rPr>
                <w:rFonts w:ascii="Calibri" w:eastAsia="Calibri" w:hAnsi="Calibri" w:cs="Calibri"/>
                <w:sz w:val="24"/>
                <w:szCs w:val="24"/>
              </w:rPr>
              <w:t>Share documentation for AI governance, AI configuration assistant, and AI forecasting covered today</w:t>
            </w:r>
          </w:p>
        </w:tc>
        <w:tc>
          <w:tcPr>
            <w:tcW w:w="1850" w:type="dxa"/>
            <w:tcMar>
              <w:top w:w="80" w:type="dxa"/>
              <w:left w:w="120" w:type="dxa"/>
              <w:bottom w:w="80" w:type="dxa"/>
              <w:right w:w="120" w:type="dxa"/>
            </w:tcMar>
          </w:tcPr>
          <w:p w14:paraId="381D3355" w14:textId="77777777" w:rsidR="00490424" w:rsidRDefault="00CC6E8F">
            <w:r>
              <w:rPr>
                <w:rFonts w:ascii="Calibri" w:eastAsia="Calibri" w:hAnsi="Calibri" w:cs="Calibri"/>
                <w:sz w:val="24"/>
                <w:szCs w:val="24"/>
              </w:rPr>
              <w:t>Allam</w:t>
            </w:r>
          </w:p>
        </w:tc>
        <w:tc>
          <w:tcPr>
            <w:tcW w:w="1800" w:type="dxa"/>
            <w:tcMar>
              <w:top w:w="80" w:type="dxa"/>
              <w:left w:w="120" w:type="dxa"/>
              <w:bottom w:w="80" w:type="dxa"/>
              <w:right w:w="120" w:type="dxa"/>
            </w:tcMar>
          </w:tcPr>
          <w:p w14:paraId="534720A4" w14:textId="77777777" w:rsidR="00490424" w:rsidRDefault="00CC6E8F">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6ABC0878" w14:textId="77777777" w:rsidR="00490424" w:rsidRDefault="00CC6E8F">
            <w:r>
              <w:rPr>
                <w:rFonts w:ascii="Calibri" w:eastAsia="Calibri" w:hAnsi="Calibri" w:cs="Calibri"/>
                <w:sz w:val="24"/>
                <w:szCs w:val="24"/>
              </w:rPr>
              <w:t>Open</w:t>
            </w:r>
          </w:p>
        </w:tc>
      </w:tr>
      <w:tr w:rsidR="00490424" w14:paraId="6454BD80" w14:textId="77777777">
        <w:tblPrEx>
          <w:tblCellMar>
            <w:top w:w="0" w:type="dxa"/>
            <w:bottom w:w="0" w:type="dxa"/>
          </w:tblCellMar>
        </w:tblPrEx>
        <w:tc>
          <w:tcPr>
            <w:tcW w:w="3800" w:type="dxa"/>
            <w:tcMar>
              <w:top w:w="80" w:type="dxa"/>
              <w:left w:w="120" w:type="dxa"/>
              <w:bottom w:w="80" w:type="dxa"/>
              <w:right w:w="120" w:type="dxa"/>
            </w:tcMar>
          </w:tcPr>
          <w:p w14:paraId="2510C81B" w14:textId="77777777" w:rsidR="00490424" w:rsidRDefault="00CC6E8F">
            <w:r>
              <w:rPr>
                <w:rFonts w:ascii="Calibri" w:eastAsia="Calibri" w:hAnsi="Calibri" w:cs="Calibri"/>
                <w:sz w:val="24"/>
                <w:szCs w:val="24"/>
              </w:rPr>
              <w:t>Propose an approach for AI governance dashboard placement (centralized command center vs. distributed per-module widgets)</w:t>
            </w:r>
          </w:p>
        </w:tc>
        <w:tc>
          <w:tcPr>
            <w:tcW w:w="1850" w:type="dxa"/>
            <w:tcMar>
              <w:top w:w="80" w:type="dxa"/>
              <w:left w:w="120" w:type="dxa"/>
              <w:bottom w:w="80" w:type="dxa"/>
              <w:right w:w="120" w:type="dxa"/>
            </w:tcMar>
          </w:tcPr>
          <w:p w14:paraId="0FD96950" w14:textId="77777777" w:rsidR="00490424" w:rsidRDefault="00CC6E8F">
            <w:r>
              <w:rPr>
                <w:rFonts w:ascii="Calibri" w:eastAsia="Calibri" w:hAnsi="Calibri" w:cs="Calibri"/>
                <w:sz w:val="24"/>
                <w:szCs w:val="24"/>
              </w:rPr>
              <w:t>Chinmay Parab</w:t>
            </w:r>
          </w:p>
        </w:tc>
        <w:tc>
          <w:tcPr>
            <w:tcW w:w="1800" w:type="dxa"/>
            <w:tcMar>
              <w:top w:w="80" w:type="dxa"/>
              <w:left w:w="120" w:type="dxa"/>
              <w:bottom w:w="80" w:type="dxa"/>
              <w:right w:w="120" w:type="dxa"/>
            </w:tcMar>
          </w:tcPr>
          <w:p w14:paraId="22A9C9B4" w14:textId="77777777" w:rsidR="00490424" w:rsidRDefault="00CC6E8F">
            <w:r>
              <w:rPr>
                <w:rFonts w:ascii="Calibri" w:eastAsia="Calibri" w:hAnsi="Calibri" w:cs="Calibri"/>
                <w:sz w:val="24"/>
                <w:szCs w:val="24"/>
              </w:rPr>
              <w:t>Next AI session (Monday)</w:t>
            </w:r>
          </w:p>
        </w:tc>
        <w:tc>
          <w:tcPr>
            <w:tcW w:w="1900" w:type="dxa"/>
            <w:tcMar>
              <w:top w:w="80" w:type="dxa"/>
              <w:left w:w="120" w:type="dxa"/>
              <w:bottom w:w="80" w:type="dxa"/>
              <w:right w:w="120" w:type="dxa"/>
            </w:tcMar>
          </w:tcPr>
          <w:p w14:paraId="66ABB53C" w14:textId="77777777" w:rsidR="00490424" w:rsidRDefault="00CC6E8F">
            <w:r>
              <w:rPr>
                <w:rFonts w:ascii="Calibri" w:eastAsia="Calibri" w:hAnsi="Calibri" w:cs="Calibri"/>
                <w:sz w:val="24"/>
                <w:szCs w:val="24"/>
              </w:rPr>
              <w:t>Open</w:t>
            </w:r>
          </w:p>
        </w:tc>
      </w:tr>
      <w:tr w:rsidR="00490424" w14:paraId="26178DE1" w14:textId="77777777">
        <w:tblPrEx>
          <w:tblCellMar>
            <w:top w:w="0" w:type="dxa"/>
            <w:bottom w:w="0" w:type="dxa"/>
          </w:tblCellMar>
        </w:tblPrEx>
        <w:tc>
          <w:tcPr>
            <w:tcW w:w="3800" w:type="dxa"/>
            <w:tcMar>
              <w:top w:w="80" w:type="dxa"/>
              <w:left w:w="120" w:type="dxa"/>
              <w:bottom w:w="80" w:type="dxa"/>
              <w:right w:w="120" w:type="dxa"/>
            </w:tcMar>
          </w:tcPr>
          <w:p w14:paraId="21F6B743" w14:textId="77777777" w:rsidR="00490424" w:rsidRDefault="00CC6E8F">
            <w:r>
              <w:rPr>
                <w:rFonts w:ascii="Calibri" w:eastAsia="Calibri" w:hAnsi="Calibri" w:cs="Calibri"/>
                <w:sz w:val="24"/>
                <w:szCs w:val="24"/>
              </w:rPr>
              <w:t>Revise the guest web app prototype incorporating today's structural feedback (hero banner toggle, dual layout options, upsell-as-extras-step, seat-map flow) and share the updated link</w:t>
            </w:r>
          </w:p>
        </w:tc>
        <w:tc>
          <w:tcPr>
            <w:tcW w:w="1850" w:type="dxa"/>
            <w:tcMar>
              <w:top w:w="80" w:type="dxa"/>
              <w:left w:w="120" w:type="dxa"/>
              <w:bottom w:w="80" w:type="dxa"/>
              <w:right w:w="120" w:type="dxa"/>
            </w:tcMar>
          </w:tcPr>
          <w:p w14:paraId="10E13E10" w14:textId="77777777" w:rsidR="00490424" w:rsidRDefault="00CC6E8F">
            <w:r>
              <w:rPr>
                <w:rFonts w:ascii="Calibri" w:eastAsia="Calibri" w:hAnsi="Calibri" w:cs="Calibri"/>
                <w:sz w:val="24"/>
                <w:szCs w:val="24"/>
              </w:rPr>
              <w:t>Chinmay Parab</w:t>
            </w:r>
          </w:p>
        </w:tc>
        <w:tc>
          <w:tcPr>
            <w:tcW w:w="1800" w:type="dxa"/>
            <w:tcMar>
              <w:top w:w="80" w:type="dxa"/>
              <w:left w:w="120" w:type="dxa"/>
              <w:bottom w:w="80" w:type="dxa"/>
              <w:right w:w="120" w:type="dxa"/>
            </w:tcMar>
          </w:tcPr>
          <w:p w14:paraId="2C16B28C" w14:textId="77777777" w:rsidR="00490424" w:rsidRDefault="00CC6E8F">
            <w:r>
              <w:rPr>
                <w:rFonts w:ascii="Calibri" w:eastAsia="Calibri" w:hAnsi="Calibri" w:cs="Calibri"/>
                <w:sz w:val="24"/>
                <w:szCs w:val="24"/>
              </w:rPr>
              <w:t>Before next session</w:t>
            </w:r>
          </w:p>
        </w:tc>
        <w:tc>
          <w:tcPr>
            <w:tcW w:w="1900" w:type="dxa"/>
            <w:tcMar>
              <w:top w:w="80" w:type="dxa"/>
              <w:left w:w="120" w:type="dxa"/>
              <w:bottom w:w="80" w:type="dxa"/>
              <w:right w:w="120" w:type="dxa"/>
            </w:tcMar>
          </w:tcPr>
          <w:p w14:paraId="7DCC6A51" w14:textId="77777777" w:rsidR="00490424" w:rsidRDefault="00CC6E8F">
            <w:r>
              <w:rPr>
                <w:rFonts w:ascii="Calibri" w:eastAsia="Calibri" w:hAnsi="Calibri" w:cs="Calibri"/>
                <w:sz w:val="24"/>
                <w:szCs w:val="24"/>
              </w:rPr>
              <w:t>In Progress</w:t>
            </w:r>
          </w:p>
        </w:tc>
      </w:tr>
      <w:tr w:rsidR="00490424" w14:paraId="367E303C" w14:textId="77777777">
        <w:tblPrEx>
          <w:tblCellMar>
            <w:top w:w="0" w:type="dxa"/>
            <w:bottom w:w="0" w:type="dxa"/>
          </w:tblCellMar>
        </w:tblPrEx>
        <w:tc>
          <w:tcPr>
            <w:tcW w:w="3800" w:type="dxa"/>
            <w:tcMar>
              <w:top w:w="80" w:type="dxa"/>
              <w:left w:w="120" w:type="dxa"/>
              <w:bottom w:w="80" w:type="dxa"/>
              <w:right w:w="120" w:type="dxa"/>
            </w:tcMar>
          </w:tcPr>
          <w:p w14:paraId="70AAAC4E" w14:textId="77777777" w:rsidR="00490424" w:rsidRDefault="00CC6E8F">
            <w:r>
              <w:rPr>
                <w:rFonts w:ascii="Calibri" w:eastAsia="Calibri" w:hAnsi="Calibri" w:cs="Calibri"/>
                <w:sz w:val="24"/>
                <w:szCs w:val="24"/>
              </w:rPr>
              <w:lastRenderedPageBreak/>
              <w:t>Share the updated POS UI/UX HTML file</w:t>
            </w:r>
          </w:p>
        </w:tc>
        <w:tc>
          <w:tcPr>
            <w:tcW w:w="1850" w:type="dxa"/>
            <w:tcMar>
              <w:top w:w="80" w:type="dxa"/>
              <w:left w:w="120" w:type="dxa"/>
              <w:bottom w:w="80" w:type="dxa"/>
              <w:right w:w="120" w:type="dxa"/>
            </w:tcMar>
          </w:tcPr>
          <w:p w14:paraId="5EA115AF" w14:textId="77777777" w:rsidR="00490424" w:rsidRDefault="00CC6E8F">
            <w:r>
              <w:rPr>
                <w:rFonts w:ascii="Calibri" w:eastAsia="Calibri" w:hAnsi="Calibri" w:cs="Calibri"/>
                <w:sz w:val="24"/>
                <w:szCs w:val="24"/>
              </w:rPr>
              <w:t>Pradnya Yeram (via Chinmay)</w:t>
            </w:r>
          </w:p>
        </w:tc>
        <w:tc>
          <w:tcPr>
            <w:tcW w:w="1800" w:type="dxa"/>
            <w:tcMar>
              <w:top w:w="80" w:type="dxa"/>
              <w:left w:w="120" w:type="dxa"/>
              <w:bottom w:w="80" w:type="dxa"/>
              <w:right w:w="120" w:type="dxa"/>
            </w:tcMar>
          </w:tcPr>
          <w:p w14:paraId="64C9C366" w14:textId="77777777" w:rsidR="00490424" w:rsidRDefault="00CC6E8F">
            <w:r>
              <w:rPr>
                <w:rFonts w:ascii="Calibri" w:eastAsia="Calibri" w:hAnsi="Calibri" w:cs="Calibri"/>
                <w:sz w:val="24"/>
                <w:szCs w:val="24"/>
              </w:rPr>
              <w:t>Shortly, via email</w:t>
            </w:r>
          </w:p>
        </w:tc>
        <w:tc>
          <w:tcPr>
            <w:tcW w:w="1900" w:type="dxa"/>
            <w:tcMar>
              <w:top w:w="80" w:type="dxa"/>
              <w:left w:w="120" w:type="dxa"/>
              <w:bottom w:w="80" w:type="dxa"/>
              <w:right w:w="120" w:type="dxa"/>
            </w:tcMar>
          </w:tcPr>
          <w:p w14:paraId="2B59FE51" w14:textId="77777777" w:rsidR="00490424" w:rsidRDefault="00CC6E8F">
            <w:r>
              <w:rPr>
                <w:rFonts w:ascii="Calibri" w:eastAsia="Calibri" w:hAnsi="Calibri" w:cs="Calibri"/>
                <w:sz w:val="24"/>
                <w:szCs w:val="24"/>
              </w:rPr>
              <w:t>Open</w:t>
            </w:r>
          </w:p>
        </w:tc>
      </w:tr>
      <w:tr w:rsidR="00490424" w14:paraId="306D8877" w14:textId="77777777">
        <w:tblPrEx>
          <w:tblCellMar>
            <w:top w:w="0" w:type="dxa"/>
            <w:bottom w:w="0" w:type="dxa"/>
          </w:tblCellMar>
        </w:tblPrEx>
        <w:tc>
          <w:tcPr>
            <w:tcW w:w="3800" w:type="dxa"/>
            <w:tcMar>
              <w:top w:w="80" w:type="dxa"/>
              <w:left w:w="120" w:type="dxa"/>
              <w:bottom w:w="80" w:type="dxa"/>
              <w:right w:w="120" w:type="dxa"/>
            </w:tcMar>
          </w:tcPr>
          <w:p w14:paraId="220D3A3A" w14:textId="77777777" w:rsidR="00490424" w:rsidRDefault="00CC6E8F">
            <w:r>
              <w:rPr>
                <w:rFonts w:ascii="Calibri" w:eastAsia="Calibri" w:hAnsi="Calibri" w:cs="Calibri"/>
                <w:sz w:val="24"/>
                <w:szCs w:val="24"/>
              </w:rPr>
              <w:t>Confirm exact Monday session timing</w:t>
            </w:r>
          </w:p>
        </w:tc>
        <w:tc>
          <w:tcPr>
            <w:tcW w:w="1850" w:type="dxa"/>
            <w:tcMar>
              <w:top w:w="80" w:type="dxa"/>
              <w:left w:w="120" w:type="dxa"/>
              <w:bottom w:w="80" w:type="dxa"/>
              <w:right w:w="120" w:type="dxa"/>
            </w:tcMar>
          </w:tcPr>
          <w:p w14:paraId="707F8109" w14:textId="77777777" w:rsidR="00490424" w:rsidRDefault="00CC6E8F">
            <w:r>
              <w:rPr>
                <w:rFonts w:ascii="Calibri" w:eastAsia="Calibri" w:hAnsi="Calibri" w:cs="Calibri"/>
                <w:sz w:val="24"/>
                <w:szCs w:val="24"/>
              </w:rPr>
              <w:t>Allam</w:t>
            </w:r>
          </w:p>
        </w:tc>
        <w:tc>
          <w:tcPr>
            <w:tcW w:w="1800" w:type="dxa"/>
            <w:tcMar>
              <w:top w:w="80" w:type="dxa"/>
              <w:left w:w="120" w:type="dxa"/>
              <w:bottom w:w="80" w:type="dxa"/>
              <w:right w:w="120" w:type="dxa"/>
            </w:tcMar>
          </w:tcPr>
          <w:p w14:paraId="6686186C" w14:textId="77777777" w:rsidR="00490424" w:rsidRDefault="00CC6E8F">
            <w:r>
              <w:rPr>
                <w:rFonts w:ascii="Calibri" w:eastAsia="Calibri" w:hAnsi="Calibri" w:cs="Calibri"/>
                <w:sz w:val="24"/>
                <w:szCs w:val="24"/>
              </w:rPr>
              <w:t>End of day</w:t>
            </w:r>
          </w:p>
        </w:tc>
        <w:tc>
          <w:tcPr>
            <w:tcW w:w="1900" w:type="dxa"/>
            <w:tcMar>
              <w:top w:w="80" w:type="dxa"/>
              <w:left w:w="120" w:type="dxa"/>
              <w:bottom w:w="80" w:type="dxa"/>
              <w:right w:w="120" w:type="dxa"/>
            </w:tcMar>
          </w:tcPr>
          <w:p w14:paraId="4163E5A3" w14:textId="77777777" w:rsidR="00490424" w:rsidRDefault="00CC6E8F">
            <w:r>
              <w:rPr>
                <w:rFonts w:ascii="Calibri" w:eastAsia="Calibri" w:hAnsi="Calibri" w:cs="Calibri"/>
                <w:sz w:val="24"/>
                <w:szCs w:val="24"/>
              </w:rPr>
              <w:t>Open</w:t>
            </w:r>
          </w:p>
        </w:tc>
      </w:tr>
      <w:tr w:rsidR="00490424" w14:paraId="2DDD9E7A" w14:textId="77777777">
        <w:tblPrEx>
          <w:tblCellMar>
            <w:top w:w="0" w:type="dxa"/>
            <w:bottom w:w="0" w:type="dxa"/>
          </w:tblCellMar>
        </w:tblPrEx>
        <w:tc>
          <w:tcPr>
            <w:tcW w:w="3800" w:type="dxa"/>
            <w:tcMar>
              <w:top w:w="80" w:type="dxa"/>
              <w:left w:w="120" w:type="dxa"/>
              <w:bottom w:w="80" w:type="dxa"/>
              <w:right w:w="120" w:type="dxa"/>
            </w:tcMar>
          </w:tcPr>
          <w:p w14:paraId="7519066F" w14:textId="77777777" w:rsidR="00490424" w:rsidRDefault="00CC6E8F">
            <w:r>
              <w:rPr>
                <w:rFonts w:ascii="Calibri" w:eastAsia="Calibri" w:hAnsi="Calibri" w:cs="Calibri"/>
                <w:sz w:val="24"/>
                <w:szCs w:val="24"/>
              </w:rPr>
              <w:t>Prepare and lead Monday's session covering the remaining AI topics (personalization/recommendation, core AI platform/enterprise intelligence, fraud/risk intelligence)</w:t>
            </w:r>
          </w:p>
        </w:tc>
        <w:tc>
          <w:tcPr>
            <w:tcW w:w="1850" w:type="dxa"/>
            <w:tcMar>
              <w:top w:w="80" w:type="dxa"/>
              <w:left w:w="120" w:type="dxa"/>
              <w:bottom w:w="80" w:type="dxa"/>
              <w:right w:w="120" w:type="dxa"/>
            </w:tcMar>
          </w:tcPr>
          <w:p w14:paraId="5C18BBEB" w14:textId="28D0CFD5" w:rsidR="00490424" w:rsidRDefault="00CC6E8F">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3BEE2048" w14:textId="77777777" w:rsidR="00490424" w:rsidRDefault="00CC6E8F">
            <w:r>
              <w:rPr>
                <w:rFonts w:ascii="Calibri" w:eastAsia="Calibri" w:hAnsi="Calibri" w:cs="Calibri"/>
                <w:sz w:val="24"/>
                <w:szCs w:val="24"/>
              </w:rPr>
              <w:t>Monday, ~10:00 Dubai time</w:t>
            </w:r>
          </w:p>
        </w:tc>
        <w:tc>
          <w:tcPr>
            <w:tcW w:w="1900" w:type="dxa"/>
            <w:tcMar>
              <w:top w:w="80" w:type="dxa"/>
              <w:left w:w="120" w:type="dxa"/>
              <w:bottom w:w="80" w:type="dxa"/>
              <w:right w:w="120" w:type="dxa"/>
            </w:tcMar>
          </w:tcPr>
          <w:p w14:paraId="395931F0" w14:textId="77777777" w:rsidR="00490424" w:rsidRDefault="00CC6E8F">
            <w:r>
              <w:rPr>
                <w:rFonts w:ascii="Calibri" w:eastAsia="Calibri" w:hAnsi="Calibri" w:cs="Calibri"/>
                <w:sz w:val="24"/>
                <w:szCs w:val="24"/>
              </w:rPr>
              <w:t>Open</w:t>
            </w:r>
          </w:p>
        </w:tc>
      </w:tr>
    </w:tbl>
    <w:p w14:paraId="2A158371" w14:textId="77777777" w:rsidR="00490424" w:rsidRDefault="00490424">
      <w:pPr>
        <w:spacing w:after="160"/>
      </w:pPr>
    </w:p>
    <w:p w14:paraId="166046B7" w14:textId="77777777" w:rsidR="00490424" w:rsidRDefault="00CC6E8F">
      <w:pPr>
        <w:spacing w:before="180" w:after="100"/>
      </w:pPr>
      <w:r>
        <w:rPr>
          <w:rFonts w:ascii="Calibri" w:eastAsia="Calibri" w:hAnsi="Calibri" w:cs="Calibri"/>
          <w:b/>
          <w:bCs/>
          <w:color w:val="215E99"/>
          <w:sz w:val="32"/>
          <w:szCs w:val="32"/>
        </w:rPr>
        <w:t>8. Next Steps</w:t>
      </w:r>
    </w:p>
    <w:p w14:paraId="0685AAF5" w14:textId="77777777" w:rsidR="00490424" w:rsidRDefault="00CC6E8F">
      <w:pPr>
        <w:pStyle w:val="ListParagraph"/>
        <w:numPr>
          <w:ilvl w:val="0"/>
          <w:numId w:val="2"/>
        </w:numPr>
        <w:spacing w:after="70"/>
      </w:pPr>
      <w:r>
        <w:rPr>
          <w:rFonts w:ascii="Calibri" w:eastAsia="Calibri" w:hAnsi="Calibri" w:cs="Calibri"/>
          <w:sz w:val="24"/>
          <w:szCs w:val="24"/>
        </w:rPr>
        <w:t>Monday's session (~10:00 Dubai time) will cover the remaining AI topics: personalization/recommendation, core AI platform/enterprise intelligence, and fraud/risk intelligence.</w:t>
      </w:r>
    </w:p>
    <w:p w14:paraId="50FC2FA0" w14:textId="77777777" w:rsidR="00490424" w:rsidRDefault="00CC6E8F">
      <w:pPr>
        <w:pStyle w:val="ListParagraph"/>
        <w:numPr>
          <w:ilvl w:val="0"/>
          <w:numId w:val="2"/>
        </w:numPr>
        <w:spacing w:after="70"/>
      </w:pPr>
      <w:r>
        <w:rPr>
          <w:rFonts w:ascii="Calibri" w:eastAsia="Calibri" w:hAnsi="Calibri" w:cs="Calibri"/>
          <w:sz w:val="24"/>
          <w:szCs w:val="24"/>
        </w:rPr>
        <w:t>Once AI topics are closed, focus shifts to finalizing UI/UX for the mobile app, website, and point of sale.</w:t>
      </w:r>
    </w:p>
    <w:p w14:paraId="75BBF6EC" w14:textId="77777777" w:rsidR="00490424" w:rsidRDefault="00CC6E8F">
      <w:pPr>
        <w:pStyle w:val="ListParagraph"/>
        <w:numPr>
          <w:ilvl w:val="0"/>
          <w:numId w:val="2"/>
        </w:numPr>
        <w:spacing w:after="70"/>
      </w:pPr>
      <w:r>
        <w:rPr>
          <w:rFonts w:ascii="Calibri" w:eastAsia="Calibri" w:hAnsi="Calibri" w:cs="Calibri"/>
          <w:sz w:val="24"/>
          <w:szCs w:val="24"/>
        </w:rPr>
        <w:t>Chinmay to share an updated guest web app prototype link and the POS UI/UX file ahead of the next session.</w:t>
      </w:r>
    </w:p>
    <w:p w14:paraId="46FCA7DB" w14:textId="77777777" w:rsidR="00490424" w:rsidRDefault="00CC6E8F">
      <w:pPr>
        <w:spacing w:before="120"/>
        <w:jc w:val="center"/>
      </w:pPr>
      <w:r>
        <w:rPr>
          <w:rFonts w:ascii="Calibri" w:eastAsia="Calibri" w:hAnsi="Calibri" w:cs="Calibri"/>
          <w:i/>
          <w:iCs/>
          <w:color w:val="595959"/>
          <w:sz w:val="24"/>
          <w:szCs w:val="24"/>
        </w:rPr>
        <w:t>--- End of Minutes ---</w:t>
      </w:r>
    </w:p>
    <w:sectPr w:rsidR="00490424">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3E3F" w14:textId="77777777" w:rsidR="00CC6E8F" w:rsidRDefault="00CC6E8F">
      <w:r>
        <w:separator/>
      </w:r>
    </w:p>
  </w:endnote>
  <w:endnote w:type="continuationSeparator" w:id="0">
    <w:p w14:paraId="097ED77D" w14:textId="77777777" w:rsidR="00CC6E8F" w:rsidRDefault="00CC6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F994" w14:textId="77777777" w:rsidR="00490424" w:rsidRDefault="00CC6E8F">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EC4C1F">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EC4C1F">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FBB5C" w14:textId="77777777" w:rsidR="00CC6E8F" w:rsidRDefault="00CC6E8F">
      <w:r>
        <w:separator/>
      </w:r>
    </w:p>
  </w:footnote>
  <w:footnote w:type="continuationSeparator" w:id="0">
    <w:p w14:paraId="421D050D" w14:textId="77777777" w:rsidR="00CC6E8F" w:rsidRDefault="00CC6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490424" w14:paraId="72587C2D" w14:textId="77777777">
      <w:tblPrEx>
        <w:tblCellMar>
          <w:top w:w="0" w:type="dxa"/>
          <w:bottom w:w="0" w:type="dxa"/>
        </w:tblCellMar>
      </w:tblPrEx>
      <w:tc>
        <w:tcPr>
          <w:tcW w:w="4675" w:type="dxa"/>
          <w:tcMar>
            <w:bottom w:w="80" w:type="dxa"/>
          </w:tcMar>
          <w:vAlign w:val="center"/>
        </w:tcPr>
        <w:p w14:paraId="214BCF1C" w14:textId="77777777" w:rsidR="00490424" w:rsidRDefault="00490424"/>
      </w:tc>
      <w:tc>
        <w:tcPr>
          <w:tcW w:w="4675" w:type="dxa"/>
          <w:tcMar>
            <w:bottom w:w="80" w:type="dxa"/>
          </w:tcMar>
          <w:vAlign w:val="center"/>
        </w:tcPr>
        <w:p w14:paraId="74551C17" w14:textId="77777777" w:rsidR="00490424" w:rsidRDefault="00CC6E8F">
          <w:pPr>
            <w:spacing w:after="20"/>
            <w:jc w:val="right"/>
          </w:pPr>
          <w:r>
            <w:rPr>
              <w:noProof/>
            </w:rPr>
            <w:drawing>
              <wp:inline distT="0" distB="0" distL="0" distR="0" wp14:anchorId="0693A67F" wp14:editId="6967063D">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0023A408" w14:textId="77777777" w:rsidR="00490424" w:rsidRDefault="00CC6E8F">
          <w:pPr>
            <w:jc w:val="right"/>
          </w:pPr>
          <w:r>
            <w:rPr>
              <w:noProof/>
            </w:rPr>
            <w:drawing>
              <wp:inline distT="0" distB="0" distL="0" distR="0" wp14:anchorId="30674387" wp14:editId="04966511">
                <wp:extent cx="933450" cy="190500"/>
                <wp:effectExtent l="0" t="0" r="0" b="0"/>
                <wp:docPr id="1222603699" name="Picture 122260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04E8"/>
    <w:multiLevelType w:val="hybridMultilevel"/>
    <w:tmpl w:val="AD38EFBC"/>
    <w:lvl w:ilvl="0" w:tplc="983EF470">
      <w:start w:val="1"/>
      <w:numFmt w:val="bullet"/>
      <w:lvlText w:val="●"/>
      <w:lvlJc w:val="left"/>
      <w:pPr>
        <w:ind w:left="720" w:hanging="360"/>
      </w:pPr>
    </w:lvl>
    <w:lvl w:ilvl="1" w:tplc="30AEC8B6">
      <w:start w:val="1"/>
      <w:numFmt w:val="bullet"/>
      <w:lvlText w:val="○"/>
      <w:lvlJc w:val="left"/>
      <w:pPr>
        <w:ind w:left="1440" w:hanging="360"/>
      </w:pPr>
    </w:lvl>
    <w:lvl w:ilvl="2" w:tplc="8CF04838">
      <w:start w:val="1"/>
      <w:numFmt w:val="bullet"/>
      <w:lvlText w:val="■"/>
      <w:lvlJc w:val="left"/>
      <w:pPr>
        <w:ind w:left="2160" w:hanging="360"/>
      </w:pPr>
    </w:lvl>
    <w:lvl w:ilvl="3" w:tplc="15604208">
      <w:start w:val="1"/>
      <w:numFmt w:val="bullet"/>
      <w:lvlText w:val="●"/>
      <w:lvlJc w:val="left"/>
      <w:pPr>
        <w:ind w:left="2880" w:hanging="360"/>
      </w:pPr>
    </w:lvl>
    <w:lvl w:ilvl="4" w:tplc="A57651FE">
      <w:start w:val="1"/>
      <w:numFmt w:val="bullet"/>
      <w:lvlText w:val="○"/>
      <w:lvlJc w:val="left"/>
      <w:pPr>
        <w:ind w:left="3600" w:hanging="360"/>
      </w:pPr>
    </w:lvl>
    <w:lvl w:ilvl="5" w:tplc="0A32683A">
      <w:start w:val="1"/>
      <w:numFmt w:val="bullet"/>
      <w:lvlText w:val="■"/>
      <w:lvlJc w:val="left"/>
      <w:pPr>
        <w:ind w:left="4320" w:hanging="360"/>
      </w:pPr>
    </w:lvl>
    <w:lvl w:ilvl="6" w:tplc="DD08001A">
      <w:start w:val="1"/>
      <w:numFmt w:val="bullet"/>
      <w:lvlText w:val="●"/>
      <w:lvlJc w:val="left"/>
      <w:pPr>
        <w:ind w:left="5040" w:hanging="360"/>
      </w:pPr>
    </w:lvl>
    <w:lvl w:ilvl="7" w:tplc="395ABF82">
      <w:start w:val="1"/>
      <w:numFmt w:val="bullet"/>
      <w:lvlText w:val="●"/>
      <w:lvlJc w:val="left"/>
      <w:pPr>
        <w:ind w:left="5760" w:hanging="360"/>
      </w:pPr>
    </w:lvl>
    <w:lvl w:ilvl="8" w:tplc="98161FF4">
      <w:start w:val="1"/>
      <w:numFmt w:val="bullet"/>
      <w:lvlText w:val="●"/>
      <w:lvlJc w:val="left"/>
      <w:pPr>
        <w:ind w:left="6480" w:hanging="360"/>
      </w:pPr>
    </w:lvl>
  </w:abstractNum>
  <w:abstractNum w:abstractNumId="1" w15:restartNumberingAfterBreak="0">
    <w:nsid w:val="6C65339D"/>
    <w:multiLevelType w:val="hybridMultilevel"/>
    <w:tmpl w:val="774C23E2"/>
    <w:lvl w:ilvl="0" w:tplc="1068BDFA">
      <w:start w:val="1"/>
      <w:numFmt w:val="bullet"/>
      <w:lvlText w:val="•"/>
      <w:lvlJc w:val="left"/>
      <w:pPr>
        <w:ind w:left="360" w:hanging="260"/>
      </w:pPr>
    </w:lvl>
    <w:lvl w:ilvl="1" w:tplc="DA941CE4">
      <w:start w:val="1"/>
      <w:numFmt w:val="bullet"/>
      <w:lvlText w:val="◦"/>
      <w:lvlJc w:val="left"/>
      <w:pPr>
        <w:ind w:left="720" w:hanging="260"/>
      </w:pPr>
    </w:lvl>
    <w:lvl w:ilvl="2" w:tplc="C0B44B4C">
      <w:numFmt w:val="decimal"/>
      <w:lvlText w:val=""/>
      <w:lvlJc w:val="left"/>
    </w:lvl>
    <w:lvl w:ilvl="3" w:tplc="F59AB7BE">
      <w:numFmt w:val="decimal"/>
      <w:lvlText w:val=""/>
      <w:lvlJc w:val="left"/>
    </w:lvl>
    <w:lvl w:ilvl="4" w:tplc="852EC54E">
      <w:numFmt w:val="decimal"/>
      <w:lvlText w:val=""/>
      <w:lvlJc w:val="left"/>
    </w:lvl>
    <w:lvl w:ilvl="5" w:tplc="F4088C40">
      <w:numFmt w:val="decimal"/>
      <w:lvlText w:val=""/>
      <w:lvlJc w:val="left"/>
    </w:lvl>
    <w:lvl w:ilvl="6" w:tplc="E8CC985E">
      <w:numFmt w:val="decimal"/>
      <w:lvlText w:val=""/>
      <w:lvlJc w:val="left"/>
    </w:lvl>
    <w:lvl w:ilvl="7" w:tplc="BD2A8EFC">
      <w:numFmt w:val="decimal"/>
      <w:lvlText w:val=""/>
      <w:lvlJc w:val="left"/>
    </w:lvl>
    <w:lvl w:ilvl="8" w:tplc="DA50C42C">
      <w:numFmt w:val="decimal"/>
      <w:lvlText w:val=""/>
      <w:lvlJc w:val="left"/>
    </w:lvl>
  </w:abstractNum>
  <w:num w:numId="1" w16cid:durableId="2073382886">
    <w:abstractNumId w:val="0"/>
    <w:lvlOverride w:ilvl="0">
      <w:startOverride w:val="1"/>
    </w:lvlOverride>
  </w:num>
  <w:num w:numId="2" w16cid:durableId="372734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424"/>
    <w:rsid w:val="00490424"/>
    <w:rsid w:val="00947493"/>
    <w:rsid w:val="00CC6E8F"/>
    <w:rsid w:val="00EC4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C1A1"/>
  <w15:docId w15:val="{E5C13C14-A80B-4744-A401-4F204080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C07670E8-1C3D-44D3-940E-D209A9D9C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4BF462-4843-4051-8F39-BE7905386C66}">
  <ds:schemaRefs>
    <ds:schemaRef ds:uri="http://schemas.microsoft.com/sharepoint/v3/contenttype/forms"/>
  </ds:schemaRefs>
</ds:datastoreItem>
</file>

<file path=customXml/itemProps3.xml><?xml version="1.0" encoding="utf-8"?>
<ds:datastoreItem xmlns:ds="http://schemas.openxmlformats.org/officeDocument/2006/customXml" ds:itemID="{ED96A94C-BFBB-47F6-87D2-632E14F7F790}">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3378</Words>
  <Characters>19260</Characters>
  <Application>Microsoft Office Word</Application>
  <DocSecurity>0</DocSecurity>
  <Lines>160</Lines>
  <Paragraphs>45</Paragraphs>
  <ScaleCrop>false</ScaleCrop>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2026-09-18T10:34:00Z</dcterms:created>
  <dcterms:modified xsi:type="dcterms:W3CDTF">2026-09-18T10:34:00Z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e489148f-dae8-40eb-ad09-81016c726eb2</vt:lpwstr>
  </property>
  <property fmtid="{D5CDD505-2E9C-101B-9397-08002B2CF9AE}" pid="3" name="ContentTypeId">
    <vt:lpwstr>0x010100A13C94B2A060D845B54521126503AE5E</vt:lpwstr>
  </property>
</Properties>
</file>