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D178" w14:textId="77777777" w:rsidR="00444DB4" w:rsidRDefault="005B601C">
      <w:pPr>
        <w:spacing w:after="60"/>
        <w:jc w:val="center"/>
      </w:pPr>
      <w:r>
        <w:rPr>
          <w:rFonts w:ascii="Calibri" w:eastAsia="Calibri" w:hAnsi="Calibri" w:cs="Calibri"/>
          <w:b/>
          <w:bCs/>
          <w:color w:val="215E99"/>
          <w:sz w:val="44"/>
          <w:szCs w:val="44"/>
        </w:rPr>
        <w:t>Minutes of Meeting</w:t>
      </w:r>
    </w:p>
    <w:p w14:paraId="4F36D2B1" w14:textId="77777777" w:rsidR="00444DB4" w:rsidRDefault="005B601C">
      <w:pPr>
        <w:pBdr>
          <w:bottom w:val="single" w:sz="6" w:space="8" w:color="0D6EFD"/>
        </w:pBdr>
        <w:spacing w:after="160"/>
        <w:jc w:val="center"/>
      </w:pPr>
      <w:r>
        <w:rPr>
          <w:rFonts w:ascii="Calibri" w:eastAsia="Calibri" w:hAnsi="Calibri" w:cs="Calibri"/>
          <w:i/>
          <w:iCs/>
          <w:color w:val="0B1324"/>
          <w:sz w:val="24"/>
          <w:szCs w:val="24"/>
        </w:rPr>
        <w:t>Workshop — Asset Management &amp; Safety, Sandbox/API Management, and Guest Web App Feedback</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125"/>
        <w:gridCol w:w="1700"/>
        <w:gridCol w:w="2825"/>
      </w:tblGrid>
      <w:tr w:rsidR="00444DB4" w14:paraId="1EF83077"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053DB1F0" w14:textId="77777777" w:rsidR="00444DB4" w:rsidRDefault="005B601C">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2ADFEB4D" w14:textId="77777777" w:rsidR="00444DB4" w:rsidRDefault="005B601C">
            <w:r>
              <w:rPr>
                <w:rFonts w:ascii="Calibri" w:eastAsia="Calibri" w:hAnsi="Calibri" w:cs="Calibri"/>
                <w:sz w:val="24"/>
                <w:szCs w:val="24"/>
              </w:rPr>
              <w:t>17-September-2026</w:t>
            </w:r>
          </w:p>
        </w:tc>
        <w:tc>
          <w:tcPr>
            <w:tcW w:w="1700" w:type="dxa"/>
            <w:shd w:val="clear" w:color="auto" w:fill="E7EEFB"/>
            <w:tcMar>
              <w:top w:w="80" w:type="dxa"/>
              <w:left w:w="120" w:type="dxa"/>
              <w:bottom w:w="80" w:type="dxa"/>
              <w:right w:w="120" w:type="dxa"/>
            </w:tcMar>
            <w:vAlign w:val="center"/>
          </w:tcPr>
          <w:p w14:paraId="6B52BBC4" w14:textId="77777777" w:rsidR="00444DB4" w:rsidRDefault="005B601C">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5FFA4364" w14:textId="77777777" w:rsidR="00444DB4" w:rsidRDefault="005B601C">
            <w:r>
              <w:rPr>
                <w:rFonts w:ascii="Calibri" w:eastAsia="Calibri" w:hAnsi="Calibri" w:cs="Calibri"/>
                <w:sz w:val="24"/>
                <w:szCs w:val="24"/>
              </w:rPr>
              <w:t>TICVAI</w:t>
            </w:r>
          </w:p>
        </w:tc>
      </w:tr>
      <w:tr w:rsidR="00444DB4" w14:paraId="5A16D9B2"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3268169B" w14:textId="77777777" w:rsidR="00444DB4" w:rsidRDefault="005B601C">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5E37F5D3" w14:textId="77777777" w:rsidR="00444DB4" w:rsidRDefault="005B601C">
            <w:r>
              <w:rPr>
                <w:rFonts w:ascii="Calibri" w:eastAsia="Calibri" w:hAnsi="Calibri" w:cs="Calibri"/>
                <w:sz w:val="24"/>
                <w:szCs w:val="24"/>
              </w:rPr>
              <w:t>Product Workshop — Asset Management &amp; Safety; Sandbox/API Management; Guest Web App Feedback</w:t>
            </w:r>
          </w:p>
        </w:tc>
        <w:tc>
          <w:tcPr>
            <w:tcW w:w="1700" w:type="dxa"/>
            <w:shd w:val="clear" w:color="auto" w:fill="E7EEFB"/>
            <w:tcMar>
              <w:top w:w="80" w:type="dxa"/>
              <w:left w:w="120" w:type="dxa"/>
              <w:bottom w:w="80" w:type="dxa"/>
              <w:right w:w="120" w:type="dxa"/>
            </w:tcMar>
            <w:vAlign w:val="center"/>
          </w:tcPr>
          <w:p w14:paraId="23DE7E5D" w14:textId="77777777" w:rsidR="00444DB4" w:rsidRDefault="005B601C">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29A2800A" w14:textId="77777777" w:rsidR="00444DB4" w:rsidRDefault="005B601C">
            <w:r>
              <w:rPr>
                <w:rFonts w:ascii="Calibri" w:eastAsia="Calibri" w:hAnsi="Calibri" w:cs="Calibri"/>
                <w:sz w:val="24"/>
                <w:szCs w:val="24"/>
              </w:rPr>
              <w:t>Chitrangi Mestry</w:t>
            </w:r>
          </w:p>
        </w:tc>
      </w:tr>
    </w:tbl>
    <w:p w14:paraId="39AA683E" w14:textId="77777777" w:rsidR="00444DB4" w:rsidRDefault="00444DB4">
      <w:pPr>
        <w:spacing w:after="160"/>
      </w:pPr>
    </w:p>
    <w:p w14:paraId="596DDF8C" w14:textId="77777777" w:rsidR="00444DB4" w:rsidRDefault="005B601C">
      <w:pPr>
        <w:spacing w:before="180" w:after="100"/>
      </w:pPr>
      <w:r>
        <w:rPr>
          <w:rFonts w:ascii="Calibri" w:eastAsia="Calibri" w:hAnsi="Calibri" w:cs="Calibri"/>
          <w:b/>
          <w:bCs/>
          <w:color w:val="215E99"/>
          <w:sz w:val="32"/>
          <w:szCs w:val="32"/>
        </w:rPr>
        <w:t>Primary Objective</w:t>
      </w:r>
    </w:p>
    <w:p w14:paraId="6725F392" w14:textId="77777777" w:rsidR="00444DB4" w:rsidRDefault="005B601C">
      <w:pPr>
        <w:spacing w:after="120"/>
      </w:pPr>
      <w:r>
        <w:rPr>
          <w:rFonts w:ascii="Calibri" w:eastAsia="Calibri" w:hAnsi="Calibri" w:cs="Calibri"/>
          <w:color w:val="000000"/>
          <w:sz w:val="24"/>
          <w:szCs w:val="24"/>
        </w:rPr>
        <w:t>To walk through two modules — asset management &amp; safety (asset registry, preventive/corrective maintenance, safety incidents, spare parts, resourcing and analytics) and the developer sandbox/API management platform (developer portal, credentials, gateway security, monitoring and lifecycle) — completing essentially all core scope of work ahead of AI-focused sessions, plus a live, detailed feedback walkthrough of the guest web app prototype.</w:t>
      </w:r>
    </w:p>
    <w:p w14:paraId="35FE0F97" w14:textId="77777777" w:rsidR="00444DB4" w:rsidRDefault="005B601C">
      <w:pPr>
        <w:spacing w:before="180" w:after="100"/>
      </w:pPr>
      <w:r>
        <w:rPr>
          <w:rFonts w:ascii="Calibri" w:eastAsia="Calibri" w:hAnsi="Calibri" w:cs="Calibri"/>
          <w:b/>
          <w:bCs/>
          <w:color w:val="215E99"/>
          <w:sz w:val="32"/>
          <w:szCs w:val="32"/>
        </w:rPr>
        <w:t>Participants</w:t>
      </w:r>
    </w:p>
    <w:p w14:paraId="6EA8EEBE" w14:textId="37B97F2C" w:rsidR="00444DB4" w:rsidRDefault="005B601C">
      <w:pPr>
        <w:pStyle w:val="ListParagraph"/>
        <w:numPr>
          <w:ilvl w:val="0"/>
          <w:numId w:val="2"/>
        </w:numPr>
        <w:spacing w:after="70"/>
      </w:pPr>
      <w:r>
        <w:rPr>
          <w:rFonts w:ascii="Calibri" w:eastAsia="Calibri" w:hAnsi="Calibri" w:cs="Calibri"/>
          <w:sz w:val="24"/>
          <w:szCs w:val="24"/>
        </w:rPr>
        <w:t xml:space="preserve">TICVAI Team </w:t>
      </w:r>
    </w:p>
    <w:p w14:paraId="61DBD586" w14:textId="34B25026" w:rsidR="00444DB4" w:rsidRDefault="005B601C">
      <w:pPr>
        <w:pStyle w:val="ListParagraph"/>
        <w:numPr>
          <w:ilvl w:val="0"/>
          <w:numId w:val="2"/>
        </w:numPr>
        <w:spacing w:after="70"/>
      </w:pPr>
      <w:r>
        <w:rPr>
          <w:rFonts w:ascii="Calibri" w:eastAsia="Calibri" w:hAnsi="Calibri" w:cs="Calibri"/>
          <w:sz w:val="24"/>
          <w:szCs w:val="24"/>
        </w:rPr>
        <w:t xml:space="preserve">Softlabs Team </w:t>
      </w:r>
    </w:p>
    <w:p w14:paraId="499B621A" w14:textId="77777777" w:rsidR="00444DB4" w:rsidRDefault="005B601C">
      <w:pPr>
        <w:spacing w:before="180" w:after="100"/>
      </w:pPr>
      <w:r>
        <w:rPr>
          <w:rFonts w:ascii="Calibri" w:eastAsia="Calibri" w:hAnsi="Calibri" w:cs="Calibri"/>
          <w:b/>
          <w:bCs/>
          <w:color w:val="215E99"/>
          <w:sz w:val="32"/>
          <w:szCs w:val="32"/>
        </w:rPr>
        <w:t>Agenda</w:t>
      </w:r>
    </w:p>
    <w:p w14:paraId="690F52EA" w14:textId="77777777" w:rsidR="00444DB4" w:rsidRDefault="005B601C">
      <w:pPr>
        <w:pStyle w:val="ListParagraph"/>
        <w:numPr>
          <w:ilvl w:val="0"/>
          <w:numId w:val="2"/>
        </w:numPr>
        <w:spacing w:after="70"/>
      </w:pPr>
      <w:r>
        <w:rPr>
          <w:rFonts w:ascii="Calibri" w:eastAsia="Calibri" w:hAnsi="Calibri" w:cs="Calibri"/>
          <w:sz w:val="24"/>
          <w:szCs w:val="24"/>
        </w:rPr>
        <w:t>Asset registry and classification</w:t>
      </w:r>
    </w:p>
    <w:p w14:paraId="0BECC230" w14:textId="77777777" w:rsidR="00444DB4" w:rsidRDefault="005B601C">
      <w:pPr>
        <w:pStyle w:val="ListParagraph"/>
        <w:numPr>
          <w:ilvl w:val="0"/>
          <w:numId w:val="2"/>
        </w:numPr>
        <w:spacing w:after="70"/>
      </w:pPr>
      <w:r>
        <w:rPr>
          <w:rFonts w:ascii="Calibri" w:eastAsia="Calibri" w:hAnsi="Calibri" w:cs="Calibri"/>
          <w:sz w:val="24"/>
          <w:szCs w:val="24"/>
        </w:rPr>
        <w:t>Preventive maintenance planning</w:t>
      </w:r>
    </w:p>
    <w:p w14:paraId="14E2637D" w14:textId="77777777" w:rsidR="00444DB4" w:rsidRDefault="005B601C">
      <w:pPr>
        <w:pStyle w:val="ListParagraph"/>
        <w:numPr>
          <w:ilvl w:val="0"/>
          <w:numId w:val="2"/>
        </w:numPr>
        <w:spacing w:after="70"/>
      </w:pPr>
      <w:r>
        <w:rPr>
          <w:rFonts w:ascii="Calibri" w:eastAsia="Calibri" w:hAnsi="Calibri" w:cs="Calibri"/>
          <w:sz w:val="24"/>
          <w:szCs w:val="24"/>
        </w:rPr>
        <w:t>Corrective and emergency maintenance</w:t>
      </w:r>
    </w:p>
    <w:p w14:paraId="4C0F60CA" w14:textId="77777777" w:rsidR="00444DB4" w:rsidRDefault="005B601C">
      <w:pPr>
        <w:pStyle w:val="ListParagraph"/>
        <w:numPr>
          <w:ilvl w:val="0"/>
          <w:numId w:val="2"/>
        </w:numPr>
        <w:spacing w:after="70"/>
      </w:pPr>
      <w:r>
        <w:rPr>
          <w:rFonts w:ascii="Calibri" w:eastAsia="Calibri" w:hAnsi="Calibri" w:cs="Calibri"/>
          <w:sz w:val="24"/>
          <w:szCs w:val="24"/>
        </w:rPr>
        <w:t>Work order management and execution</w:t>
      </w:r>
    </w:p>
    <w:p w14:paraId="05010FEF" w14:textId="77777777" w:rsidR="00444DB4" w:rsidRDefault="005B601C">
      <w:pPr>
        <w:pStyle w:val="ListParagraph"/>
        <w:numPr>
          <w:ilvl w:val="0"/>
          <w:numId w:val="2"/>
        </w:numPr>
        <w:spacing w:after="70"/>
      </w:pPr>
      <w:r>
        <w:rPr>
          <w:rFonts w:ascii="Calibri" w:eastAsia="Calibri" w:hAnsi="Calibri" w:cs="Calibri"/>
          <w:sz w:val="24"/>
          <w:szCs w:val="24"/>
        </w:rPr>
        <w:t>Safety inspection and incident management</w:t>
      </w:r>
    </w:p>
    <w:p w14:paraId="14CD028B" w14:textId="77777777" w:rsidR="00444DB4" w:rsidRDefault="005B601C">
      <w:pPr>
        <w:pStyle w:val="ListParagraph"/>
        <w:numPr>
          <w:ilvl w:val="0"/>
          <w:numId w:val="2"/>
        </w:numPr>
        <w:spacing w:after="70"/>
      </w:pPr>
      <w:r>
        <w:rPr>
          <w:rFonts w:ascii="Calibri" w:eastAsia="Calibri" w:hAnsi="Calibri" w:cs="Calibri"/>
          <w:sz w:val="24"/>
          <w:szCs w:val="24"/>
        </w:rPr>
        <w:t>Spare parts and maintenance inventory</w:t>
      </w:r>
    </w:p>
    <w:p w14:paraId="17E74340" w14:textId="77777777" w:rsidR="00444DB4" w:rsidRDefault="005B601C">
      <w:pPr>
        <w:pStyle w:val="ListParagraph"/>
        <w:numPr>
          <w:ilvl w:val="0"/>
          <w:numId w:val="2"/>
        </w:numPr>
        <w:spacing w:after="70"/>
      </w:pPr>
      <w:r>
        <w:rPr>
          <w:rFonts w:ascii="Calibri" w:eastAsia="Calibri" w:hAnsi="Calibri" w:cs="Calibri"/>
          <w:sz w:val="24"/>
          <w:szCs w:val="24"/>
        </w:rPr>
        <w:t>Maintenance resources, vendor and procurement operations</w:t>
      </w:r>
    </w:p>
    <w:p w14:paraId="1E0B9CEF" w14:textId="77777777" w:rsidR="00444DB4" w:rsidRDefault="005B601C">
      <w:pPr>
        <w:pStyle w:val="ListParagraph"/>
        <w:numPr>
          <w:ilvl w:val="0"/>
          <w:numId w:val="2"/>
        </w:numPr>
        <w:spacing w:after="70"/>
      </w:pPr>
      <w:r>
        <w:rPr>
          <w:rFonts w:ascii="Calibri" w:eastAsia="Calibri" w:hAnsi="Calibri" w:cs="Calibri"/>
          <w:sz w:val="24"/>
          <w:szCs w:val="24"/>
        </w:rPr>
        <w:t>Maintenance intelligence and analytics</w:t>
      </w:r>
    </w:p>
    <w:p w14:paraId="3E903685" w14:textId="77777777" w:rsidR="00444DB4" w:rsidRDefault="005B601C">
      <w:pPr>
        <w:pStyle w:val="ListParagraph"/>
        <w:numPr>
          <w:ilvl w:val="0"/>
          <w:numId w:val="2"/>
        </w:numPr>
        <w:spacing w:after="70"/>
      </w:pPr>
      <w:r>
        <w:rPr>
          <w:rFonts w:ascii="Calibri" w:eastAsia="Calibri" w:hAnsi="Calibri" w:cs="Calibri"/>
          <w:sz w:val="24"/>
          <w:szCs w:val="24"/>
        </w:rPr>
        <w:t>Developer portal and API documentation</w:t>
      </w:r>
    </w:p>
    <w:p w14:paraId="3D8860E9" w14:textId="77777777" w:rsidR="00444DB4" w:rsidRDefault="005B601C">
      <w:pPr>
        <w:pStyle w:val="ListParagraph"/>
        <w:numPr>
          <w:ilvl w:val="0"/>
          <w:numId w:val="2"/>
        </w:numPr>
        <w:spacing w:after="70"/>
      </w:pPr>
      <w:r>
        <w:rPr>
          <w:rFonts w:ascii="Calibri" w:eastAsia="Calibri" w:hAnsi="Calibri" w:cs="Calibri"/>
          <w:sz w:val="24"/>
          <w:szCs w:val="24"/>
        </w:rPr>
        <w:t>Developer accounts, API credentials, and sandbox/production separation</w:t>
      </w:r>
    </w:p>
    <w:p w14:paraId="33FAA742" w14:textId="77777777" w:rsidR="00444DB4" w:rsidRDefault="005B601C">
      <w:pPr>
        <w:pStyle w:val="ListParagraph"/>
        <w:numPr>
          <w:ilvl w:val="0"/>
          <w:numId w:val="2"/>
        </w:numPr>
        <w:spacing w:after="70"/>
      </w:pPr>
      <w:r>
        <w:rPr>
          <w:rFonts w:ascii="Calibri" w:eastAsia="Calibri" w:hAnsi="Calibri" w:cs="Calibri"/>
          <w:sz w:val="24"/>
          <w:szCs w:val="24"/>
        </w:rPr>
        <w:t>API gateway security and access control</w:t>
      </w:r>
    </w:p>
    <w:p w14:paraId="31EF55EF" w14:textId="77777777" w:rsidR="00444DB4" w:rsidRDefault="005B601C">
      <w:pPr>
        <w:pStyle w:val="ListParagraph"/>
        <w:numPr>
          <w:ilvl w:val="0"/>
          <w:numId w:val="2"/>
        </w:numPr>
        <w:spacing w:after="70"/>
      </w:pPr>
      <w:r>
        <w:rPr>
          <w:rFonts w:ascii="Calibri" w:eastAsia="Calibri" w:hAnsi="Calibri" w:cs="Calibri"/>
          <w:sz w:val="24"/>
          <w:szCs w:val="24"/>
        </w:rPr>
        <w:t>API monitoring, webhooks and lifecycle management</w:t>
      </w:r>
    </w:p>
    <w:p w14:paraId="45C08C30" w14:textId="77777777" w:rsidR="00444DB4" w:rsidRDefault="005B601C">
      <w:pPr>
        <w:pStyle w:val="ListParagraph"/>
        <w:numPr>
          <w:ilvl w:val="0"/>
          <w:numId w:val="2"/>
        </w:numPr>
        <w:spacing w:after="70"/>
      </w:pPr>
      <w:r>
        <w:rPr>
          <w:rFonts w:ascii="Calibri" w:eastAsia="Calibri" w:hAnsi="Calibri" w:cs="Calibri"/>
          <w:sz w:val="24"/>
          <w:szCs w:val="24"/>
        </w:rPr>
        <w:t>Sandbox environment and partner ecosystem analytics</w:t>
      </w:r>
    </w:p>
    <w:p w14:paraId="06CEE987" w14:textId="77777777" w:rsidR="00444DB4" w:rsidRDefault="005B601C">
      <w:pPr>
        <w:pStyle w:val="ListParagraph"/>
        <w:numPr>
          <w:ilvl w:val="0"/>
          <w:numId w:val="2"/>
        </w:numPr>
        <w:spacing w:after="70"/>
      </w:pPr>
      <w:r>
        <w:rPr>
          <w:rFonts w:ascii="Calibri" w:eastAsia="Calibri" w:hAnsi="Calibri" w:cs="Calibri"/>
          <w:sz w:val="24"/>
          <w:szCs w:val="24"/>
        </w:rPr>
        <w:t>Guest web app — live UI/UX feedback walkthrough</w:t>
      </w:r>
    </w:p>
    <w:p w14:paraId="4AE19C96" w14:textId="77777777" w:rsidR="00444DB4" w:rsidRDefault="005B601C">
      <w:pPr>
        <w:pStyle w:val="ListParagraph"/>
        <w:numPr>
          <w:ilvl w:val="0"/>
          <w:numId w:val="2"/>
        </w:numPr>
        <w:spacing w:after="70"/>
      </w:pPr>
      <w:r>
        <w:rPr>
          <w:rFonts w:ascii="Calibri" w:eastAsia="Calibri" w:hAnsi="Calibri" w:cs="Calibri"/>
          <w:sz w:val="24"/>
          <w:szCs w:val="24"/>
        </w:rPr>
        <w:t>Planning for upcoming sessions</w:t>
      </w:r>
    </w:p>
    <w:p w14:paraId="4C40F757" w14:textId="77777777" w:rsidR="00444DB4" w:rsidRDefault="005B601C">
      <w:pPr>
        <w:spacing w:before="180" w:after="100"/>
      </w:pPr>
      <w:r>
        <w:rPr>
          <w:rFonts w:ascii="Calibri" w:eastAsia="Calibri" w:hAnsi="Calibri" w:cs="Calibri"/>
          <w:b/>
          <w:bCs/>
          <w:color w:val="215E99"/>
          <w:sz w:val="32"/>
          <w:szCs w:val="32"/>
        </w:rPr>
        <w:lastRenderedPageBreak/>
        <w:t>4. Detailed Discussion</w:t>
      </w:r>
    </w:p>
    <w:p w14:paraId="735D9E11" w14:textId="77777777" w:rsidR="00444DB4" w:rsidRDefault="005B601C">
      <w:pPr>
        <w:spacing w:before="140" w:after="60"/>
      </w:pPr>
      <w:r>
        <w:rPr>
          <w:rFonts w:ascii="Calibri" w:eastAsia="Calibri" w:hAnsi="Calibri" w:cs="Calibri"/>
          <w:b/>
          <w:bCs/>
          <w:color w:val="215E99"/>
          <w:sz w:val="32"/>
          <w:szCs w:val="32"/>
        </w:rPr>
        <w:t>4.1 Asset Registry &amp; Classification</w:t>
      </w:r>
    </w:p>
    <w:p w14:paraId="6985EDBB" w14:textId="77777777" w:rsidR="00444DB4" w:rsidRDefault="005B601C">
      <w:pPr>
        <w:pStyle w:val="ListParagraph"/>
        <w:numPr>
          <w:ilvl w:val="0"/>
          <w:numId w:val="2"/>
        </w:numPr>
        <w:spacing w:after="70"/>
      </w:pPr>
      <w:r>
        <w:rPr>
          <w:rFonts w:ascii="Calibri" w:eastAsia="Calibri" w:hAnsi="Calibri" w:cs="Calibri"/>
          <w:sz w:val="24"/>
          <w:szCs w:val="24"/>
        </w:rPr>
        <w:t>Allam introduced asset management as a master list of everything a venue owns that requires maintenance, safety inspection, or repair — tracking location, condition, warranty status, required documentation, and full history.</w:t>
      </w:r>
    </w:p>
    <w:p w14:paraId="51FE0D01" w14:textId="77777777" w:rsidR="00444DB4" w:rsidRDefault="005B601C">
      <w:pPr>
        <w:pStyle w:val="ListParagraph"/>
        <w:numPr>
          <w:ilvl w:val="0"/>
          <w:numId w:val="2"/>
        </w:numPr>
        <w:spacing w:after="70"/>
      </w:pPr>
      <w:r>
        <w:rPr>
          <w:rFonts w:ascii="Calibri" w:eastAsia="Calibri" w:hAnsi="Calibri" w:cs="Calibri"/>
          <w:sz w:val="24"/>
          <w:szCs w:val="24"/>
        </w:rPr>
        <w:t>An overview shows total assets by status (operational, under maintenance, out of service); an asset registry lets staff search/filter by category or name and create new asset records (e.g., a turnstile) capturing name, manufacturer, warranty status, and images.</w:t>
      </w:r>
    </w:p>
    <w:p w14:paraId="1A45B2B0" w14:textId="77777777" w:rsidR="00444DB4" w:rsidRDefault="005B601C">
      <w:pPr>
        <w:pStyle w:val="ListParagraph"/>
        <w:numPr>
          <w:ilvl w:val="0"/>
          <w:numId w:val="2"/>
        </w:numPr>
        <w:spacing w:after="70"/>
      </w:pPr>
      <w:r>
        <w:rPr>
          <w:rFonts w:ascii="Calibri" w:eastAsia="Calibri" w:hAnsi="Calibri" w:cs="Calibri"/>
          <w:sz w:val="24"/>
          <w:szCs w:val="24"/>
        </w:rPr>
        <w:t>Assets are categorized and classified by type/attraction; a location view shows where each asset physically sits; a 360-degree asset view (searchable via QR code) consolidates all details, including attached documentation (installation manuals, wiring diagrams, safety inspection reports), warranty period, and full lifecycle history (installed, maintained, operational, upcoming maintenance).</w:t>
      </w:r>
    </w:p>
    <w:p w14:paraId="7EE4BCCF" w14:textId="77777777" w:rsidR="00444DB4" w:rsidRDefault="005B601C">
      <w:pPr>
        <w:spacing w:before="140" w:after="60"/>
      </w:pPr>
      <w:r>
        <w:rPr>
          <w:rFonts w:ascii="Calibri" w:eastAsia="Calibri" w:hAnsi="Calibri" w:cs="Calibri"/>
          <w:b/>
          <w:bCs/>
          <w:color w:val="215E99"/>
          <w:sz w:val="32"/>
          <w:szCs w:val="32"/>
        </w:rPr>
        <w:t>4.2 Preventive Maintenance Planning</w:t>
      </w:r>
    </w:p>
    <w:p w14:paraId="282C5E37" w14:textId="77777777" w:rsidR="00444DB4" w:rsidRDefault="005B601C">
      <w:pPr>
        <w:pStyle w:val="ListParagraph"/>
        <w:numPr>
          <w:ilvl w:val="0"/>
          <w:numId w:val="2"/>
        </w:numPr>
        <w:spacing w:after="70"/>
      </w:pPr>
      <w:r>
        <w:rPr>
          <w:rFonts w:ascii="Calibri" w:eastAsia="Calibri" w:hAnsi="Calibri" w:cs="Calibri"/>
          <w:sz w:val="24"/>
          <w:szCs w:val="24"/>
        </w:rPr>
        <w:t>Preventive maintenance plans can be configured per asset at different frequencies (quarterly, half-yearly, yearly), with a checklist builder defining exactly what needs to be checked (e.g., visual inspection of structure, mounting bolts) and automatic work-order creation tied to the schedule, reflected on a maintenance calendar.</w:t>
      </w:r>
    </w:p>
    <w:p w14:paraId="49273820" w14:textId="77777777" w:rsidR="00444DB4" w:rsidRDefault="005B601C">
      <w:pPr>
        <w:pStyle w:val="ListParagraph"/>
        <w:numPr>
          <w:ilvl w:val="0"/>
          <w:numId w:val="2"/>
        </w:numPr>
        <w:spacing w:after="70"/>
      </w:pPr>
      <w:r>
        <w:rPr>
          <w:rFonts w:ascii="Calibri" w:eastAsia="Calibri" w:hAnsi="Calibri" w:cs="Calibri"/>
          <w:sz w:val="24"/>
          <w:szCs w:val="24"/>
        </w:rPr>
        <w:t>Resource planning shows required hours/team availability for scheduled maintenance (e.g., electrical, mechanical, safety teams); SLA and escalation rules apply if maintenance isn't completed on time, with compliance forecasting and insights across the maintenance plan.</w:t>
      </w:r>
    </w:p>
    <w:p w14:paraId="00A0FCCB" w14:textId="77777777" w:rsidR="00444DB4" w:rsidRDefault="005B601C">
      <w:pPr>
        <w:pStyle w:val="ListParagraph"/>
        <w:numPr>
          <w:ilvl w:val="0"/>
          <w:numId w:val="2"/>
        </w:numPr>
        <w:spacing w:after="70"/>
      </w:pPr>
      <w:r>
        <w:rPr>
          <w:rFonts w:ascii="Calibri" w:eastAsia="Calibri" w:hAnsi="Calibri" w:cs="Calibri"/>
          <w:b/>
          <w:bCs/>
          <w:sz w:val="24"/>
          <w:szCs w:val="24"/>
        </w:rPr>
        <w:t xml:space="preserve">Raised (Chinmay) — calendar view: </w:t>
      </w:r>
      <w:r>
        <w:rPr>
          <w:rFonts w:ascii="Calibri" w:eastAsia="Calibri" w:hAnsi="Calibri" w:cs="Calibri"/>
          <w:sz w:val="24"/>
          <w:szCs w:val="24"/>
        </w:rPr>
        <w:t>asked whether the calendar supports a day view in addition to broader views.</w:t>
      </w:r>
    </w:p>
    <w:p w14:paraId="3B0EB111" w14:textId="77777777" w:rsidR="00444DB4" w:rsidRDefault="005B601C">
      <w:pPr>
        <w:pStyle w:val="ListParagraph"/>
        <w:numPr>
          <w:ilvl w:val="0"/>
          <w:numId w:val="2"/>
        </w:numPr>
        <w:spacing w:after="70"/>
      </w:pPr>
      <w:r>
        <w:rPr>
          <w:rFonts w:ascii="Calibri" w:eastAsia="Calibri" w:hAnsi="Calibri" w:cs="Calibri"/>
          <w:b/>
          <w:bCs/>
          <w:sz w:val="24"/>
          <w:szCs w:val="24"/>
        </w:rPr>
        <w:t xml:space="preserve">Confirmed (Allam) — platform-wide requirement: </w:t>
      </w:r>
      <w:r>
        <w:rPr>
          <w:rFonts w:ascii="Calibri" w:eastAsia="Calibri" w:hAnsi="Calibri" w:cs="Calibri"/>
          <w:sz w:val="24"/>
          <w:szCs w:val="24"/>
        </w:rPr>
        <w:t>every calendar throughout the platform (not just maintenance) must support day/week/month views, with day view further breakable by hour (e.g., a defined start hour through the day); calendars must also support filtering by asset category, so a given team only sees maintenance relevant to them — e.g., an IT team should see maintenance for turnstiles, printers, and POS terminals, not unrelated categories.</w:t>
      </w:r>
    </w:p>
    <w:p w14:paraId="3DABB14B" w14:textId="77777777" w:rsidR="00444DB4" w:rsidRDefault="005B601C">
      <w:pPr>
        <w:spacing w:before="140" w:after="60"/>
      </w:pPr>
      <w:r>
        <w:rPr>
          <w:rFonts w:ascii="Calibri" w:eastAsia="Calibri" w:hAnsi="Calibri" w:cs="Calibri"/>
          <w:b/>
          <w:bCs/>
          <w:color w:val="215E99"/>
          <w:sz w:val="32"/>
          <w:szCs w:val="32"/>
        </w:rPr>
        <w:t>4.3 Corrective &amp; Emergency Maintenance</w:t>
      </w:r>
    </w:p>
    <w:p w14:paraId="7EBD608F" w14:textId="77777777" w:rsidR="00444DB4" w:rsidRDefault="005B601C">
      <w:pPr>
        <w:pStyle w:val="ListParagraph"/>
        <w:numPr>
          <w:ilvl w:val="0"/>
          <w:numId w:val="2"/>
        </w:numPr>
        <w:spacing w:after="70"/>
      </w:pPr>
      <w:r>
        <w:rPr>
          <w:rFonts w:ascii="Calibri" w:eastAsia="Calibri" w:hAnsi="Calibri" w:cs="Calibri"/>
          <w:sz w:val="24"/>
          <w:szCs w:val="24"/>
        </w:rPr>
        <w:t>Corrective maintenance logs a detected fault (e.g., a motor defect) with detection date, requestor, and supporting photos; fault assessment classifies severity (operational, critical, non-critical) based on factors like safety impact and whether guest operations are affected, producing a priority score (e.g., P1 emergency).</w:t>
      </w:r>
    </w:p>
    <w:p w14:paraId="422E57BE" w14:textId="77777777" w:rsidR="00444DB4" w:rsidRDefault="005B601C">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how the priority-scoring calculation works and what inputs drive it.</w:t>
      </w:r>
    </w:p>
    <w:p w14:paraId="06E8EF5D" w14:textId="77777777" w:rsidR="00444DB4" w:rsidRDefault="005B601C">
      <w:pPr>
        <w:pStyle w:val="ListParagraph"/>
        <w:numPr>
          <w:ilvl w:val="0"/>
          <w:numId w:val="2"/>
        </w:numPr>
        <w:spacing w:after="70"/>
      </w:pPr>
      <w:r>
        <w:rPr>
          <w:rFonts w:ascii="Calibri" w:eastAsia="Calibri" w:hAnsi="Calibri" w:cs="Calibri"/>
          <w:b/>
          <w:bCs/>
          <w:sz w:val="24"/>
          <w:szCs w:val="24"/>
        </w:rPr>
        <w:t xml:space="preserve">Explained (Allam): </w:t>
      </w:r>
      <w:r>
        <w:rPr>
          <w:rFonts w:ascii="Calibri" w:eastAsia="Calibri" w:hAnsi="Calibri" w:cs="Calibri"/>
          <w:sz w:val="24"/>
          <w:szCs w:val="24"/>
        </w:rPr>
        <w:t xml:space="preserve">scoring is configurable, but generally anything directly affecting guest operations (e.g., a turnstile outage impacting queueing and access control) is treated as P1; businesses can also override the default classification for a specific asset if its impact is </w:t>
      </w:r>
      <w:r>
        <w:rPr>
          <w:rFonts w:ascii="Calibri" w:eastAsia="Calibri" w:hAnsi="Calibri" w:cs="Calibri"/>
          <w:sz w:val="24"/>
          <w:szCs w:val="24"/>
        </w:rPr>
        <w:lastRenderedPageBreak/>
        <w:t>assessed differently (e.g., downgrading a motor fault to P2/P3 if it doesn't affect operations).</w:t>
      </w:r>
    </w:p>
    <w:p w14:paraId="3133865F" w14:textId="77777777" w:rsidR="00444DB4" w:rsidRDefault="005B601C">
      <w:pPr>
        <w:pStyle w:val="ListParagraph"/>
        <w:numPr>
          <w:ilvl w:val="0"/>
          <w:numId w:val="2"/>
        </w:numPr>
        <w:spacing w:after="70"/>
      </w:pPr>
      <w:r>
        <w:rPr>
          <w:rFonts w:ascii="Calibri" w:eastAsia="Calibri" w:hAnsi="Calibri" w:cs="Calibri"/>
          <w:b/>
          <w:bCs/>
          <w:sz w:val="24"/>
          <w:szCs w:val="24"/>
        </w:rPr>
        <w:t xml:space="preserve">Discussed (Chinmay): </w:t>
      </w:r>
      <w:r>
        <w:rPr>
          <w:rFonts w:ascii="Calibri" w:eastAsia="Calibri" w:hAnsi="Calibri" w:cs="Calibri"/>
          <w:sz w:val="24"/>
          <w:szCs w:val="24"/>
        </w:rPr>
        <w:t>suggested that relying purely on a calculated weighted score risks human error in how staff assess and input severity factors, and proposed adding a simpler, direct override field — a fixed rule stating “if this specific device goes down, raise this priority level” — as a more reliable alternative or complement to the scoring model.</w:t>
      </w:r>
    </w:p>
    <w:p w14:paraId="20B6BE35" w14:textId="77777777" w:rsidR="00444DB4" w:rsidRDefault="005B601C">
      <w:pPr>
        <w:pStyle w:val="ListParagraph"/>
        <w:numPr>
          <w:ilvl w:val="0"/>
          <w:numId w:val="2"/>
        </w:numPr>
        <w:spacing w:after="70"/>
      </w:pPr>
      <w:r>
        <w:rPr>
          <w:rFonts w:ascii="Calibri" w:eastAsia="Calibri" w:hAnsi="Calibri" w:cs="Calibri"/>
          <w:b/>
          <w:bCs/>
          <w:sz w:val="24"/>
          <w:szCs w:val="24"/>
        </w:rPr>
        <w:t xml:space="preserve">Agreed (Allam): </w:t>
      </w:r>
      <w:r>
        <w:rPr>
          <w:rFonts w:ascii="Calibri" w:eastAsia="Calibri" w:hAnsi="Calibri" w:cs="Calibri"/>
          <w:sz w:val="24"/>
          <w:szCs w:val="24"/>
        </w:rPr>
        <w:t>confirmed both mechanisms should be supported — the configurable scoring model plus a direct per-asset priority override.</w:t>
      </w:r>
    </w:p>
    <w:p w14:paraId="1DABCCF9" w14:textId="77777777" w:rsidR="00444DB4" w:rsidRDefault="005B601C">
      <w:pPr>
        <w:pStyle w:val="ListParagraph"/>
        <w:numPr>
          <w:ilvl w:val="0"/>
          <w:numId w:val="2"/>
        </w:numPr>
        <w:spacing w:after="70"/>
      </w:pPr>
      <w:r>
        <w:rPr>
          <w:rFonts w:ascii="Calibri" w:eastAsia="Calibri" w:hAnsi="Calibri" w:cs="Calibri"/>
          <w:sz w:val="24"/>
          <w:szCs w:val="24"/>
        </w:rPr>
        <w:t>Emergency maintenance response tracks the team's action once a fault is logged, including asset isolation and operational impact; recurring-fault analytics flags assets with repeated failures (e.g., a motor down three times in a quarter).</w:t>
      </w:r>
    </w:p>
    <w:p w14:paraId="62E33E80" w14:textId="77777777" w:rsidR="00444DB4" w:rsidRDefault="005B601C">
      <w:pPr>
        <w:spacing w:before="140" w:after="60"/>
      </w:pPr>
      <w:r>
        <w:rPr>
          <w:rFonts w:ascii="Calibri" w:eastAsia="Calibri" w:hAnsi="Calibri" w:cs="Calibri"/>
          <w:b/>
          <w:bCs/>
          <w:color w:val="215E99"/>
          <w:sz w:val="32"/>
          <w:szCs w:val="32"/>
        </w:rPr>
        <w:t>4.4 Work Order Management &amp; Execution</w:t>
      </w:r>
    </w:p>
    <w:p w14:paraId="42E1B0BB" w14:textId="77777777" w:rsidR="00444DB4" w:rsidRDefault="005B601C">
      <w:pPr>
        <w:pStyle w:val="ListParagraph"/>
        <w:numPr>
          <w:ilvl w:val="0"/>
          <w:numId w:val="2"/>
        </w:numPr>
        <w:spacing w:after="70"/>
      </w:pPr>
      <w:r>
        <w:rPr>
          <w:rFonts w:ascii="Calibri" w:eastAsia="Calibri" w:hAnsi="Calibri" w:cs="Calibri"/>
          <w:sz w:val="24"/>
          <w:szCs w:val="24"/>
        </w:rPr>
        <w:t>A work order command center shows open work orders by priority (P1 emergency, P2, P3), unassigned items, and in-progress work; a work order directory lists all orders by priority level.</w:t>
      </w:r>
    </w:p>
    <w:p w14:paraId="6745D5EA" w14:textId="77777777" w:rsidR="00444DB4" w:rsidRDefault="005B601C">
      <w:pPr>
        <w:pStyle w:val="ListParagraph"/>
        <w:numPr>
          <w:ilvl w:val="0"/>
          <w:numId w:val="2"/>
        </w:numPr>
        <w:spacing w:after="70"/>
      </w:pPr>
      <w:r>
        <w:rPr>
          <w:rFonts w:ascii="Calibri" w:eastAsia="Calibri" w:hAnsi="Calibri" w:cs="Calibri"/>
          <w:sz w:val="24"/>
          <w:szCs w:val="24"/>
        </w:rPr>
        <w:t>Work orders are created from a logged fault and assigned to the relevant technician, with the same visibility available on a technician-facing mobile app so field staff can see assigned tasks and take action directly from their device.</w:t>
      </w:r>
    </w:p>
    <w:p w14:paraId="7D2C65FE" w14:textId="77777777" w:rsidR="00444DB4" w:rsidRDefault="005B601C">
      <w:pPr>
        <w:pStyle w:val="ListParagraph"/>
        <w:numPr>
          <w:ilvl w:val="0"/>
          <w:numId w:val="2"/>
        </w:numPr>
        <w:spacing w:after="70"/>
      </w:pPr>
      <w:r>
        <w:rPr>
          <w:rFonts w:ascii="Calibri" w:eastAsia="Calibri" w:hAnsi="Calibri" w:cs="Calibri"/>
          <w:sz w:val="24"/>
          <w:szCs w:val="24"/>
        </w:rPr>
        <w:t>Work execution includes a checklist for the repair itself, tracking of spare parts/tools consumed, and a full timeline showing when the order was assigned, started, and any spare-part requests raised; a functional test checklist verifies the fix before the work order is marked complete and the asset returns to operational status.</w:t>
      </w:r>
    </w:p>
    <w:p w14:paraId="2B51C85F" w14:textId="77777777" w:rsidR="00444DB4" w:rsidRDefault="005B601C">
      <w:pPr>
        <w:spacing w:before="140" w:after="60"/>
      </w:pPr>
      <w:r>
        <w:rPr>
          <w:rFonts w:ascii="Calibri" w:eastAsia="Calibri" w:hAnsi="Calibri" w:cs="Calibri"/>
          <w:b/>
          <w:bCs/>
          <w:color w:val="215E99"/>
          <w:sz w:val="32"/>
          <w:szCs w:val="32"/>
        </w:rPr>
        <w:t>4.5 Safety Inspection &amp; Incident Management</w:t>
      </w:r>
    </w:p>
    <w:p w14:paraId="7B80AB2A" w14:textId="77777777" w:rsidR="00444DB4" w:rsidRDefault="005B601C">
      <w:pPr>
        <w:pStyle w:val="ListParagraph"/>
        <w:numPr>
          <w:ilvl w:val="0"/>
          <w:numId w:val="2"/>
        </w:numPr>
        <w:spacing w:after="70"/>
      </w:pPr>
      <w:r>
        <w:rPr>
          <w:rFonts w:ascii="Calibri" w:eastAsia="Calibri" w:hAnsi="Calibri" w:cs="Calibri"/>
          <w:sz w:val="24"/>
          <w:szCs w:val="24"/>
        </w:rPr>
        <w:t>This board tracks anything safety-related separately from general maintenance — open incidents, critical incidents, and open hazards — with a pre-operation inspection type (a safety checklist run to confirm equipment is working as expected before use).</w:t>
      </w:r>
    </w:p>
    <w:p w14:paraId="1233757A" w14:textId="77777777" w:rsidR="00444DB4" w:rsidRDefault="005B601C">
      <w:pPr>
        <w:pStyle w:val="ListParagraph"/>
        <w:numPr>
          <w:ilvl w:val="0"/>
          <w:numId w:val="2"/>
        </w:numPr>
        <w:spacing w:after="70"/>
      </w:pPr>
      <w:r>
        <w:rPr>
          <w:rFonts w:ascii="Calibri" w:eastAsia="Calibri" w:hAnsi="Calibri" w:cs="Calibri"/>
          <w:sz w:val="24"/>
          <w:szCs w:val="24"/>
        </w:rPr>
        <w:t>Hazard and near-miss reporting lets anyone report an immediate-attention issue (e.g., exposed electrical wiring near a guest queue area) with location and initial risk level; safety incident management tracks when an incident was reported, notified, investigated, and resolved, with a formal risk assessment and corrective action process.</w:t>
      </w:r>
    </w:p>
    <w:p w14:paraId="5B2E8FAD" w14:textId="77777777" w:rsidR="00444DB4" w:rsidRDefault="005B601C">
      <w:pPr>
        <w:pStyle w:val="ListParagraph"/>
        <w:numPr>
          <w:ilvl w:val="0"/>
          <w:numId w:val="2"/>
        </w:numPr>
        <w:spacing w:after="70"/>
      </w:pPr>
      <w:r>
        <w:rPr>
          <w:rFonts w:ascii="Calibri" w:eastAsia="Calibri" w:hAnsi="Calibri" w:cs="Calibri"/>
          <w:sz w:val="24"/>
          <w:szCs w:val="24"/>
        </w:rPr>
        <w:t>Further capabilities include safety audits, complaint management, variance approval/closure, and safety analytics across all reported incidents.</w:t>
      </w:r>
    </w:p>
    <w:p w14:paraId="244ACF31" w14:textId="77777777" w:rsidR="00444DB4" w:rsidRDefault="005B601C">
      <w:pPr>
        <w:spacing w:before="140" w:after="60"/>
      </w:pPr>
      <w:r>
        <w:rPr>
          <w:rFonts w:ascii="Calibri" w:eastAsia="Calibri" w:hAnsi="Calibri" w:cs="Calibri"/>
          <w:b/>
          <w:bCs/>
          <w:color w:val="215E99"/>
          <w:sz w:val="32"/>
          <w:szCs w:val="32"/>
        </w:rPr>
        <w:t>4.6 Spare Parts &amp; Maintenance Inventory</w:t>
      </w:r>
    </w:p>
    <w:p w14:paraId="64FB617E" w14:textId="77777777" w:rsidR="00444DB4" w:rsidRDefault="005B601C">
      <w:pPr>
        <w:pStyle w:val="ListParagraph"/>
        <w:numPr>
          <w:ilvl w:val="0"/>
          <w:numId w:val="2"/>
        </w:numPr>
        <w:spacing w:after="70"/>
      </w:pPr>
      <w:r>
        <w:rPr>
          <w:rFonts w:ascii="Calibri" w:eastAsia="Calibri" w:hAnsi="Calibri" w:cs="Calibri"/>
          <w:sz w:val="24"/>
          <w:szCs w:val="24"/>
        </w:rPr>
        <w:t>A spare parts list gives full details on each part; part requests reserve inventory against a specific work order, with part issuance released to the assigned team once approved.</w:t>
      </w:r>
    </w:p>
    <w:p w14:paraId="1AD7FEAF" w14:textId="77777777" w:rsidR="00444DB4" w:rsidRDefault="005B601C">
      <w:pPr>
        <w:pStyle w:val="ListParagraph"/>
        <w:numPr>
          <w:ilvl w:val="0"/>
          <w:numId w:val="2"/>
        </w:numPr>
        <w:spacing w:after="70"/>
      </w:pPr>
      <w:r>
        <w:rPr>
          <w:rFonts w:ascii="Calibri" w:eastAsia="Calibri" w:hAnsi="Calibri" w:cs="Calibri"/>
          <w:sz w:val="24"/>
          <w:szCs w:val="24"/>
        </w:rPr>
        <w:t>Inter-store/inter-venue transfer moves stock between locations; reorder-level configuration flags when stock falls below a defined minimum (e.g., reorder triggered once usage drops from 5 to 4 remaining) so replenishment can be initiated; critical spare parts and stock-risk views highlight parts at risk of shortage.</w:t>
      </w:r>
    </w:p>
    <w:p w14:paraId="6B52463B" w14:textId="77777777" w:rsidR="00444DB4" w:rsidRDefault="005B601C">
      <w:pPr>
        <w:pStyle w:val="ListParagraph"/>
        <w:numPr>
          <w:ilvl w:val="0"/>
          <w:numId w:val="2"/>
        </w:numPr>
        <w:spacing w:after="70"/>
      </w:pPr>
      <w:r>
        <w:rPr>
          <w:rFonts w:ascii="Calibri" w:eastAsia="Calibri" w:hAnsi="Calibri" w:cs="Calibri"/>
          <w:sz w:val="24"/>
          <w:szCs w:val="24"/>
        </w:rPr>
        <w:lastRenderedPageBreak/>
        <w:t>Procurement handoff routes an out-of-stock or low-stock request to the procurement team for purchase approval, tracked through to fulfillment, with forecasting/analytics on spare parts usage.</w:t>
      </w:r>
    </w:p>
    <w:p w14:paraId="4E5D2A49" w14:textId="77777777" w:rsidR="00444DB4" w:rsidRDefault="005B601C">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whether spare-parts reservation should be functionality within the inventory module itself, or remain specific to the maintenance module.</w:t>
      </w:r>
    </w:p>
    <w:p w14:paraId="672C1F3D" w14:textId="77777777" w:rsidR="00444DB4" w:rsidRDefault="005B601C">
      <w:pPr>
        <w:pStyle w:val="ListParagraph"/>
        <w:numPr>
          <w:ilvl w:val="0"/>
          <w:numId w:val="2"/>
        </w:numPr>
        <w:spacing w:after="70"/>
      </w:pPr>
      <w:r>
        <w:rPr>
          <w:rFonts w:ascii="Calibri" w:eastAsia="Calibri" w:hAnsi="Calibri" w:cs="Calibri"/>
          <w:b/>
          <w:bCs/>
          <w:sz w:val="24"/>
          <w:szCs w:val="24"/>
        </w:rPr>
        <w:t xml:space="preserve">Clarified (Allam): </w:t>
      </w:r>
      <w:r>
        <w:rPr>
          <w:rFonts w:ascii="Calibri" w:eastAsia="Calibri" w:hAnsi="Calibri" w:cs="Calibri"/>
          <w:sz w:val="24"/>
          <w:szCs w:val="24"/>
        </w:rPr>
        <w:t>the maintenance module draws from and reserves against the general inventory module rather than maintaining its own separate inventory system — placing the work order and reserving spare parts is managed within the maintenance module, but the underlying stock itself belongs to the inventory module.</w:t>
      </w:r>
    </w:p>
    <w:p w14:paraId="22B75681" w14:textId="77777777" w:rsidR="00444DB4" w:rsidRDefault="005B601C">
      <w:pPr>
        <w:spacing w:before="140" w:after="60"/>
      </w:pPr>
      <w:r>
        <w:rPr>
          <w:rFonts w:ascii="Calibri" w:eastAsia="Calibri" w:hAnsi="Calibri" w:cs="Calibri"/>
          <w:b/>
          <w:bCs/>
          <w:color w:val="215E99"/>
          <w:sz w:val="32"/>
          <w:szCs w:val="32"/>
        </w:rPr>
        <w:t>4.7 Maintenance Resources, Vendor &amp; Procurement Operations</w:t>
      </w:r>
    </w:p>
    <w:p w14:paraId="6E7E698E" w14:textId="77777777" w:rsidR="00444DB4" w:rsidRDefault="005B601C">
      <w:pPr>
        <w:pStyle w:val="ListParagraph"/>
        <w:numPr>
          <w:ilvl w:val="0"/>
          <w:numId w:val="2"/>
        </w:numPr>
        <w:spacing w:after="70"/>
      </w:pPr>
      <w:r>
        <w:rPr>
          <w:rFonts w:ascii="Calibri" w:eastAsia="Calibri" w:hAnsi="Calibri" w:cs="Calibri"/>
          <w:sz w:val="24"/>
          <w:szCs w:val="24"/>
        </w:rPr>
        <w:t>This board manages who is qualified and available to perform maintenance work — a technician/team directory shows total technicians, shift availability, resource utilization, and unassigned work orders.</w:t>
      </w:r>
    </w:p>
    <w:p w14:paraId="02A44C80" w14:textId="77777777" w:rsidR="00444DB4" w:rsidRDefault="005B601C">
      <w:pPr>
        <w:pStyle w:val="ListParagraph"/>
        <w:numPr>
          <w:ilvl w:val="0"/>
          <w:numId w:val="2"/>
        </w:numPr>
        <w:spacing w:after="70"/>
      </w:pPr>
      <w:r>
        <w:rPr>
          <w:rFonts w:ascii="Calibri" w:eastAsia="Calibri" w:hAnsi="Calibri" w:cs="Calibri"/>
          <w:sz w:val="24"/>
          <w:szCs w:val="24"/>
        </w:rPr>
        <w:t>Skill, competency, and certification management ensures the right technician type (e.g., electrical vs. mechanical) is matched to a given job; shift and capacity planning shows whether available hours meet the demand implied by scheduled preventive and corrective work.</w:t>
      </w:r>
    </w:p>
    <w:p w14:paraId="74176ACB" w14:textId="77777777" w:rsidR="00444DB4" w:rsidRDefault="005B601C">
      <w:pPr>
        <w:pStyle w:val="ListParagraph"/>
        <w:numPr>
          <w:ilvl w:val="0"/>
          <w:numId w:val="2"/>
        </w:numPr>
        <w:spacing w:after="70"/>
      </w:pPr>
      <w:r>
        <w:rPr>
          <w:rFonts w:ascii="Calibri" w:eastAsia="Calibri" w:hAnsi="Calibri" w:cs="Calibri"/>
          <w:sz w:val="24"/>
          <w:szCs w:val="24"/>
        </w:rPr>
        <w:t>Smart assignment automatically matches a fault to the technician with the required skill set, with the maintenance head able to confirm the suggested assignment; external vendor/service-provider management supports outsourcing specific repairs (e.g., an elevator technician) to a third party, including vendor service requests, job tracking, and related procurement requests.</w:t>
      </w:r>
    </w:p>
    <w:p w14:paraId="4168D29A" w14:textId="77777777" w:rsidR="00444DB4" w:rsidRDefault="005B601C">
      <w:pPr>
        <w:pStyle w:val="ListParagraph"/>
        <w:numPr>
          <w:ilvl w:val="0"/>
          <w:numId w:val="2"/>
        </w:numPr>
        <w:spacing w:after="70"/>
      </w:pPr>
      <w:r>
        <w:rPr>
          <w:rFonts w:ascii="Calibri" w:eastAsia="Calibri" w:hAnsi="Calibri" w:cs="Calibri"/>
          <w:sz w:val="24"/>
          <w:szCs w:val="24"/>
        </w:rPr>
        <w:t>Shared tool/equipment tracking and consolidated resource/vendor/procurement analytics round out this board.</w:t>
      </w:r>
    </w:p>
    <w:p w14:paraId="6D643B3B" w14:textId="77777777" w:rsidR="00444DB4" w:rsidRDefault="005B601C">
      <w:pPr>
        <w:spacing w:before="140" w:after="60"/>
      </w:pPr>
      <w:r>
        <w:rPr>
          <w:rFonts w:ascii="Calibri" w:eastAsia="Calibri" w:hAnsi="Calibri" w:cs="Calibri"/>
          <w:b/>
          <w:bCs/>
          <w:color w:val="215E99"/>
          <w:sz w:val="32"/>
          <w:szCs w:val="32"/>
        </w:rPr>
        <w:t>4.8 Maintenance Intelligence &amp; Analytics</w:t>
      </w:r>
    </w:p>
    <w:p w14:paraId="394125BE" w14:textId="77777777" w:rsidR="00444DB4" w:rsidRDefault="005B601C">
      <w:pPr>
        <w:pStyle w:val="ListParagraph"/>
        <w:numPr>
          <w:ilvl w:val="0"/>
          <w:numId w:val="2"/>
        </w:numPr>
        <w:spacing w:after="70"/>
      </w:pPr>
      <w:r>
        <w:rPr>
          <w:rFonts w:ascii="Calibri" w:eastAsia="Calibri" w:hAnsi="Calibri" w:cs="Calibri"/>
          <w:sz w:val="24"/>
          <w:szCs w:val="24"/>
        </w:rPr>
        <w:t>This board consolidates analytics across all of the above — total assets and availability, asset performance, downtime and operational impact analysis, and maintenance performance/work-order completion status.</w:t>
      </w:r>
    </w:p>
    <w:p w14:paraId="1351C5AA" w14:textId="77777777" w:rsidR="00444DB4" w:rsidRDefault="005B601C">
      <w:pPr>
        <w:pStyle w:val="ListParagraph"/>
        <w:numPr>
          <w:ilvl w:val="0"/>
          <w:numId w:val="2"/>
        </w:numPr>
        <w:spacing w:after="70"/>
      </w:pPr>
      <w:r>
        <w:rPr>
          <w:rFonts w:ascii="Calibri" w:eastAsia="Calibri" w:hAnsi="Calibri" w:cs="Calibri"/>
          <w:sz w:val="24"/>
          <w:szCs w:val="24"/>
        </w:rPr>
        <w:t>Further views cover preventive vs. corrective maintenance trends, safety compliance and incident analytics, and overall maintenance cost.</w:t>
      </w:r>
    </w:p>
    <w:p w14:paraId="4318C3DA" w14:textId="77777777" w:rsidR="00444DB4" w:rsidRDefault="005B601C">
      <w:pPr>
        <w:spacing w:before="140" w:after="60"/>
      </w:pPr>
      <w:r>
        <w:rPr>
          <w:rFonts w:ascii="Calibri" w:eastAsia="Calibri" w:hAnsi="Calibri" w:cs="Calibri"/>
          <w:b/>
          <w:bCs/>
          <w:color w:val="215E99"/>
          <w:sz w:val="32"/>
          <w:szCs w:val="32"/>
        </w:rPr>
        <w:t>4.9 Developer Portal &amp; API Documentation</w:t>
      </w:r>
    </w:p>
    <w:p w14:paraId="281E6BC5" w14:textId="77777777" w:rsidR="00444DB4" w:rsidRDefault="005B601C">
      <w:pPr>
        <w:pStyle w:val="ListParagraph"/>
        <w:numPr>
          <w:ilvl w:val="0"/>
          <w:numId w:val="2"/>
        </w:numPr>
        <w:spacing w:after="70"/>
      </w:pPr>
      <w:r>
        <w:rPr>
          <w:rFonts w:ascii="Calibri" w:eastAsia="Calibri" w:hAnsi="Calibri" w:cs="Calibri"/>
          <w:sz w:val="24"/>
          <w:szCs w:val="24"/>
        </w:rPr>
        <w:t>Allam introduced the developer/sandbox platform, used for any external integration requiring API access — most commonly a B2B reseller (e.g., a platform like BookMyShow selling tickets for a TICVAI-managed attraction) but also third-party system integrations such as an external CRM.</w:t>
      </w:r>
    </w:p>
    <w:p w14:paraId="32193BC9" w14:textId="77777777" w:rsidR="00444DB4" w:rsidRDefault="005B601C">
      <w:pPr>
        <w:pStyle w:val="ListParagraph"/>
        <w:numPr>
          <w:ilvl w:val="0"/>
          <w:numId w:val="2"/>
        </w:numPr>
        <w:spacing w:after="70"/>
      </w:pPr>
      <w:r>
        <w:rPr>
          <w:rFonts w:ascii="Calibri" w:eastAsia="Calibri" w:hAnsi="Calibri" w:cs="Calibri"/>
          <w:sz w:val="24"/>
          <w:szCs w:val="24"/>
        </w:rPr>
        <w:t>A developer account is provisioned once an NDA and integration scope are agreed; the portal then gives access to API documentation, an API catalog, code samples, and a “try it” request/response testing tool, replacing what is otherwise a manual back-and-forth process (sharing documentation, running sessions, manually issuing credentials, running integration test cases before certifying a partner for production).</w:t>
      </w:r>
    </w:p>
    <w:p w14:paraId="0D1751FC" w14:textId="77777777" w:rsidR="00444DB4" w:rsidRDefault="005B601C">
      <w:pPr>
        <w:pStyle w:val="ListParagraph"/>
        <w:numPr>
          <w:ilvl w:val="0"/>
          <w:numId w:val="2"/>
        </w:numPr>
        <w:spacing w:after="70"/>
      </w:pPr>
      <w:r>
        <w:rPr>
          <w:rFonts w:ascii="Calibri" w:eastAsia="Calibri" w:hAnsi="Calibri" w:cs="Calibri"/>
          <w:b/>
          <w:bCs/>
          <w:sz w:val="24"/>
          <w:szCs w:val="24"/>
        </w:rPr>
        <w:lastRenderedPageBreak/>
        <w:t xml:space="preserve">Key control (Allam): </w:t>
      </w:r>
      <w:r>
        <w:rPr>
          <w:rFonts w:ascii="Calibri" w:eastAsia="Calibri" w:hAnsi="Calibri" w:cs="Calibri"/>
          <w:sz w:val="24"/>
          <w:szCs w:val="24"/>
        </w:rPr>
        <w:t>product, ticket, and performance creation will not be exposed to third-party developers via API by default — pricing and product configuration remain fully controlled within TICVAI's own platform. Resellers/partners can fetch already-configured products and their pricing via API, but cannot create or modify products themselves, preserving TICVAI's control over commercial configuration; an exception mechanism can be considered for genuine cases, but this is not the default behavior.</w:t>
      </w:r>
    </w:p>
    <w:p w14:paraId="52B0DA5B" w14:textId="77777777" w:rsidR="00444DB4" w:rsidRDefault="005B601C">
      <w:pPr>
        <w:pStyle w:val="ListParagraph"/>
        <w:numPr>
          <w:ilvl w:val="0"/>
          <w:numId w:val="2"/>
        </w:numPr>
        <w:spacing w:after="70"/>
      </w:pPr>
      <w:r>
        <w:rPr>
          <w:rFonts w:ascii="Calibri" w:eastAsia="Calibri" w:hAnsi="Calibri" w:cs="Calibri"/>
          <w:b/>
          <w:bCs/>
          <w:sz w:val="24"/>
          <w:szCs w:val="24"/>
        </w:rPr>
        <w:t xml:space="preserve">Confirmed (Chinmay): </w:t>
      </w:r>
      <w:r>
        <w:rPr>
          <w:rFonts w:ascii="Calibri" w:eastAsia="Calibri" w:hAnsi="Calibri" w:cs="Calibri"/>
          <w:sz w:val="24"/>
          <w:szCs w:val="24"/>
        </w:rPr>
        <w:t>this means product creation is handled through onboarding/configuration rather than exposed as an API — aligning with the venue-management controls discussed in an earlier session.</w:t>
      </w:r>
    </w:p>
    <w:p w14:paraId="65B5BC88" w14:textId="77777777" w:rsidR="00444DB4" w:rsidRDefault="005B601C">
      <w:pPr>
        <w:pStyle w:val="ListParagraph"/>
        <w:numPr>
          <w:ilvl w:val="0"/>
          <w:numId w:val="2"/>
        </w:numPr>
        <w:spacing w:after="70"/>
      </w:pPr>
      <w:r>
        <w:rPr>
          <w:rFonts w:ascii="Calibri" w:eastAsia="Calibri" w:hAnsi="Calibri" w:cs="Calibri"/>
          <w:sz w:val="24"/>
          <w:szCs w:val="24"/>
        </w:rPr>
        <w:t>The portal includes a product/data schema reference (field requirements, min/max lengths), an interactive API tester showing live request/response, and an SDK library with ready-to-use sample code in multiple languages (JavaScript, Python, Java, .NET) so partners don't need to build integration code from scratch, alongside a Postman collection and full developer documentation.</w:t>
      </w:r>
    </w:p>
    <w:p w14:paraId="080EA7B1" w14:textId="77777777" w:rsidR="00444DB4" w:rsidRDefault="005B601C">
      <w:pPr>
        <w:spacing w:before="140" w:after="60"/>
      </w:pPr>
      <w:r>
        <w:rPr>
          <w:rFonts w:ascii="Calibri" w:eastAsia="Calibri" w:hAnsi="Calibri" w:cs="Calibri"/>
          <w:b/>
          <w:bCs/>
          <w:color w:val="215E99"/>
          <w:sz w:val="32"/>
          <w:szCs w:val="32"/>
        </w:rPr>
        <w:t>4.10 Developer Accounts, API Credentials &amp; Sandbox/Production Separation</w:t>
      </w:r>
    </w:p>
    <w:p w14:paraId="3543F590" w14:textId="77777777" w:rsidR="00444DB4" w:rsidRDefault="005B601C">
      <w:pPr>
        <w:pStyle w:val="ListParagraph"/>
        <w:numPr>
          <w:ilvl w:val="0"/>
          <w:numId w:val="2"/>
        </w:numPr>
        <w:spacing w:after="70"/>
      </w:pPr>
      <w:r>
        <w:rPr>
          <w:rFonts w:ascii="Calibri" w:eastAsia="Calibri" w:hAnsi="Calibri" w:cs="Calibri"/>
          <w:sz w:val="24"/>
          <w:szCs w:val="24"/>
        </w:rPr>
        <w:t>Developer/partner accounts capture company details, purpose of access (ticketing integration, POS integration, CRM, ERP, etc.), and organization association; one company can have multiple developer accounts if several individuals need access.</w:t>
      </w:r>
    </w:p>
    <w:p w14:paraId="0B305B00" w14:textId="77777777" w:rsidR="00444DB4" w:rsidRDefault="005B601C">
      <w:pPr>
        <w:pStyle w:val="ListParagraph"/>
        <w:numPr>
          <w:ilvl w:val="0"/>
          <w:numId w:val="2"/>
        </w:numPr>
        <w:spacing w:after="70"/>
      </w:pPr>
      <w:r>
        <w:rPr>
          <w:rFonts w:ascii="Calibri" w:eastAsia="Calibri" w:hAnsi="Calibri" w:cs="Calibri"/>
          <w:sz w:val="24"/>
          <w:szCs w:val="24"/>
        </w:rPr>
        <w:t>API key management supports either partner-generated or TICVAI-generated keys, with configurable expiry; keys issued for the sandbox environment are explicitly separate from production keys, and production access is only granted after certification.</w:t>
      </w:r>
    </w:p>
    <w:p w14:paraId="591FBFA1" w14:textId="77777777" w:rsidR="00444DB4" w:rsidRDefault="005B601C">
      <w:pPr>
        <w:pStyle w:val="ListParagraph"/>
        <w:numPr>
          <w:ilvl w:val="0"/>
          <w:numId w:val="2"/>
        </w:numPr>
        <w:spacing w:after="70"/>
      </w:pPr>
      <w:r>
        <w:rPr>
          <w:rFonts w:ascii="Calibri" w:eastAsia="Calibri" w:hAnsi="Calibri" w:cs="Calibri"/>
          <w:sz w:val="24"/>
          <w:szCs w:val="24"/>
        </w:rPr>
        <w:t>Client secret and broader credential security round out this board, governing how API access is authenticated and secured.</w:t>
      </w:r>
    </w:p>
    <w:p w14:paraId="320758E8" w14:textId="77777777" w:rsidR="00444DB4" w:rsidRDefault="005B601C">
      <w:pPr>
        <w:spacing w:before="140" w:after="60"/>
      </w:pPr>
      <w:r>
        <w:rPr>
          <w:rFonts w:ascii="Calibri" w:eastAsia="Calibri" w:hAnsi="Calibri" w:cs="Calibri"/>
          <w:b/>
          <w:bCs/>
          <w:color w:val="215E99"/>
          <w:sz w:val="32"/>
          <w:szCs w:val="32"/>
        </w:rPr>
        <w:t>4.11 API Gateway Security &amp; Access Control</w:t>
      </w:r>
    </w:p>
    <w:p w14:paraId="5EEA98D1" w14:textId="77777777" w:rsidR="00444DB4" w:rsidRDefault="005B601C">
      <w:pPr>
        <w:pStyle w:val="ListParagraph"/>
        <w:numPr>
          <w:ilvl w:val="0"/>
          <w:numId w:val="2"/>
        </w:numPr>
        <w:spacing w:after="70"/>
      </w:pPr>
      <w:r>
        <w:rPr>
          <w:rFonts w:ascii="Calibri" w:eastAsia="Calibri" w:hAnsi="Calibri" w:cs="Calibri"/>
          <w:sz w:val="24"/>
          <w:szCs w:val="24"/>
        </w:rPr>
        <w:t>An access policy builder defines which environment, APIs, and validity period apply to a given integration (e.g., mobile app policy, environment, active date range); permissions can be scoped and bundled by module.</w:t>
      </w:r>
    </w:p>
    <w:p w14:paraId="68F57047" w14:textId="77777777" w:rsidR="00444DB4" w:rsidRDefault="005B601C">
      <w:pPr>
        <w:pStyle w:val="ListParagraph"/>
        <w:numPr>
          <w:ilvl w:val="0"/>
          <w:numId w:val="2"/>
        </w:numPr>
        <w:spacing w:after="70"/>
      </w:pPr>
      <w:r>
        <w:rPr>
          <w:rFonts w:ascii="Calibri" w:eastAsia="Calibri" w:hAnsi="Calibri" w:cs="Calibri"/>
          <w:b/>
          <w:bCs/>
          <w:sz w:val="24"/>
          <w:szCs w:val="24"/>
        </w:rPr>
        <w:t xml:space="preserve">Module-based API bundling: </w:t>
      </w:r>
      <w:r>
        <w:rPr>
          <w:rFonts w:ascii="Calibri" w:eastAsia="Calibri" w:hAnsi="Calibri" w:cs="Calibri"/>
          <w:sz w:val="24"/>
          <w:szCs w:val="24"/>
        </w:rPr>
        <w:t>APIs are grouped by module (e.g., ticketing-read, ticketing-write, ticketing-products-read, membership-read) so a partner can be granted access scoped to exactly the module they need — e.g., a CRM integration partner receives only CRM-relevant APIs, not the full catalog.</w:t>
      </w:r>
    </w:p>
    <w:p w14:paraId="2AE13247" w14:textId="77777777" w:rsidR="00444DB4" w:rsidRDefault="005B601C">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how custom/limited API access is technically controlled — e.g., whether this requires a separate backend service and dedicated tables for custom APIs, given some data (like products) is deliberately excluded from partner access.</w:t>
      </w:r>
    </w:p>
    <w:p w14:paraId="1C52A982" w14:textId="77777777" w:rsidR="00444DB4" w:rsidRDefault="005B601C">
      <w:pPr>
        <w:pStyle w:val="ListParagraph"/>
        <w:numPr>
          <w:ilvl w:val="0"/>
          <w:numId w:val="2"/>
        </w:numPr>
        <w:spacing w:after="70"/>
      </w:pPr>
      <w:r>
        <w:rPr>
          <w:rFonts w:ascii="Calibri" w:eastAsia="Calibri" w:hAnsi="Calibri" w:cs="Calibri"/>
          <w:b/>
          <w:bCs/>
          <w:sz w:val="24"/>
          <w:szCs w:val="24"/>
        </w:rPr>
        <w:t xml:space="preserve">Response (Allam): </w:t>
      </w:r>
      <w:r>
        <w:rPr>
          <w:rFonts w:ascii="Calibri" w:eastAsia="Calibri" w:hAnsi="Calibri" w:cs="Calibri"/>
          <w:sz w:val="24"/>
          <w:szCs w:val="24"/>
        </w:rPr>
        <w:t>pointed to the module-based API licensing/scope-and-permission structure already shown as the mechanism — access is controlled at the module level (which APIs within a module a partner can read/write), rather than requiring a fully separate backend per integration.</w:t>
      </w:r>
    </w:p>
    <w:p w14:paraId="2A3DA04B" w14:textId="77777777" w:rsidR="00444DB4" w:rsidRDefault="005B601C">
      <w:pPr>
        <w:pStyle w:val="ListParagraph"/>
        <w:numPr>
          <w:ilvl w:val="0"/>
          <w:numId w:val="2"/>
        </w:numPr>
        <w:spacing w:after="70"/>
      </w:pPr>
      <w:r>
        <w:rPr>
          <w:rFonts w:ascii="Calibri" w:eastAsia="Calibri" w:hAnsi="Calibri" w:cs="Calibri"/>
          <w:sz w:val="24"/>
          <w:szCs w:val="24"/>
        </w:rPr>
        <w:t xml:space="preserve">Tenant-level API access configuration allows scoping to a specific tenant or across multiple tenants; rate-limit and throttling-policy management controls how many requests a given </w:t>
      </w:r>
      <w:r>
        <w:rPr>
          <w:rFonts w:ascii="Calibri" w:eastAsia="Calibri" w:hAnsi="Calibri" w:cs="Calibri"/>
          <w:sz w:val="24"/>
          <w:szCs w:val="24"/>
        </w:rPr>
        <w:lastRenderedPageBreak/>
        <w:t>API/partner can make; IP whitelisting restricts API endpoints to approved partner IP addresses rather than leaving them open to the public internet; API security monitoring flags excessive or abnormal request volume.</w:t>
      </w:r>
    </w:p>
    <w:p w14:paraId="193B1C57" w14:textId="77777777" w:rsidR="00444DB4" w:rsidRDefault="005B601C">
      <w:pPr>
        <w:spacing w:before="140" w:after="60"/>
      </w:pPr>
      <w:r>
        <w:rPr>
          <w:rFonts w:ascii="Calibri" w:eastAsia="Calibri" w:hAnsi="Calibri" w:cs="Calibri"/>
          <w:b/>
          <w:bCs/>
          <w:color w:val="215E99"/>
          <w:sz w:val="32"/>
          <w:szCs w:val="32"/>
        </w:rPr>
        <w:t>4.12 API Monitoring, Webhooks &amp; Lifecycle Management</w:t>
      </w:r>
    </w:p>
    <w:p w14:paraId="0BBAE6D6" w14:textId="77777777" w:rsidR="00444DB4" w:rsidRDefault="005B601C">
      <w:pPr>
        <w:pStyle w:val="ListParagraph"/>
        <w:numPr>
          <w:ilvl w:val="0"/>
          <w:numId w:val="2"/>
        </w:numPr>
        <w:spacing w:after="70"/>
      </w:pPr>
      <w:r>
        <w:rPr>
          <w:rFonts w:ascii="Calibri" w:eastAsia="Calibri" w:hAnsi="Calibri" w:cs="Calibri"/>
          <w:sz w:val="24"/>
          <w:szCs w:val="24"/>
        </w:rPr>
        <w:t>API monitoring analytics shows total requests/responses, usage, consumption, performance, latency, error rates, success/failure analysis, integration health, and developer adoption trends.</w:t>
      </w:r>
    </w:p>
    <w:p w14:paraId="1C36602F" w14:textId="77777777" w:rsidR="00444DB4" w:rsidRDefault="005B601C">
      <w:pPr>
        <w:pStyle w:val="ListParagraph"/>
        <w:numPr>
          <w:ilvl w:val="0"/>
          <w:numId w:val="2"/>
        </w:numPr>
        <w:spacing w:after="70"/>
      </w:pPr>
      <w:r>
        <w:rPr>
          <w:rFonts w:ascii="Calibri" w:eastAsia="Calibri" w:hAnsi="Calibri" w:cs="Calibri"/>
          <w:sz w:val="24"/>
          <w:szCs w:val="24"/>
        </w:rPr>
        <w:t>Webhooks and event management let TICVAI push information to a partner's external system (or vice versa) on a triggered or scheduled basis, with delivery monitoring, event routing, and subscription management.</w:t>
      </w:r>
    </w:p>
    <w:p w14:paraId="6D14A6A4" w14:textId="77777777" w:rsidR="00444DB4" w:rsidRDefault="005B601C">
      <w:pPr>
        <w:pStyle w:val="ListParagraph"/>
        <w:numPr>
          <w:ilvl w:val="0"/>
          <w:numId w:val="2"/>
        </w:numPr>
        <w:spacing w:after="70"/>
      </w:pPr>
      <w:r>
        <w:rPr>
          <w:rFonts w:ascii="Calibri" w:eastAsia="Calibri" w:hAnsi="Calibri" w:cs="Calibri"/>
          <w:sz w:val="24"/>
          <w:szCs w:val="24"/>
        </w:rPr>
        <w:t>API lifecycle management handles versioning, change management, breaking-change detection and impact analysis, deprecation and migration management, and developer-facing change communication as APIs evolve.</w:t>
      </w:r>
    </w:p>
    <w:p w14:paraId="4C49CAED" w14:textId="77777777" w:rsidR="00444DB4" w:rsidRDefault="005B601C">
      <w:pPr>
        <w:spacing w:before="140" w:after="60"/>
      </w:pPr>
      <w:r>
        <w:rPr>
          <w:rFonts w:ascii="Calibri" w:eastAsia="Calibri" w:hAnsi="Calibri" w:cs="Calibri"/>
          <w:b/>
          <w:bCs/>
          <w:color w:val="215E99"/>
          <w:sz w:val="32"/>
          <w:szCs w:val="32"/>
        </w:rPr>
        <w:t>4.13 Sandbox Environment &amp; Partner Ecosystem Analytics</w:t>
      </w:r>
    </w:p>
    <w:p w14:paraId="45FACEEC" w14:textId="77777777" w:rsidR="00444DB4" w:rsidRDefault="005B601C">
      <w:pPr>
        <w:pStyle w:val="ListParagraph"/>
        <w:numPr>
          <w:ilvl w:val="0"/>
          <w:numId w:val="2"/>
        </w:numPr>
        <w:spacing w:after="70"/>
      </w:pPr>
      <w:r>
        <w:rPr>
          <w:rFonts w:ascii="Calibri" w:eastAsia="Calibri" w:hAnsi="Calibri" w:cs="Calibri"/>
          <w:sz w:val="24"/>
          <w:szCs w:val="24"/>
        </w:rPr>
        <w:t>The sandbox environment is where any developer/reseller builds and tests their integration before certification; once testing is complete and certified, the partner is moved to production with production credentials.</w:t>
      </w:r>
    </w:p>
    <w:p w14:paraId="41E111FF" w14:textId="77777777" w:rsidR="00444DB4" w:rsidRDefault="005B601C">
      <w:pPr>
        <w:pStyle w:val="ListParagraph"/>
        <w:numPr>
          <w:ilvl w:val="0"/>
          <w:numId w:val="2"/>
        </w:numPr>
        <w:spacing w:after="70"/>
      </w:pPr>
      <w:r>
        <w:rPr>
          <w:rFonts w:ascii="Calibri" w:eastAsia="Calibri" w:hAnsi="Calibri" w:cs="Calibri"/>
          <w:sz w:val="24"/>
          <w:szCs w:val="24"/>
        </w:rPr>
        <w:t>API coverage and partner ecosystem analytics show which business modules/functions have APIs enabled and consumption analytics across the full partner ecosystem.</w:t>
      </w:r>
    </w:p>
    <w:p w14:paraId="727C2A71" w14:textId="77777777" w:rsidR="00444DB4" w:rsidRDefault="005B601C">
      <w:pPr>
        <w:pStyle w:val="ListParagraph"/>
        <w:numPr>
          <w:ilvl w:val="0"/>
          <w:numId w:val="2"/>
        </w:numPr>
        <w:spacing w:after="70"/>
      </w:pPr>
      <w:r>
        <w:rPr>
          <w:rFonts w:ascii="Calibri" w:eastAsia="Calibri" w:hAnsi="Calibri" w:cs="Calibri"/>
          <w:b/>
          <w:bCs/>
          <w:sz w:val="24"/>
          <w:szCs w:val="24"/>
        </w:rPr>
        <w:t xml:space="preserve">Noted (Chinmay): </w:t>
      </w:r>
      <w:r>
        <w:rPr>
          <w:rFonts w:ascii="Calibri" w:eastAsia="Calibri" w:hAnsi="Calibri" w:cs="Calibri"/>
          <w:sz w:val="24"/>
          <w:szCs w:val="24"/>
        </w:rPr>
        <w:t>flagged reservations about the complexity of the developer/API module and requested time to review the documentation internally before raising detailed questions, along with a request that documentation be organized by module (which APIs belong to which module) to make review faster — Allam agreed this categorization would also help clients understand exactly which module's APIs to request access to (e.g., only CRM-related APIs for a CRM integration).</w:t>
      </w:r>
    </w:p>
    <w:p w14:paraId="207523D8" w14:textId="77777777" w:rsidR="00444DB4" w:rsidRDefault="005B601C">
      <w:pPr>
        <w:spacing w:before="140" w:after="60"/>
      </w:pPr>
      <w:r>
        <w:rPr>
          <w:rFonts w:ascii="Calibri" w:eastAsia="Calibri" w:hAnsi="Calibri" w:cs="Calibri"/>
          <w:b/>
          <w:bCs/>
          <w:color w:val="215E99"/>
          <w:sz w:val="32"/>
          <w:szCs w:val="32"/>
        </w:rPr>
        <w:t>4.14 Guest Web App — Live UI/UX Feedback Walkthrough</w:t>
      </w:r>
    </w:p>
    <w:p w14:paraId="48ECD36F" w14:textId="77777777" w:rsidR="00444DB4" w:rsidRDefault="005B601C">
      <w:pPr>
        <w:pStyle w:val="ListParagraph"/>
        <w:numPr>
          <w:ilvl w:val="0"/>
          <w:numId w:val="2"/>
        </w:numPr>
        <w:spacing w:after="70"/>
      </w:pPr>
      <w:r>
        <w:rPr>
          <w:rFonts w:ascii="Calibri" w:eastAsia="Calibri" w:hAnsi="Calibri" w:cs="Calibri"/>
          <w:sz w:val="24"/>
          <w:szCs w:val="24"/>
        </w:rPr>
        <w:t>With core/conventional topics substantially complete, the team spent the remainder of the session reviewing Chinmay's guest web app prototype live, with Allam providing detailed, specific feedback.</w:t>
      </w:r>
    </w:p>
    <w:p w14:paraId="40782B7B" w14:textId="77777777" w:rsidR="00444DB4" w:rsidRDefault="005B601C">
      <w:pPr>
        <w:pStyle w:val="ListParagraph"/>
        <w:numPr>
          <w:ilvl w:val="0"/>
          <w:numId w:val="2"/>
        </w:numPr>
        <w:spacing w:after="70"/>
      </w:pPr>
      <w:r>
        <w:rPr>
          <w:rFonts w:ascii="Calibri" w:eastAsia="Calibri" w:hAnsi="Calibri" w:cs="Calibri"/>
          <w:b/>
          <w:bCs/>
          <w:sz w:val="24"/>
          <w:szCs w:val="24"/>
        </w:rPr>
        <w:t xml:space="preserve">Date/availability display: </w:t>
      </w:r>
      <w:r>
        <w:rPr>
          <w:rFonts w:ascii="Calibri" w:eastAsia="Calibri" w:hAnsi="Calibri" w:cs="Calibri"/>
          <w:sz w:val="24"/>
          <w:szCs w:val="24"/>
        </w:rPr>
        <w:t>referencing the “Little Explorer” reference site, Allam recommended showing only a short near-term availability window by default (e.g., the next 7 days) with a calendar icon to expand into a full calendar for later dates, rather than the longer flat date range (e.g., 15 days) currently shown — simplifying the guest's initial view while still allowing later-date booking.</w:t>
      </w:r>
    </w:p>
    <w:p w14:paraId="5D28E593" w14:textId="77777777" w:rsidR="00444DB4" w:rsidRDefault="005B601C">
      <w:pPr>
        <w:pStyle w:val="ListParagraph"/>
        <w:numPr>
          <w:ilvl w:val="0"/>
          <w:numId w:val="2"/>
        </w:numPr>
        <w:spacing w:after="70"/>
      </w:pPr>
      <w:r>
        <w:rPr>
          <w:rFonts w:ascii="Calibri" w:eastAsia="Calibri" w:hAnsi="Calibri" w:cs="Calibri"/>
          <w:b/>
          <w:bCs/>
          <w:sz w:val="24"/>
          <w:szCs w:val="24"/>
        </w:rPr>
        <w:t xml:space="preserve">Seat/zone selection — key feedback: </w:t>
      </w:r>
      <w:r>
        <w:rPr>
          <w:rFonts w:ascii="Calibri" w:eastAsia="Calibri" w:hAnsi="Calibri" w:cs="Calibri"/>
          <w:sz w:val="24"/>
          <w:szCs w:val="24"/>
        </w:rPr>
        <w:t>Allam felt the current flow (a list of tier names like “VIP box,” “lower tier,” “upper tier” with no spatial context) doesn't give guests a clear sense of where each option actually is relative to the stage. Referencing Platinum List Dubai as a model, he recommended showing a full, color-coded visual map of the entire venue upfront — each zone color-coded with its price clearly visible (e.g., gold near the stage at a higher price, blue further away at a lower price) — so guests can understand location and p</w:t>
      </w:r>
      <w:r>
        <w:rPr>
          <w:rFonts w:ascii="Calibri" w:eastAsia="Calibri" w:hAnsi="Calibri" w:cs="Calibri"/>
          <w:sz w:val="24"/>
          <w:szCs w:val="24"/>
        </w:rPr>
        <w:t>rice together before drilling into a specific section's detailed 2D/3D seat view.</w:t>
      </w:r>
    </w:p>
    <w:p w14:paraId="04FC14B8" w14:textId="77777777" w:rsidR="00444DB4" w:rsidRDefault="005B601C">
      <w:pPr>
        <w:pStyle w:val="ListParagraph"/>
        <w:numPr>
          <w:ilvl w:val="0"/>
          <w:numId w:val="2"/>
        </w:numPr>
        <w:spacing w:after="70"/>
      </w:pPr>
      <w:r>
        <w:rPr>
          <w:rFonts w:ascii="Calibri" w:eastAsia="Calibri" w:hAnsi="Calibri" w:cs="Calibri"/>
          <w:b/>
          <w:bCs/>
          <w:sz w:val="24"/>
          <w:szCs w:val="24"/>
        </w:rPr>
        <w:lastRenderedPageBreak/>
        <w:t xml:space="preserve">Agreed (Chinmay): </w:t>
      </w:r>
      <w:r>
        <w:rPr>
          <w:rFonts w:ascii="Calibri" w:eastAsia="Calibri" w:hAnsi="Calibri" w:cs="Calibri"/>
          <w:sz w:val="24"/>
          <w:szCs w:val="24"/>
        </w:rPr>
        <w:t>confirmed this makes sense and committed to correcting the flow so the color-coded zone options are shown directly on the map rather than as a separate list.</w:t>
      </w:r>
    </w:p>
    <w:p w14:paraId="55B381ED" w14:textId="77777777" w:rsidR="00444DB4" w:rsidRDefault="005B601C">
      <w:pPr>
        <w:pStyle w:val="ListParagraph"/>
        <w:numPr>
          <w:ilvl w:val="0"/>
          <w:numId w:val="2"/>
        </w:numPr>
        <w:spacing w:after="70"/>
      </w:pPr>
      <w:r>
        <w:rPr>
          <w:rFonts w:ascii="Calibri" w:eastAsia="Calibri" w:hAnsi="Calibri" w:cs="Calibri"/>
          <w:b/>
          <w:bCs/>
          <w:sz w:val="24"/>
          <w:szCs w:val="24"/>
        </w:rPr>
        <w:t xml:space="preserve">Product media — video content: </w:t>
      </w:r>
      <w:r>
        <w:rPr>
          <w:rFonts w:ascii="Calibri" w:eastAsia="Calibri" w:hAnsi="Calibri" w:cs="Calibri"/>
          <w:sz w:val="24"/>
          <w:szCs w:val="24"/>
        </w:rPr>
        <w:t>Qossai and Allam both emphasized that product pages should include short video content (e.g., a 10–15 second clip), not only static images, to give guests a stronger sense of the actual experience (e.g., a ride) before booking — citing this as an increasingly important trend in entertainment/ticketing platforms. Chinmay noted current images are placeholder stock photography (from Unsplash) pending real venue assets.</w:t>
      </w:r>
    </w:p>
    <w:p w14:paraId="628C4BF2" w14:textId="77777777" w:rsidR="00444DB4" w:rsidRDefault="005B601C">
      <w:pPr>
        <w:pStyle w:val="ListParagraph"/>
        <w:numPr>
          <w:ilvl w:val="0"/>
          <w:numId w:val="2"/>
        </w:numPr>
        <w:spacing w:after="70"/>
      </w:pPr>
      <w:r>
        <w:rPr>
          <w:rFonts w:ascii="Calibri" w:eastAsia="Calibri" w:hAnsi="Calibri" w:cs="Calibri"/>
          <w:b/>
          <w:bCs/>
          <w:sz w:val="24"/>
          <w:szCs w:val="24"/>
        </w:rPr>
        <w:t xml:space="preserve">Branding/customization flexibility (Qossai): </w:t>
      </w:r>
      <w:r>
        <w:rPr>
          <w:rFonts w:ascii="Calibri" w:eastAsia="Calibri" w:hAnsi="Calibri" w:cs="Calibri"/>
          <w:sz w:val="24"/>
          <w:szCs w:val="24"/>
        </w:rPr>
        <w:t>liked the white-labeling concept shown but wants greater flexibility — e.g., being able to customize the color of specific interactive elements (such as the “pay now” / “purchase” button) independently, not just an overall palette — while keeping the overall guest experience as a standardized flow with configurable limits, plus back-end flexibility to accommodate specific client requests beyond the standard options.</w:t>
      </w:r>
    </w:p>
    <w:p w14:paraId="3B4A5D81" w14:textId="77777777" w:rsidR="00444DB4" w:rsidRDefault="005B601C">
      <w:pPr>
        <w:pStyle w:val="ListParagraph"/>
        <w:numPr>
          <w:ilvl w:val="0"/>
          <w:numId w:val="2"/>
        </w:numPr>
        <w:spacing w:after="70"/>
      </w:pPr>
      <w:r>
        <w:rPr>
          <w:rFonts w:ascii="Calibri" w:eastAsia="Calibri" w:hAnsi="Calibri" w:cs="Calibri"/>
          <w:sz w:val="24"/>
          <w:szCs w:val="24"/>
        </w:rPr>
        <w:t>Both sides agreed this prototype work is the one area needing dedicated, iterative attention (unlike the largely in-house/back-end modules), and agreed to schedule a focused follow-up session next week once AI sessions are complete.</w:t>
      </w:r>
    </w:p>
    <w:p w14:paraId="2EF1E87E" w14:textId="77777777" w:rsidR="00444DB4" w:rsidRDefault="005B601C">
      <w:pPr>
        <w:spacing w:before="140" w:after="60"/>
      </w:pPr>
      <w:r>
        <w:rPr>
          <w:rFonts w:ascii="Calibri" w:eastAsia="Calibri" w:hAnsi="Calibri" w:cs="Calibri"/>
          <w:b/>
          <w:bCs/>
          <w:color w:val="215E99"/>
          <w:sz w:val="32"/>
          <w:szCs w:val="32"/>
        </w:rPr>
        <w:t>4.15 Planning &amp; Next Steps</w:t>
      </w:r>
    </w:p>
    <w:p w14:paraId="11710052" w14:textId="77777777" w:rsidR="00444DB4" w:rsidRDefault="005B601C">
      <w:pPr>
        <w:pStyle w:val="ListParagraph"/>
        <w:numPr>
          <w:ilvl w:val="0"/>
          <w:numId w:val="2"/>
        </w:numPr>
        <w:spacing w:after="70"/>
      </w:pPr>
      <w:r>
        <w:rPr>
          <w:rFonts w:ascii="Calibri" w:eastAsia="Calibri" w:hAnsi="Calibri" w:cs="Calibri"/>
          <w:b/>
          <w:bCs/>
          <w:sz w:val="24"/>
          <w:szCs w:val="24"/>
        </w:rPr>
        <w:t xml:space="preserve">Schedule (Allam/Qossai): </w:t>
      </w:r>
      <w:r>
        <w:rPr>
          <w:rFonts w:ascii="Calibri" w:eastAsia="Calibri" w:hAnsi="Calibri" w:cs="Calibri"/>
          <w:sz w:val="24"/>
          <w:szCs w:val="24"/>
        </w:rPr>
        <w:t>tomorrow's session moves to 10:00 Dubai time (later than usual) due to Friday prayers, covering AI topics; any remaining AI content will finish Monday if needed.</w:t>
      </w:r>
    </w:p>
    <w:p w14:paraId="3725F566" w14:textId="77777777" w:rsidR="00444DB4" w:rsidRDefault="005B601C">
      <w:pPr>
        <w:pStyle w:val="ListParagraph"/>
        <w:numPr>
          <w:ilvl w:val="0"/>
          <w:numId w:val="2"/>
        </w:numPr>
        <w:spacing w:after="70"/>
      </w:pPr>
      <w:r>
        <w:rPr>
          <w:rFonts w:ascii="Calibri" w:eastAsia="Calibri" w:hAnsi="Calibri" w:cs="Calibri"/>
          <w:b/>
          <w:bCs/>
          <w:sz w:val="24"/>
          <w:szCs w:val="24"/>
        </w:rPr>
        <w:t xml:space="preserve">Following week (Qossai): </w:t>
      </w:r>
      <w:r>
        <w:rPr>
          <w:rFonts w:ascii="Calibri" w:eastAsia="Calibri" w:hAnsi="Calibri" w:cs="Calibri"/>
          <w:sz w:val="24"/>
          <w:szCs w:val="24"/>
        </w:rPr>
        <w:t>proposed roughly two days to complete AI topics (if not finished Friday/Monday), followed by two dedicated days for guest mobile app and website UI/UX discussion — agreed by Chinmay.</w:t>
      </w:r>
    </w:p>
    <w:p w14:paraId="464418F4" w14:textId="77777777" w:rsidR="00444DB4" w:rsidRDefault="005B601C">
      <w:pPr>
        <w:pStyle w:val="ListParagraph"/>
        <w:numPr>
          <w:ilvl w:val="0"/>
          <w:numId w:val="2"/>
        </w:numPr>
        <w:spacing w:after="70"/>
      </w:pPr>
      <w:r>
        <w:rPr>
          <w:rFonts w:ascii="Calibri" w:eastAsia="Calibri" w:hAnsi="Calibri" w:cs="Calibri"/>
          <w:sz w:val="24"/>
          <w:szCs w:val="24"/>
        </w:rPr>
        <w:t>Allam confirmed he would send today's documentation (asset management/safety and sandbox/API) later today.</w:t>
      </w:r>
    </w:p>
    <w:p w14:paraId="3D7E2CBF" w14:textId="77777777" w:rsidR="00444DB4" w:rsidRDefault="005B601C">
      <w:pPr>
        <w:pStyle w:val="ListParagraph"/>
        <w:numPr>
          <w:ilvl w:val="0"/>
          <w:numId w:val="2"/>
        </w:numPr>
        <w:spacing w:after="70"/>
      </w:pPr>
      <w:r>
        <w:rPr>
          <w:rFonts w:ascii="Calibri" w:eastAsia="Calibri" w:hAnsi="Calibri" w:cs="Calibri"/>
          <w:b/>
          <w:bCs/>
          <w:sz w:val="24"/>
          <w:szCs w:val="24"/>
        </w:rPr>
        <w:t xml:space="preserve">POS follow-up (Allam): </w:t>
      </w:r>
      <w:r>
        <w:rPr>
          <w:rFonts w:ascii="Calibri" w:eastAsia="Calibri" w:hAnsi="Calibri" w:cs="Calibri"/>
          <w:sz w:val="24"/>
          <w:szCs w:val="24"/>
        </w:rPr>
        <w:t>checked whether Chinmay's team had reviewed and understood the earlier POS UI/UX feedback document; Pradnya confirmed revisions are in progress and will be shared by end of day or tomorrow for Allam's weekend review, ahead of further discussion next week.</w:t>
      </w:r>
    </w:p>
    <w:p w14:paraId="2C8768A4" w14:textId="77777777" w:rsidR="00444DB4" w:rsidRDefault="005B601C">
      <w:pPr>
        <w:spacing w:before="180" w:after="100"/>
      </w:pPr>
      <w:r>
        <w:rPr>
          <w:rFonts w:ascii="Calibri" w:eastAsia="Calibri" w:hAnsi="Calibri" w:cs="Calibri"/>
          <w:b/>
          <w:bCs/>
          <w:color w:val="215E99"/>
          <w:sz w:val="32"/>
          <w:szCs w:val="32"/>
        </w:rPr>
        <w:t>5. Key Decisions &amp; Agreements</w:t>
      </w:r>
    </w:p>
    <w:p w14:paraId="61C61978" w14:textId="77777777" w:rsidR="00444DB4" w:rsidRDefault="005B601C">
      <w:pPr>
        <w:pStyle w:val="ListParagraph"/>
        <w:numPr>
          <w:ilvl w:val="0"/>
          <w:numId w:val="2"/>
        </w:numPr>
        <w:spacing w:after="70"/>
      </w:pPr>
      <w:r>
        <w:rPr>
          <w:rFonts w:ascii="Calibri" w:eastAsia="Calibri" w:hAnsi="Calibri" w:cs="Calibri"/>
          <w:sz w:val="24"/>
          <w:szCs w:val="24"/>
        </w:rPr>
        <w:t>Corrective maintenance priority will combine a configurable weighted scoring model with a direct, per-asset manual override (“if this device goes down, raise this priority level”) to reduce reliance on potentially inconsistent manual scoring.</w:t>
      </w:r>
    </w:p>
    <w:p w14:paraId="07CBEBC9" w14:textId="77777777" w:rsidR="00444DB4" w:rsidRDefault="005B601C">
      <w:pPr>
        <w:pStyle w:val="ListParagraph"/>
        <w:numPr>
          <w:ilvl w:val="0"/>
          <w:numId w:val="2"/>
        </w:numPr>
        <w:spacing w:after="70"/>
      </w:pPr>
      <w:r>
        <w:rPr>
          <w:rFonts w:ascii="Calibri" w:eastAsia="Calibri" w:hAnsi="Calibri" w:cs="Calibri"/>
          <w:sz w:val="24"/>
          <w:szCs w:val="24"/>
        </w:rPr>
        <w:t>The maintenance module reserves and issues spare parts against work orders, but the underlying inventory itself is owned and managed by the general inventory module, not a separate maintenance-specific inventory system.</w:t>
      </w:r>
    </w:p>
    <w:p w14:paraId="352133AB" w14:textId="77777777" w:rsidR="00444DB4" w:rsidRDefault="005B601C">
      <w:pPr>
        <w:pStyle w:val="ListParagraph"/>
        <w:numPr>
          <w:ilvl w:val="0"/>
          <w:numId w:val="2"/>
        </w:numPr>
        <w:spacing w:after="70"/>
      </w:pPr>
      <w:r>
        <w:rPr>
          <w:rFonts w:ascii="Calibri" w:eastAsia="Calibri" w:hAnsi="Calibri" w:cs="Calibri"/>
          <w:sz w:val="24"/>
          <w:szCs w:val="24"/>
        </w:rPr>
        <w:t>All calendar views across the platform must consistently support day/week/month views (with hourly breakdown in day view) and category-based filtering, so different teams only see maintenance relevant to their area.</w:t>
      </w:r>
    </w:p>
    <w:p w14:paraId="55C8030F" w14:textId="77777777" w:rsidR="00444DB4" w:rsidRDefault="005B601C">
      <w:pPr>
        <w:pStyle w:val="ListParagraph"/>
        <w:numPr>
          <w:ilvl w:val="0"/>
          <w:numId w:val="2"/>
        </w:numPr>
        <w:spacing w:after="70"/>
      </w:pPr>
      <w:r>
        <w:rPr>
          <w:rFonts w:ascii="Calibri" w:eastAsia="Calibri" w:hAnsi="Calibri" w:cs="Calibri"/>
          <w:sz w:val="24"/>
          <w:szCs w:val="24"/>
        </w:rPr>
        <w:lastRenderedPageBreak/>
        <w:t>Product, ticket, and performance creation will not be exposed via API to third-party developers/resellers by default — product configuration remains controlled within TICVAI's own platform, with partners consuming already-configured products/pricing via read APIs.</w:t>
      </w:r>
    </w:p>
    <w:p w14:paraId="752A2B6A" w14:textId="77777777" w:rsidR="00444DB4" w:rsidRDefault="005B601C">
      <w:pPr>
        <w:pStyle w:val="ListParagraph"/>
        <w:numPr>
          <w:ilvl w:val="0"/>
          <w:numId w:val="2"/>
        </w:numPr>
        <w:spacing w:after="70"/>
      </w:pPr>
      <w:r>
        <w:rPr>
          <w:rFonts w:ascii="Calibri" w:eastAsia="Calibri" w:hAnsi="Calibri" w:cs="Calibri"/>
          <w:sz w:val="24"/>
          <w:szCs w:val="24"/>
        </w:rPr>
        <w:t>API access will be scoped and bundled by module (e.g., CRM-only access) rather than exposing the full API catalog to every partner by default.</w:t>
      </w:r>
    </w:p>
    <w:p w14:paraId="6DD080F5" w14:textId="77777777" w:rsidR="00444DB4" w:rsidRDefault="005B601C">
      <w:pPr>
        <w:pStyle w:val="ListParagraph"/>
        <w:numPr>
          <w:ilvl w:val="0"/>
          <w:numId w:val="2"/>
        </w:numPr>
        <w:spacing w:after="70"/>
      </w:pPr>
      <w:r>
        <w:rPr>
          <w:rFonts w:ascii="Calibri" w:eastAsia="Calibri" w:hAnsi="Calibri" w:cs="Calibri"/>
          <w:sz w:val="24"/>
          <w:szCs w:val="24"/>
        </w:rPr>
        <w:t>Sandbox API keys are kept distinct from production keys, with production access granted only after successful sandbox testing and certification.</w:t>
      </w:r>
    </w:p>
    <w:p w14:paraId="72F03628" w14:textId="77777777" w:rsidR="00444DB4" w:rsidRDefault="005B601C">
      <w:pPr>
        <w:pStyle w:val="ListParagraph"/>
        <w:numPr>
          <w:ilvl w:val="0"/>
          <w:numId w:val="2"/>
        </w:numPr>
        <w:spacing w:after="70"/>
      </w:pPr>
      <w:r>
        <w:rPr>
          <w:rFonts w:ascii="Calibri" w:eastAsia="Calibri" w:hAnsi="Calibri" w:cs="Calibri"/>
          <w:sz w:val="24"/>
          <w:szCs w:val="24"/>
        </w:rPr>
        <w:t>API endpoints will be protected via IP whitelisting rather than left open to the public internet.</w:t>
      </w:r>
    </w:p>
    <w:p w14:paraId="045A7FD1" w14:textId="77777777" w:rsidR="00444DB4" w:rsidRDefault="005B601C">
      <w:pPr>
        <w:pStyle w:val="ListParagraph"/>
        <w:numPr>
          <w:ilvl w:val="0"/>
          <w:numId w:val="2"/>
        </w:numPr>
        <w:spacing w:after="70"/>
      </w:pPr>
      <w:r>
        <w:rPr>
          <w:rFonts w:ascii="Calibri" w:eastAsia="Calibri" w:hAnsi="Calibri" w:cs="Calibri"/>
          <w:sz w:val="24"/>
          <w:szCs w:val="24"/>
        </w:rPr>
        <w:t>The guest web app's date/availability display should default to a short near-term window with an expandable calendar for later dates; seat/zone selection should show a full, color-coded venue map with per-zone pricing before drilling into detailed seat selection; product pages should include short video content in addition to images.</w:t>
      </w:r>
    </w:p>
    <w:p w14:paraId="1EE61BF7" w14:textId="77777777" w:rsidR="00444DB4" w:rsidRDefault="005B601C">
      <w:pPr>
        <w:spacing w:before="180" w:after="100"/>
      </w:pPr>
      <w:r>
        <w:rPr>
          <w:rFonts w:ascii="Calibri" w:eastAsia="Calibri" w:hAnsi="Calibri" w:cs="Calibri"/>
          <w:b/>
          <w:bCs/>
          <w:color w:val="215E99"/>
          <w:sz w:val="32"/>
          <w:szCs w:val="32"/>
        </w:rPr>
        <w:t>6. Open Items / Questions for Follow-Up</w:t>
      </w:r>
    </w:p>
    <w:p w14:paraId="7CCB9E8E" w14:textId="77777777" w:rsidR="00444DB4" w:rsidRDefault="005B601C">
      <w:pPr>
        <w:pStyle w:val="ListParagraph"/>
        <w:numPr>
          <w:ilvl w:val="0"/>
          <w:numId w:val="2"/>
        </w:numPr>
        <w:spacing w:after="70"/>
      </w:pPr>
      <w:r>
        <w:rPr>
          <w:rFonts w:ascii="Calibri" w:eastAsia="Calibri" w:hAnsi="Calibri" w:cs="Calibri"/>
          <w:sz w:val="24"/>
          <w:szCs w:val="24"/>
        </w:rPr>
        <w:t>Chinmay's team to complete an internal review of the developer/API module documentation and raise detailed questions, particularly around custom-API scoping.</w:t>
      </w:r>
    </w:p>
    <w:p w14:paraId="2A8EA6E5" w14:textId="77777777" w:rsidR="00444DB4" w:rsidRDefault="005B601C">
      <w:pPr>
        <w:pStyle w:val="ListParagraph"/>
        <w:numPr>
          <w:ilvl w:val="0"/>
          <w:numId w:val="2"/>
        </w:numPr>
        <w:spacing w:after="70"/>
      </w:pPr>
      <w:r>
        <w:rPr>
          <w:rFonts w:ascii="Calibri" w:eastAsia="Calibri" w:hAnsi="Calibri" w:cs="Calibri"/>
          <w:sz w:val="24"/>
          <w:szCs w:val="24"/>
        </w:rPr>
        <w:t>Revised POS UI/UX prototype (incorporating earlier feedback) — pending from Pradnya, expected end of day or tomorrow.</w:t>
      </w:r>
    </w:p>
    <w:p w14:paraId="3DA57C07" w14:textId="77777777" w:rsidR="00444DB4" w:rsidRDefault="005B601C">
      <w:pPr>
        <w:pStyle w:val="ListParagraph"/>
        <w:numPr>
          <w:ilvl w:val="0"/>
          <w:numId w:val="2"/>
        </w:numPr>
        <w:spacing w:after="70"/>
      </w:pPr>
      <w:r>
        <w:rPr>
          <w:rFonts w:ascii="Calibri" w:eastAsia="Calibri" w:hAnsi="Calibri" w:cs="Calibri"/>
          <w:sz w:val="24"/>
          <w:szCs w:val="24"/>
        </w:rPr>
        <w:t>Detailed, consolidated feedback on the guest web/mobile app prototype — Allam to review over the weekend ahead of a dedicated follow-up session next week.</w:t>
      </w:r>
    </w:p>
    <w:p w14:paraId="1093F469" w14:textId="77777777" w:rsidR="00444DB4" w:rsidRDefault="005B601C">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1850"/>
        <w:gridCol w:w="1800"/>
        <w:gridCol w:w="1900"/>
      </w:tblGrid>
      <w:tr w:rsidR="00444DB4" w14:paraId="1FBB4027"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171407C9" w14:textId="77777777" w:rsidR="00444DB4" w:rsidRDefault="005B601C">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767B60DD" w14:textId="77777777" w:rsidR="00444DB4" w:rsidRDefault="005B601C">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763FFCFC" w14:textId="77777777" w:rsidR="00444DB4" w:rsidRDefault="005B601C">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0FD955BF" w14:textId="77777777" w:rsidR="00444DB4" w:rsidRDefault="005B601C">
            <w:r>
              <w:rPr>
                <w:rFonts w:ascii="Calibri" w:eastAsia="Calibri" w:hAnsi="Calibri" w:cs="Calibri"/>
                <w:b/>
                <w:bCs/>
                <w:color w:val="FFFFFF"/>
                <w:sz w:val="24"/>
                <w:szCs w:val="24"/>
              </w:rPr>
              <w:t>Status</w:t>
            </w:r>
          </w:p>
        </w:tc>
      </w:tr>
      <w:tr w:rsidR="00444DB4" w14:paraId="64C08B26" w14:textId="77777777">
        <w:tblPrEx>
          <w:tblCellMar>
            <w:top w:w="0" w:type="dxa"/>
            <w:bottom w:w="0" w:type="dxa"/>
          </w:tblCellMar>
        </w:tblPrEx>
        <w:tc>
          <w:tcPr>
            <w:tcW w:w="3800" w:type="dxa"/>
            <w:tcMar>
              <w:top w:w="80" w:type="dxa"/>
              <w:left w:w="120" w:type="dxa"/>
              <w:bottom w:w="80" w:type="dxa"/>
              <w:right w:w="120" w:type="dxa"/>
            </w:tcMar>
          </w:tcPr>
          <w:p w14:paraId="6D98E1BF" w14:textId="77777777" w:rsidR="00444DB4" w:rsidRDefault="005B601C">
            <w:r>
              <w:rPr>
                <w:rFonts w:ascii="Calibri" w:eastAsia="Calibri" w:hAnsi="Calibri" w:cs="Calibri"/>
                <w:sz w:val="24"/>
                <w:szCs w:val="24"/>
              </w:rPr>
              <w:t>Share documentation for asset management/safety and sandbox/API management covered today, organized by module</w:t>
            </w:r>
          </w:p>
        </w:tc>
        <w:tc>
          <w:tcPr>
            <w:tcW w:w="1850" w:type="dxa"/>
            <w:tcMar>
              <w:top w:w="80" w:type="dxa"/>
              <w:left w:w="120" w:type="dxa"/>
              <w:bottom w:w="80" w:type="dxa"/>
              <w:right w:w="120" w:type="dxa"/>
            </w:tcMar>
          </w:tcPr>
          <w:p w14:paraId="1D194477" w14:textId="77777777" w:rsidR="00444DB4" w:rsidRDefault="005B601C">
            <w:r>
              <w:rPr>
                <w:rFonts w:ascii="Calibri" w:eastAsia="Calibri" w:hAnsi="Calibri" w:cs="Calibri"/>
                <w:sz w:val="24"/>
                <w:szCs w:val="24"/>
              </w:rPr>
              <w:t>Allam</w:t>
            </w:r>
          </w:p>
        </w:tc>
        <w:tc>
          <w:tcPr>
            <w:tcW w:w="1800" w:type="dxa"/>
            <w:tcMar>
              <w:top w:w="80" w:type="dxa"/>
              <w:left w:w="120" w:type="dxa"/>
              <w:bottom w:w="80" w:type="dxa"/>
              <w:right w:w="120" w:type="dxa"/>
            </w:tcMar>
          </w:tcPr>
          <w:p w14:paraId="6D64483E" w14:textId="77777777" w:rsidR="00444DB4" w:rsidRDefault="005B601C">
            <w:r>
              <w:rPr>
                <w:rFonts w:ascii="Calibri" w:eastAsia="Calibri" w:hAnsi="Calibri" w:cs="Calibri"/>
                <w:sz w:val="24"/>
                <w:szCs w:val="24"/>
              </w:rPr>
              <w:t>Today</w:t>
            </w:r>
          </w:p>
        </w:tc>
        <w:tc>
          <w:tcPr>
            <w:tcW w:w="1900" w:type="dxa"/>
            <w:tcMar>
              <w:top w:w="80" w:type="dxa"/>
              <w:left w:w="120" w:type="dxa"/>
              <w:bottom w:w="80" w:type="dxa"/>
              <w:right w:w="120" w:type="dxa"/>
            </w:tcMar>
          </w:tcPr>
          <w:p w14:paraId="3B346983" w14:textId="77777777" w:rsidR="00444DB4" w:rsidRDefault="005B601C">
            <w:r>
              <w:rPr>
                <w:rFonts w:ascii="Calibri" w:eastAsia="Calibri" w:hAnsi="Calibri" w:cs="Calibri"/>
                <w:sz w:val="24"/>
                <w:szCs w:val="24"/>
              </w:rPr>
              <w:t>Open</w:t>
            </w:r>
          </w:p>
        </w:tc>
      </w:tr>
      <w:tr w:rsidR="00444DB4" w14:paraId="40D30969" w14:textId="77777777">
        <w:tblPrEx>
          <w:tblCellMar>
            <w:top w:w="0" w:type="dxa"/>
            <w:bottom w:w="0" w:type="dxa"/>
          </w:tblCellMar>
        </w:tblPrEx>
        <w:tc>
          <w:tcPr>
            <w:tcW w:w="3800" w:type="dxa"/>
            <w:tcMar>
              <w:top w:w="80" w:type="dxa"/>
              <w:left w:w="120" w:type="dxa"/>
              <w:bottom w:w="80" w:type="dxa"/>
              <w:right w:w="120" w:type="dxa"/>
            </w:tcMar>
          </w:tcPr>
          <w:p w14:paraId="49A7125C" w14:textId="77777777" w:rsidR="00444DB4" w:rsidRDefault="005B601C">
            <w:r>
              <w:rPr>
                <w:rFonts w:ascii="Calibri" w:eastAsia="Calibri" w:hAnsi="Calibri" w:cs="Calibri"/>
                <w:sz w:val="24"/>
                <w:szCs w:val="24"/>
              </w:rPr>
              <w:t>Review the API/developer portal documentation internally and compile detailed questions, particularly around the developer/custom-API scoping model</w:t>
            </w:r>
          </w:p>
        </w:tc>
        <w:tc>
          <w:tcPr>
            <w:tcW w:w="1850" w:type="dxa"/>
            <w:tcMar>
              <w:top w:w="80" w:type="dxa"/>
              <w:left w:w="120" w:type="dxa"/>
              <w:bottom w:w="80" w:type="dxa"/>
              <w:right w:w="120" w:type="dxa"/>
            </w:tcMar>
          </w:tcPr>
          <w:p w14:paraId="2978404B" w14:textId="77777777" w:rsidR="00444DB4" w:rsidRDefault="005B601C">
            <w:r>
              <w:rPr>
                <w:rFonts w:ascii="Calibri" w:eastAsia="Calibri" w:hAnsi="Calibri" w:cs="Calibri"/>
                <w:sz w:val="24"/>
                <w:szCs w:val="24"/>
              </w:rPr>
              <w:t>Chinmay Parab</w:t>
            </w:r>
          </w:p>
        </w:tc>
        <w:tc>
          <w:tcPr>
            <w:tcW w:w="1800" w:type="dxa"/>
            <w:tcMar>
              <w:top w:w="80" w:type="dxa"/>
              <w:left w:w="120" w:type="dxa"/>
              <w:bottom w:w="80" w:type="dxa"/>
              <w:right w:w="120" w:type="dxa"/>
            </w:tcMar>
          </w:tcPr>
          <w:p w14:paraId="0547542B" w14:textId="77777777" w:rsidR="00444DB4" w:rsidRDefault="005B601C">
            <w:r>
              <w:rPr>
                <w:rFonts w:ascii="Calibri" w:eastAsia="Calibri" w:hAnsi="Calibri" w:cs="Calibri"/>
                <w:sz w:val="24"/>
                <w:szCs w:val="24"/>
              </w:rPr>
              <w:t>Before raising further questions</w:t>
            </w:r>
          </w:p>
        </w:tc>
        <w:tc>
          <w:tcPr>
            <w:tcW w:w="1900" w:type="dxa"/>
            <w:tcMar>
              <w:top w:w="80" w:type="dxa"/>
              <w:left w:w="120" w:type="dxa"/>
              <w:bottom w:w="80" w:type="dxa"/>
              <w:right w:w="120" w:type="dxa"/>
            </w:tcMar>
          </w:tcPr>
          <w:p w14:paraId="1C749DB6" w14:textId="77777777" w:rsidR="00444DB4" w:rsidRDefault="005B601C">
            <w:r>
              <w:rPr>
                <w:rFonts w:ascii="Calibri" w:eastAsia="Calibri" w:hAnsi="Calibri" w:cs="Calibri"/>
                <w:sz w:val="24"/>
                <w:szCs w:val="24"/>
              </w:rPr>
              <w:t>In Progress</w:t>
            </w:r>
          </w:p>
        </w:tc>
      </w:tr>
      <w:tr w:rsidR="00444DB4" w14:paraId="6E46C435" w14:textId="77777777">
        <w:tblPrEx>
          <w:tblCellMar>
            <w:top w:w="0" w:type="dxa"/>
            <w:bottom w:w="0" w:type="dxa"/>
          </w:tblCellMar>
        </w:tblPrEx>
        <w:tc>
          <w:tcPr>
            <w:tcW w:w="3800" w:type="dxa"/>
            <w:tcMar>
              <w:top w:w="80" w:type="dxa"/>
              <w:left w:w="120" w:type="dxa"/>
              <w:bottom w:w="80" w:type="dxa"/>
              <w:right w:w="120" w:type="dxa"/>
            </w:tcMar>
          </w:tcPr>
          <w:p w14:paraId="7B1CE71E" w14:textId="77777777" w:rsidR="00444DB4" w:rsidRDefault="005B601C">
            <w:r>
              <w:rPr>
                <w:rFonts w:ascii="Calibri" w:eastAsia="Calibri" w:hAnsi="Calibri" w:cs="Calibri"/>
                <w:sz w:val="24"/>
                <w:szCs w:val="24"/>
              </w:rPr>
              <w:t>Share the revised POS UI/UX prototype incorporating earlier feedback</w:t>
            </w:r>
          </w:p>
        </w:tc>
        <w:tc>
          <w:tcPr>
            <w:tcW w:w="1850" w:type="dxa"/>
            <w:tcMar>
              <w:top w:w="80" w:type="dxa"/>
              <w:left w:w="120" w:type="dxa"/>
              <w:bottom w:w="80" w:type="dxa"/>
              <w:right w:w="120" w:type="dxa"/>
            </w:tcMar>
          </w:tcPr>
          <w:p w14:paraId="1EDB7245" w14:textId="77777777" w:rsidR="00444DB4" w:rsidRDefault="005B601C">
            <w:r>
              <w:rPr>
                <w:rFonts w:ascii="Calibri" w:eastAsia="Calibri" w:hAnsi="Calibri" w:cs="Calibri"/>
                <w:sz w:val="24"/>
                <w:szCs w:val="24"/>
              </w:rPr>
              <w:t>Pradnya Yeram</w:t>
            </w:r>
          </w:p>
        </w:tc>
        <w:tc>
          <w:tcPr>
            <w:tcW w:w="1800" w:type="dxa"/>
            <w:tcMar>
              <w:top w:w="80" w:type="dxa"/>
              <w:left w:w="120" w:type="dxa"/>
              <w:bottom w:w="80" w:type="dxa"/>
              <w:right w:w="120" w:type="dxa"/>
            </w:tcMar>
          </w:tcPr>
          <w:p w14:paraId="63BB8B05" w14:textId="77777777" w:rsidR="00444DB4" w:rsidRDefault="005B601C">
            <w:r>
              <w:rPr>
                <w:rFonts w:ascii="Calibri" w:eastAsia="Calibri" w:hAnsi="Calibri" w:cs="Calibri"/>
                <w:sz w:val="24"/>
                <w:szCs w:val="24"/>
              </w:rPr>
              <w:t>End of day / tomorrow</w:t>
            </w:r>
          </w:p>
        </w:tc>
        <w:tc>
          <w:tcPr>
            <w:tcW w:w="1900" w:type="dxa"/>
            <w:tcMar>
              <w:top w:w="80" w:type="dxa"/>
              <w:left w:w="120" w:type="dxa"/>
              <w:bottom w:w="80" w:type="dxa"/>
              <w:right w:w="120" w:type="dxa"/>
            </w:tcMar>
          </w:tcPr>
          <w:p w14:paraId="2CD1235F" w14:textId="77777777" w:rsidR="00444DB4" w:rsidRDefault="005B601C">
            <w:r>
              <w:rPr>
                <w:rFonts w:ascii="Calibri" w:eastAsia="Calibri" w:hAnsi="Calibri" w:cs="Calibri"/>
                <w:sz w:val="24"/>
                <w:szCs w:val="24"/>
              </w:rPr>
              <w:t>In Progress</w:t>
            </w:r>
          </w:p>
        </w:tc>
      </w:tr>
      <w:tr w:rsidR="00444DB4" w14:paraId="602646BD" w14:textId="77777777">
        <w:tblPrEx>
          <w:tblCellMar>
            <w:top w:w="0" w:type="dxa"/>
            <w:bottom w:w="0" w:type="dxa"/>
          </w:tblCellMar>
        </w:tblPrEx>
        <w:tc>
          <w:tcPr>
            <w:tcW w:w="3800" w:type="dxa"/>
            <w:tcMar>
              <w:top w:w="80" w:type="dxa"/>
              <w:left w:w="120" w:type="dxa"/>
              <w:bottom w:w="80" w:type="dxa"/>
              <w:right w:w="120" w:type="dxa"/>
            </w:tcMar>
          </w:tcPr>
          <w:p w14:paraId="2BE21725" w14:textId="77777777" w:rsidR="00444DB4" w:rsidRDefault="005B601C">
            <w:r>
              <w:rPr>
                <w:rFonts w:ascii="Calibri" w:eastAsia="Calibri" w:hAnsi="Calibri" w:cs="Calibri"/>
                <w:sz w:val="24"/>
                <w:szCs w:val="24"/>
              </w:rPr>
              <w:t xml:space="preserve">Review the guest web/mobile app prototype in detail over the </w:t>
            </w:r>
            <w:r>
              <w:rPr>
                <w:rFonts w:ascii="Calibri" w:eastAsia="Calibri" w:hAnsi="Calibri" w:cs="Calibri"/>
                <w:sz w:val="24"/>
                <w:szCs w:val="24"/>
              </w:rPr>
              <w:lastRenderedPageBreak/>
              <w:t>weekend and prepare consolidated feedback</w:t>
            </w:r>
          </w:p>
        </w:tc>
        <w:tc>
          <w:tcPr>
            <w:tcW w:w="1850" w:type="dxa"/>
            <w:tcMar>
              <w:top w:w="80" w:type="dxa"/>
              <w:left w:w="120" w:type="dxa"/>
              <w:bottom w:w="80" w:type="dxa"/>
              <w:right w:w="120" w:type="dxa"/>
            </w:tcMar>
          </w:tcPr>
          <w:p w14:paraId="1B9EC3E1" w14:textId="77777777" w:rsidR="00444DB4" w:rsidRDefault="005B601C">
            <w:r>
              <w:rPr>
                <w:rFonts w:ascii="Calibri" w:eastAsia="Calibri" w:hAnsi="Calibri" w:cs="Calibri"/>
                <w:sz w:val="24"/>
                <w:szCs w:val="24"/>
              </w:rPr>
              <w:lastRenderedPageBreak/>
              <w:t>Allam</w:t>
            </w:r>
          </w:p>
        </w:tc>
        <w:tc>
          <w:tcPr>
            <w:tcW w:w="1800" w:type="dxa"/>
            <w:tcMar>
              <w:top w:w="80" w:type="dxa"/>
              <w:left w:w="120" w:type="dxa"/>
              <w:bottom w:w="80" w:type="dxa"/>
              <w:right w:w="120" w:type="dxa"/>
            </w:tcMar>
          </w:tcPr>
          <w:p w14:paraId="34CD559F" w14:textId="77777777" w:rsidR="00444DB4" w:rsidRDefault="005B601C">
            <w:r>
              <w:rPr>
                <w:rFonts w:ascii="Calibri" w:eastAsia="Calibri" w:hAnsi="Calibri" w:cs="Calibri"/>
                <w:sz w:val="24"/>
                <w:szCs w:val="24"/>
              </w:rPr>
              <w:t>Weekend</w:t>
            </w:r>
          </w:p>
        </w:tc>
        <w:tc>
          <w:tcPr>
            <w:tcW w:w="1900" w:type="dxa"/>
            <w:tcMar>
              <w:top w:w="80" w:type="dxa"/>
              <w:left w:w="120" w:type="dxa"/>
              <w:bottom w:w="80" w:type="dxa"/>
              <w:right w:w="120" w:type="dxa"/>
            </w:tcMar>
          </w:tcPr>
          <w:p w14:paraId="445A8828" w14:textId="77777777" w:rsidR="00444DB4" w:rsidRDefault="005B601C">
            <w:r>
              <w:rPr>
                <w:rFonts w:ascii="Calibri" w:eastAsia="Calibri" w:hAnsi="Calibri" w:cs="Calibri"/>
                <w:sz w:val="24"/>
                <w:szCs w:val="24"/>
              </w:rPr>
              <w:t>Open</w:t>
            </w:r>
          </w:p>
        </w:tc>
      </w:tr>
      <w:tr w:rsidR="00444DB4" w14:paraId="61918800" w14:textId="77777777">
        <w:tblPrEx>
          <w:tblCellMar>
            <w:top w:w="0" w:type="dxa"/>
            <w:bottom w:w="0" w:type="dxa"/>
          </w:tblCellMar>
        </w:tblPrEx>
        <w:tc>
          <w:tcPr>
            <w:tcW w:w="3800" w:type="dxa"/>
            <w:tcMar>
              <w:top w:w="80" w:type="dxa"/>
              <w:left w:w="120" w:type="dxa"/>
              <w:bottom w:w="80" w:type="dxa"/>
              <w:right w:w="120" w:type="dxa"/>
            </w:tcMar>
          </w:tcPr>
          <w:p w14:paraId="3774A331" w14:textId="77777777" w:rsidR="00444DB4" w:rsidRDefault="005B601C">
            <w:r>
              <w:rPr>
                <w:rFonts w:ascii="Calibri" w:eastAsia="Calibri" w:hAnsi="Calibri" w:cs="Calibri"/>
                <w:sz w:val="24"/>
                <w:szCs w:val="24"/>
              </w:rPr>
              <w:t>Prepare and lead tomorrow's session covering AI topics</w:t>
            </w:r>
          </w:p>
        </w:tc>
        <w:tc>
          <w:tcPr>
            <w:tcW w:w="1850" w:type="dxa"/>
            <w:tcMar>
              <w:top w:w="80" w:type="dxa"/>
              <w:left w:w="120" w:type="dxa"/>
              <w:bottom w:w="80" w:type="dxa"/>
              <w:right w:w="120" w:type="dxa"/>
            </w:tcMar>
          </w:tcPr>
          <w:p w14:paraId="10A5632C" w14:textId="5E987B15" w:rsidR="00444DB4" w:rsidRDefault="005B601C">
            <w:r>
              <w:rPr>
                <w:rFonts w:ascii="Calibri" w:eastAsia="Calibri" w:hAnsi="Calibri" w:cs="Calibri"/>
                <w:sz w:val="24"/>
                <w:szCs w:val="24"/>
              </w:rPr>
              <w:t xml:space="preserve">Allam / Qossai </w:t>
            </w:r>
          </w:p>
        </w:tc>
        <w:tc>
          <w:tcPr>
            <w:tcW w:w="1800" w:type="dxa"/>
            <w:tcMar>
              <w:top w:w="80" w:type="dxa"/>
              <w:left w:w="120" w:type="dxa"/>
              <w:bottom w:w="80" w:type="dxa"/>
              <w:right w:w="120" w:type="dxa"/>
            </w:tcMar>
          </w:tcPr>
          <w:p w14:paraId="33DA56B1" w14:textId="77777777" w:rsidR="00444DB4" w:rsidRDefault="005B601C">
            <w:r>
              <w:rPr>
                <w:rFonts w:ascii="Calibri" w:eastAsia="Calibri" w:hAnsi="Calibri" w:cs="Calibri"/>
                <w:sz w:val="24"/>
                <w:szCs w:val="24"/>
              </w:rPr>
              <w:t>Friday, 10:00 Dubai time</w:t>
            </w:r>
          </w:p>
        </w:tc>
        <w:tc>
          <w:tcPr>
            <w:tcW w:w="1900" w:type="dxa"/>
            <w:tcMar>
              <w:top w:w="80" w:type="dxa"/>
              <w:left w:w="120" w:type="dxa"/>
              <w:bottom w:w="80" w:type="dxa"/>
              <w:right w:w="120" w:type="dxa"/>
            </w:tcMar>
          </w:tcPr>
          <w:p w14:paraId="5A3C979F" w14:textId="77777777" w:rsidR="00444DB4" w:rsidRDefault="005B601C">
            <w:r>
              <w:rPr>
                <w:rFonts w:ascii="Calibri" w:eastAsia="Calibri" w:hAnsi="Calibri" w:cs="Calibri"/>
                <w:sz w:val="24"/>
                <w:szCs w:val="24"/>
              </w:rPr>
              <w:t>Open</w:t>
            </w:r>
          </w:p>
        </w:tc>
      </w:tr>
      <w:tr w:rsidR="00444DB4" w14:paraId="40E26C53" w14:textId="77777777">
        <w:tblPrEx>
          <w:tblCellMar>
            <w:top w:w="0" w:type="dxa"/>
            <w:bottom w:w="0" w:type="dxa"/>
          </w:tblCellMar>
        </w:tblPrEx>
        <w:tc>
          <w:tcPr>
            <w:tcW w:w="3800" w:type="dxa"/>
            <w:tcMar>
              <w:top w:w="80" w:type="dxa"/>
              <w:left w:w="120" w:type="dxa"/>
              <w:bottom w:w="80" w:type="dxa"/>
              <w:right w:w="120" w:type="dxa"/>
            </w:tcMar>
          </w:tcPr>
          <w:p w14:paraId="271B4EA7" w14:textId="77777777" w:rsidR="00444DB4" w:rsidRDefault="005B601C">
            <w:r>
              <w:rPr>
                <w:rFonts w:ascii="Calibri" w:eastAsia="Calibri" w:hAnsi="Calibri" w:cs="Calibri"/>
                <w:sz w:val="24"/>
                <w:szCs w:val="24"/>
              </w:rPr>
              <w:t>Schedule a dedicated session next week for detailed guest web/mobile app UI/UX discussion, after completing AI sessions</w:t>
            </w:r>
          </w:p>
        </w:tc>
        <w:tc>
          <w:tcPr>
            <w:tcW w:w="1850" w:type="dxa"/>
            <w:tcMar>
              <w:top w:w="80" w:type="dxa"/>
              <w:left w:w="120" w:type="dxa"/>
              <w:bottom w:w="80" w:type="dxa"/>
              <w:right w:w="120" w:type="dxa"/>
            </w:tcMar>
          </w:tcPr>
          <w:p w14:paraId="5DA530A9" w14:textId="1AB6BA89" w:rsidR="00444DB4" w:rsidRDefault="005B601C">
            <w:r>
              <w:rPr>
                <w:rFonts w:ascii="Calibri" w:eastAsia="Calibri" w:hAnsi="Calibri" w:cs="Calibri"/>
                <w:sz w:val="24"/>
                <w:szCs w:val="24"/>
              </w:rPr>
              <w:t xml:space="preserve">Qossai </w:t>
            </w:r>
            <w:r>
              <w:rPr>
                <w:rFonts w:ascii="Calibri" w:eastAsia="Calibri" w:hAnsi="Calibri" w:cs="Calibri"/>
                <w:sz w:val="24"/>
                <w:szCs w:val="24"/>
              </w:rPr>
              <w:t>/ Chinmay Parab / Allam</w:t>
            </w:r>
          </w:p>
        </w:tc>
        <w:tc>
          <w:tcPr>
            <w:tcW w:w="1800" w:type="dxa"/>
            <w:tcMar>
              <w:top w:w="80" w:type="dxa"/>
              <w:left w:w="120" w:type="dxa"/>
              <w:bottom w:w="80" w:type="dxa"/>
              <w:right w:w="120" w:type="dxa"/>
            </w:tcMar>
          </w:tcPr>
          <w:p w14:paraId="2548B4FD" w14:textId="77777777" w:rsidR="00444DB4" w:rsidRDefault="005B601C">
            <w:r>
              <w:rPr>
                <w:rFonts w:ascii="Calibri" w:eastAsia="Calibri" w:hAnsi="Calibri" w:cs="Calibri"/>
                <w:sz w:val="24"/>
                <w:szCs w:val="24"/>
              </w:rPr>
              <w:t>Next week</w:t>
            </w:r>
          </w:p>
        </w:tc>
        <w:tc>
          <w:tcPr>
            <w:tcW w:w="1900" w:type="dxa"/>
            <w:tcMar>
              <w:top w:w="80" w:type="dxa"/>
              <w:left w:w="120" w:type="dxa"/>
              <w:bottom w:w="80" w:type="dxa"/>
              <w:right w:w="120" w:type="dxa"/>
            </w:tcMar>
          </w:tcPr>
          <w:p w14:paraId="71540F78" w14:textId="77777777" w:rsidR="00444DB4" w:rsidRDefault="005B601C">
            <w:r>
              <w:rPr>
                <w:rFonts w:ascii="Calibri" w:eastAsia="Calibri" w:hAnsi="Calibri" w:cs="Calibri"/>
                <w:sz w:val="24"/>
                <w:szCs w:val="24"/>
              </w:rPr>
              <w:t>Open</w:t>
            </w:r>
          </w:p>
        </w:tc>
      </w:tr>
    </w:tbl>
    <w:p w14:paraId="49627E33" w14:textId="77777777" w:rsidR="00444DB4" w:rsidRDefault="00444DB4">
      <w:pPr>
        <w:spacing w:after="160"/>
      </w:pPr>
    </w:p>
    <w:p w14:paraId="62904065" w14:textId="77777777" w:rsidR="00444DB4" w:rsidRDefault="005B601C">
      <w:pPr>
        <w:spacing w:before="180" w:after="100"/>
      </w:pPr>
      <w:r>
        <w:rPr>
          <w:rFonts w:ascii="Calibri" w:eastAsia="Calibri" w:hAnsi="Calibri" w:cs="Calibri"/>
          <w:b/>
          <w:bCs/>
          <w:color w:val="215E99"/>
          <w:sz w:val="32"/>
          <w:szCs w:val="32"/>
        </w:rPr>
        <w:t>8. Next Steps</w:t>
      </w:r>
    </w:p>
    <w:p w14:paraId="530342AC" w14:textId="073351B3" w:rsidR="00444DB4" w:rsidRDefault="005B601C">
      <w:pPr>
        <w:pStyle w:val="ListParagraph"/>
        <w:numPr>
          <w:ilvl w:val="0"/>
          <w:numId w:val="2"/>
        </w:numPr>
        <w:spacing w:after="70"/>
      </w:pPr>
      <w:r>
        <w:rPr>
          <w:rFonts w:ascii="Calibri" w:eastAsia="Calibri" w:hAnsi="Calibri" w:cs="Calibri"/>
          <w:sz w:val="24"/>
          <w:szCs w:val="24"/>
        </w:rPr>
        <w:t>Tomorrow's session moves to 10:00 Dubai time</w:t>
      </w:r>
      <w:r>
        <w:rPr>
          <w:rFonts w:ascii="Calibri" w:eastAsia="Calibri" w:hAnsi="Calibri" w:cs="Calibri"/>
          <w:sz w:val="24"/>
          <w:szCs w:val="24"/>
        </w:rPr>
        <w:t xml:space="preserve"> and will cover AI topics, with any remainder completed Monday.</w:t>
      </w:r>
    </w:p>
    <w:p w14:paraId="3F21B479" w14:textId="77777777" w:rsidR="00444DB4" w:rsidRDefault="005B601C">
      <w:pPr>
        <w:pStyle w:val="ListParagraph"/>
        <w:numPr>
          <w:ilvl w:val="0"/>
          <w:numId w:val="2"/>
        </w:numPr>
        <w:spacing w:after="70"/>
      </w:pPr>
      <w:r>
        <w:rPr>
          <w:rFonts w:ascii="Calibri" w:eastAsia="Calibri" w:hAnsi="Calibri" w:cs="Calibri"/>
          <w:sz w:val="24"/>
          <w:szCs w:val="24"/>
        </w:rPr>
        <w:t>Next week: remaining AI topics (if any), followed by two dedicated days on guest mobile app and website UI/UX.</w:t>
      </w:r>
    </w:p>
    <w:p w14:paraId="0B1566B1" w14:textId="77777777" w:rsidR="00444DB4" w:rsidRDefault="005B601C">
      <w:pPr>
        <w:pStyle w:val="ListParagraph"/>
        <w:numPr>
          <w:ilvl w:val="0"/>
          <w:numId w:val="2"/>
        </w:numPr>
        <w:spacing w:after="70"/>
      </w:pPr>
      <w:r>
        <w:rPr>
          <w:rFonts w:ascii="Calibri" w:eastAsia="Calibri" w:hAnsi="Calibri" w:cs="Calibri"/>
          <w:sz w:val="24"/>
          <w:szCs w:val="24"/>
        </w:rPr>
        <w:t>Pradnya to share the revised POS UI/UX prototype for Allam's weekend review.</w:t>
      </w:r>
    </w:p>
    <w:p w14:paraId="4F115AE2" w14:textId="77777777" w:rsidR="00444DB4" w:rsidRDefault="005B601C">
      <w:pPr>
        <w:spacing w:before="120"/>
        <w:jc w:val="center"/>
      </w:pPr>
      <w:r>
        <w:rPr>
          <w:rFonts w:ascii="Calibri" w:eastAsia="Calibri" w:hAnsi="Calibri" w:cs="Calibri"/>
          <w:i/>
          <w:iCs/>
          <w:color w:val="595959"/>
          <w:sz w:val="24"/>
          <w:szCs w:val="24"/>
        </w:rPr>
        <w:t>--- End of Minutes ---</w:t>
      </w:r>
    </w:p>
    <w:sectPr w:rsidR="00444DB4">
      <w:headerReference w:type="default" r:id="rId10"/>
      <w:footerReference w:type="default" r:id="rId11"/>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DE8C1" w14:textId="77777777" w:rsidR="005B601C" w:rsidRDefault="005B601C">
      <w:r>
        <w:separator/>
      </w:r>
    </w:p>
  </w:endnote>
  <w:endnote w:type="continuationSeparator" w:id="0">
    <w:p w14:paraId="742D7496" w14:textId="77777777" w:rsidR="005B601C" w:rsidRDefault="005B6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E2EF" w14:textId="77777777" w:rsidR="00444DB4" w:rsidRDefault="005B601C">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2373F9">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2373F9">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48F16" w14:textId="77777777" w:rsidR="005B601C" w:rsidRDefault="005B601C">
      <w:r>
        <w:separator/>
      </w:r>
    </w:p>
  </w:footnote>
  <w:footnote w:type="continuationSeparator" w:id="0">
    <w:p w14:paraId="379A467F" w14:textId="77777777" w:rsidR="005B601C" w:rsidRDefault="005B6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444DB4" w14:paraId="73D1C6E6" w14:textId="77777777">
      <w:tblPrEx>
        <w:tblCellMar>
          <w:top w:w="0" w:type="dxa"/>
          <w:bottom w:w="0" w:type="dxa"/>
        </w:tblCellMar>
      </w:tblPrEx>
      <w:tc>
        <w:tcPr>
          <w:tcW w:w="4675" w:type="dxa"/>
          <w:tcMar>
            <w:bottom w:w="80" w:type="dxa"/>
          </w:tcMar>
          <w:vAlign w:val="center"/>
        </w:tcPr>
        <w:p w14:paraId="183E092E" w14:textId="77777777" w:rsidR="00444DB4" w:rsidRDefault="00444DB4"/>
      </w:tc>
      <w:tc>
        <w:tcPr>
          <w:tcW w:w="4675" w:type="dxa"/>
          <w:tcMar>
            <w:bottom w:w="80" w:type="dxa"/>
          </w:tcMar>
          <w:vAlign w:val="center"/>
        </w:tcPr>
        <w:p w14:paraId="1EF2F4F1" w14:textId="77777777" w:rsidR="00444DB4" w:rsidRDefault="005B601C">
          <w:pPr>
            <w:spacing w:after="20"/>
            <w:jc w:val="right"/>
          </w:pPr>
          <w:r>
            <w:rPr>
              <w:noProof/>
            </w:rPr>
            <w:drawing>
              <wp:inline distT="0" distB="0" distL="0" distR="0" wp14:anchorId="13D3932C" wp14:editId="36C1C4E5">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69AB831C" w14:textId="77777777" w:rsidR="00444DB4" w:rsidRDefault="005B601C">
          <w:pPr>
            <w:jc w:val="right"/>
          </w:pPr>
          <w:r>
            <w:rPr>
              <w:noProof/>
            </w:rPr>
            <w:drawing>
              <wp:inline distT="0" distB="0" distL="0" distR="0" wp14:anchorId="42AB4ABA" wp14:editId="405E8AA0">
                <wp:extent cx="933450" cy="190500"/>
                <wp:effectExtent l="0" t="0" r="0" b="0"/>
                <wp:docPr id="1680254739" name="Picture 168025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8403B"/>
    <w:multiLevelType w:val="hybridMultilevel"/>
    <w:tmpl w:val="B3AEA39A"/>
    <w:lvl w:ilvl="0" w:tplc="CACC6CC6">
      <w:start w:val="1"/>
      <w:numFmt w:val="bullet"/>
      <w:lvlText w:val="•"/>
      <w:lvlJc w:val="left"/>
      <w:pPr>
        <w:ind w:left="360" w:hanging="260"/>
      </w:pPr>
    </w:lvl>
    <w:lvl w:ilvl="1" w:tplc="720225E0">
      <w:start w:val="1"/>
      <w:numFmt w:val="bullet"/>
      <w:lvlText w:val="◦"/>
      <w:lvlJc w:val="left"/>
      <w:pPr>
        <w:ind w:left="720" w:hanging="260"/>
      </w:pPr>
    </w:lvl>
    <w:lvl w:ilvl="2" w:tplc="708AFE64">
      <w:numFmt w:val="decimal"/>
      <w:lvlText w:val=""/>
      <w:lvlJc w:val="left"/>
    </w:lvl>
    <w:lvl w:ilvl="3" w:tplc="E08E4CA0">
      <w:numFmt w:val="decimal"/>
      <w:lvlText w:val=""/>
      <w:lvlJc w:val="left"/>
    </w:lvl>
    <w:lvl w:ilvl="4" w:tplc="002E5904">
      <w:numFmt w:val="decimal"/>
      <w:lvlText w:val=""/>
      <w:lvlJc w:val="left"/>
    </w:lvl>
    <w:lvl w:ilvl="5" w:tplc="8BB424D8">
      <w:numFmt w:val="decimal"/>
      <w:lvlText w:val=""/>
      <w:lvlJc w:val="left"/>
    </w:lvl>
    <w:lvl w:ilvl="6" w:tplc="CA221A4E">
      <w:numFmt w:val="decimal"/>
      <w:lvlText w:val=""/>
      <w:lvlJc w:val="left"/>
    </w:lvl>
    <w:lvl w:ilvl="7" w:tplc="608C744A">
      <w:numFmt w:val="decimal"/>
      <w:lvlText w:val=""/>
      <w:lvlJc w:val="left"/>
    </w:lvl>
    <w:lvl w:ilvl="8" w:tplc="D458C5FC">
      <w:numFmt w:val="decimal"/>
      <w:lvlText w:val=""/>
      <w:lvlJc w:val="left"/>
    </w:lvl>
  </w:abstractNum>
  <w:abstractNum w:abstractNumId="1" w15:restartNumberingAfterBreak="0">
    <w:nsid w:val="717A2167"/>
    <w:multiLevelType w:val="hybridMultilevel"/>
    <w:tmpl w:val="2A4AA6E0"/>
    <w:lvl w:ilvl="0" w:tplc="53FC6C70">
      <w:start w:val="1"/>
      <w:numFmt w:val="bullet"/>
      <w:lvlText w:val="●"/>
      <w:lvlJc w:val="left"/>
      <w:pPr>
        <w:ind w:left="720" w:hanging="360"/>
      </w:pPr>
    </w:lvl>
    <w:lvl w:ilvl="1" w:tplc="985464BE">
      <w:start w:val="1"/>
      <w:numFmt w:val="bullet"/>
      <w:lvlText w:val="○"/>
      <w:lvlJc w:val="left"/>
      <w:pPr>
        <w:ind w:left="1440" w:hanging="360"/>
      </w:pPr>
    </w:lvl>
    <w:lvl w:ilvl="2" w:tplc="44FCEF9C">
      <w:start w:val="1"/>
      <w:numFmt w:val="bullet"/>
      <w:lvlText w:val="■"/>
      <w:lvlJc w:val="left"/>
      <w:pPr>
        <w:ind w:left="2160" w:hanging="360"/>
      </w:pPr>
    </w:lvl>
    <w:lvl w:ilvl="3" w:tplc="DBF4CFC6">
      <w:start w:val="1"/>
      <w:numFmt w:val="bullet"/>
      <w:lvlText w:val="●"/>
      <w:lvlJc w:val="left"/>
      <w:pPr>
        <w:ind w:left="2880" w:hanging="360"/>
      </w:pPr>
    </w:lvl>
    <w:lvl w:ilvl="4" w:tplc="972AC6E6">
      <w:start w:val="1"/>
      <w:numFmt w:val="bullet"/>
      <w:lvlText w:val="○"/>
      <w:lvlJc w:val="left"/>
      <w:pPr>
        <w:ind w:left="3600" w:hanging="360"/>
      </w:pPr>
    </w:lvl>
    <w:lvl w:ilvl="5" w:tplc="138069CE">
      <w:start w:val="1"/>
      <w:numFmt w:val="bullet"/>
      <w:lvlText w:val="■"/>
      <w:lvlJc w:val="left"/>
      <w:pPr>
        <w:ind w:left="4320" w:hanging="360"/>
      </w:pPr>
    </w:lvl>
    <w:lvl w:ilvl="6" w:tplc="93525C34">
      <w:start w:val="1"/>
      <w:numFmt w:val="bullet"/>
      <w:lvlText w:val="●"/>
      <w:lvlJc w:val="left"/>
      <w:pPr>
        <w:ind w:left="5040" w:hanging="360"/>
      </w:pPr>
    </w:lvl>
    <w:lvl w:ilvl="7" w:tplc="9BE41A58">
      <w:start w:val="1"/>
      <w:numFmt w:val="bullet"/>
      <w:lvlText w:val="●"/>
      <w:lvlJc w:val="left"/>
      <w:pPr>
        <w:ind w:left="5760" w:hanging="360"/>
      </w:pPr>
    </w:lvl>
    <w:lvl w:ilvl="8" w:tplc="03BA775A">
      <w:start w:val="1"/>
      <w:numFmt w:val="bullet"/>
      <w:lvlText w:val="●"/>
      <w:lvlJc w:val="left"/>
      <w:pPr>
        <w:ind w:left="6480" w:hanging="360"/>
      </w:pPr>
    </w:lvl>
  </w:abstractNum>
  <w:num w:numId="1" w16cid:durableId="1107963800">
    <w:abstractNumId w:val="1"/>
    <w:lvlOverride w:ilvl="0">
      <w:startOverride w:val="1"/>
    </w:lvlOverride>
  </w:num>
  <w:num w:numId="2" w16cid:durableId="503133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B4"/>
    <w:rsid w:val="002373F9"/>
    <w:rsid w:val="00444DB4"/>
    <w:rsid w:val="004E5ED7"/>
    <w:rsid w:val="005B601C"/>
    <w:rsid w:val="00FB6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FBC3"/>
  <w15:docId w15:val="{08D367F8-6E02-4FAF-BB01-F1C206CA9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d52b3f431be935a33efb74a879ca345d">
  <xsd:schema xmlns:xsd="http://www.w3.org/2001/XMLSchema" xmlns:xs="http://www.w3.org/2001/XMLSchema" xmlns:p="http://schemas.microsoft.com/office/2006/metadata/properties" xmlns:ns3="cd5eb7d7-0d54-40d6-ab37-95105846df12" targetNamespace="http://schemas.microsoft.com/office/2006/metadata/properties" ma:root="true" ma:fieldsID="605a84b8487f015f09ba097664e94f41"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F6622B50-623E-488D-9C22-144379CC4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9F2537-67F5-4557-B00F-6815ADD704EC}">
  <ds:schemaRefs>
    <ds:schemaRef ds:uri="http://schemas.microsoft.com/sharepoint/v3/contenttype/forms"/>
  </ds:schemaRefs>
</ds:datastoreItem>
</file>

<file path=customXml/itemProps3.xml><?xml version="1.0" encoding="utf-8"?>
<ds:datastoreItem xmlns:ds="http://schemas.openxmlformats.org/officeDocument/2006/customXml" ds:itemID="{472ED375-3B88-402E-84AC-648B1AC5FC1F}">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3242</Words>
  <Characters>18483</Characters>
  <Application>Microsoft Office Word</Application>
  <DocSecurity>0</DocSecurity>
  <Lines>154</Lines>
  <Paragraphs>43</Paragraphs>
  <ScaleCrop>false</ScaleCrop>
  <Company/>
  <LinksUpToDate>false</LinksUpToDate>
  <CharactersWithSpaces>21682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3</cp:revision>
  <dcterms:created xsi:type="dcterms:W3CDTF">2026-09-17T10:01:00Z</dcterms:created>
  <dcterms:modified xsi:type="dcterms:W3CDTF">2026-09-17T10:02:00Z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93105313-3076-4670-a3c5-fc2973792bfe</vt:lpwstr>
  </property>
  <property fmtid="{D5CDD505-2E9C-101B-9397-08002B2CF9AE}" pid="3" name="ContentTypeId">
    <vt:lpwstr>0x010100A13C94B2A060D845B54521126503AE5E</vt:lpwstr>
  </property>
</Properties>
</file>