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95B13" w14:textId="77777777" w:rsidR="00FE0AF5" w:rsidRDefault="00000000">
      <w:pPr>
        <w:spacing w:after="60"/>
        <w:jc w:val="center"/>
      </w:pPr>
      <w:r>
        <w:rPr>
          <w:rFonts w:ascii="Calibri" w:eastAsia="Calibri" w:hAnsi="Calibri" w:cs="Calibri"/>
          <w:b/>
          <w:bCs/>
          <w:color w:val="215E99"/>
          <w:sz w:val="44"/>
          <w:szCs w:val="44"/>
        </w:rPr>
        <w:t>Minutes of Meeting</w:t>
      </w:r>
    </w:p>
    <w:p w14:paraId="64F7CBEE" w14:textId="77777777" w:rsidR="00FE0AF5" w:rsidRDefault="00000000">
      <w:pPr>
        <w:pBdr>
          <w:bottom w:val="single" w:sz="6" w:space="8" w:color="0D6EFD"/>
        </w:pBdr>
        <w:spacing w:after="160"/>
        <w:jc w:val="center"/>
      </w:pPr>
      <w:r>
        <w:rPr>
          <w:rFonts w:ascii="Calibri" w:eastAsia="Calibri" w:hAnsi="Calibri" w:cs="Calibri"/>
          <w:i/>
          <w:iCs/>
          <w:color w:val="0B1324"/>
          <w:sz w:val="24"/>
          <w:szCs w:val="24"/>
        </w:rPr>
        <w:t>Workshop — AI Recommendation/Personalization, Core AI Platform &amp; AI Risk/Fraud Intelligence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591"/>
        <w:gridCol w:w="3626"/>
        <w:gridCol w:w="1605"/>
        <w:gridCol w:w="2528"/>
      </w:tblGrid>
      <w:tr w:rsidR="00FE0AF5" w14:paraId="2C79652E"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1157561C" w14:textId="77777777" w:rsidR="00FE0AF5" w:rsidRDefault="00000000">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5E8F322F" w14:textId="77777777" w:rsidR="00FE0AF5" w:rsidRDefault="00000000">
            <w:r>
              <w:rPr>
                <w:rFonts w:ascii="Calibri" w:eastAsia="Calibri" w:hAnsi="Calibri" w:cs="Calibri"/>
                <w:sz w:val="24"/>
                <w:szCs w:val="24"/>
              </w:rPr>
              <w:t>21-September-2026</w:t>
            </w:r>
          </w:p>
        </w:tc>
        <w:tc>
          <w:tcPr>
            <w:tcW w:w="1700" w:type="dxa"/>
            <w:shd w:val="clear" w:color="auto" w:fill="E7EEFB"/>
            <w:tcMar>
              <w:top w:w="80" w:type="dxa"/>
              <w:left w:w="120" w:type="dxa"/>
              <w:bottom w:w="80" w:type="dxa"/>
              <w:right w:w="120" w:type="dxa"/>
            </w:tcMar>
            <w:vAlign w:val="center"/>
          </w:tcPr>
          <w:p w14:paraId="36850FE3" w14:textId="77777777" w:rsidR="00FE0AF5" w:rsidRDefault="00000000">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29BF5700" w14:textId="77777777" w:rsidR="00FE0AF5" w:rsidRDefault="00000000">
            <w:r>
              <w:rPr>
                <w:rFonts w:ascii="Calibri" w:eastAsia="Calibri" w:hAnsi="Calibri" w:cs="Calibri"/>
                <w:sz w:val="24"/>
                <w:szCs w:val="24"/>
              </w:rPr>
              <w:t>TICVAI</w:t>
            </w:r>
          </w:p>
        </w:tc>
      </w:tr>
      <w:tr w:rsidR="00FE0AF5" w14:paraId="2140649B"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482B68CE" w14:textId="77777777" w:rsidR="00FE0AF5" w:rsidRDefault="00000000">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44609189" w14:textId="77777777" w:rsidR="00FE0AF5" w:rsidRDefault="00000000">
            <w:r>
              <w:rPr>
                <w:rFonts w:ascii="Calibri" w:eastAsia="Calibri" w:hAnsi="Calibri" w:cs="Calibri"/>
                <w:sz w:val="24"/>
                <w:szCs w:val="24"/>
              </w:rPr>
              <w:t>Product Workshop — AI Recommendation/Personalization, Core AI Platform &amp; AI Risk/Fraud Intelligence</w:t>
            </w:r>
          </w:p>
        </w:tc>
        <w:tc>
          <w:tcPr>
            <w:tcW w:w="1700" w:type="dxa"/>
            <w:shd w:val="clear" w:color="auto" w:fill="E7EEFB"/>
            <w:tcMar>
              <w:top w:w="80" w:type="dxa"/>
              <w:left w:w="120" w:type="dxa"/>
              <w:bottom w:w="80" w:type="dxa"/>
              <w:right w:w="120" w:type="dxa"/>
            </w:tcMar>
            <w:vAlign w:val="center"/>
          </w:tcPr>
          <w:p w14:paraId="47BC016C" w14:textId="77777777" w:rsidR="00FE0AF5" w:rsidRDefault="00000000">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128F5F1C" w14:textId="77777777" w:rsidR="00FE0AF5" w:rsidRDefault="00000000">
            <w:r>
              <w:rPr>
                <w:rFonts w:ascii="Calibri" w:eastAsia="Calibri" w:hAnsi="Calibri" w:cs="Calibri"/>
                <w:sz w:val="24"/>
                <w:szCs w:val="24"/>
              </w:rPr>
              <w:t>Chitrangi Mestry</w:t>
            </w:r>
          </w:p>
        </w:tc>
      </w:tr>
    </w:tbl>
    <w:p w14:paraId="3E6040F6" w14:textId="77777777" w:rsidR="00FE0AF5" w:rsidRDefault="00FE0AF5">
      <w:pPr>
        <w:spacing w:after="160"/>
      </w:pPr>
    </w:p>
    <w:p w14:paraId="0DA8EF1E" w14:textId="77777777" w:rsidR="00FE0AF5" w:rsidRDefault="00000000">
      <w:pPr>
        <w:spacing w:before="180" w:after="100"/>
      </w:pPr>
      <w:r>
        <w:rPr>
          <w:rFonts w:ascii="Calibri" w:eastAsia="Calibri" w:hAnsi="Calibri" w:cs="Calibri"/>
          <w:b/>
          <w:bCs/>
          <w:color w:val="215E99"/>
          <w:sz w:val="32"/>
          <w:szCs w:val="32"/>
        </w:rPr>
        <w:t>Primary Objective</w:t>
      </w:r>
    </w:p>
    <w:p w14:paraId="24EA0BE5" w14:textId="77777777" w:rsidR="00FE0AF5" w:rsidRDefault="00000000">
      <w:pPr>
        <w:spacing w:after="120"/>
      </w:pPr>
      <w:r>
        <w:rPr>
          <w:rFonts w:ascii="Calibri" w:eastAsia="Calibri" w:hAnsi="Calibri" w:cs="Calibri"/>
          <w:color w:val="000000"/>
          <w:sz w:val="24"/>
          <w:szCs w:val="24"/>
        </w:rPr>
        <w:t>To complete the AI workshop series by covering the three remaining AI topics — the recommendation/personalization engine, the core AI platform and enterprise intelligence layer, and AI risk/fraud intelligence — bringing all AI-related modules to a close and shifting focus toward module-wise build readiness and UI/UX sign-off for POS, guest web app, and guest mobile app.</w:t>
      </w:r>
    </w:p>
    <w:p w14:paraId="41D71A4C" w14:textId="77777777" w:rsidR="00FE0AF5" w:rsidRDefault="00000000">
      <w:pPr>
        <w:spacing w:before="180" w:after="100"/>
      </w:pPr>
      <w:r>
        <w:rPr>
          <w:rFonts w:ascii="Calibri" w:eastAsia="Calibri" w:hAnsi="Calibri" w:cs="Calibri"/>
          <w:b/>
          <w:bCs/>
          <w:color w:val="215E99"/>
          <w:sz w:val="32"/>
          <w:szCs w:val="32"/>
        </w:rPr>
        <w:t>Participants</w:t>
      </w:r>
    </w:p>
    <w:p w14:paraId="7418A1BC" w14:textId="4A076EA6" w:rsidR="00FE0AF5" w:rsidRDefault="00000000">
      <w:pPr>
        <w:pStyle w:val="ListParagraph"/>
        <w:numPr>
          <w:ilvl w:val="0"/>
          <w:numId w:val="2"/>
        </w:numPr>
        <w:spacing w:after="70"/>
      </w:pPr>
      <w:r>
        <w:rPr>
          <w:rFonts w:ascii="Calibri" w:eastAsia="Calibri" w:hAnsi="Calibri" w:cs="Calibri"/>
          <w:sz w:val="24"/>
          <w:szCs w:val="24"/>
        </w:rPr>
        <w:t xml:space="preserve">TICVAI Team </w:t>
      </w:r>
    </w:p>
    <w:p w14:paraId="7001981D" w14:textId="769EED6D" w:rsidR="00FE0AF5" w:rsidRDefault="00000000">
      <w:pPr>
        <w:pStyle w:val="ListParagraph"/>
        <w:numPr>
          <w:ilvl w:val="0"/>
          <w:numId w:val="2"/>
        </w:numPr>
        <w:spacing w:after="70"/>
      </w:pPr>
      <w:r>
        <w:rPr>
          <w:rFonts w:ascii="Calibri" w:eastAsia="Calibri" w:hAnsi="Calibri" w:cs="Calibri"/>
          <w:sz w:val="24"/>
          <w:szCs w:val="24"/>
        </w:rPr>
        <w:t xml:space="preserve">Softlabs Team </w:t>
      </w:r>
    </w:p>
    <w:p w14:paraId="08358341" w14:textId="77777777" w:rsidR="00FE0AF5" w:rsidRDefault="00000000">
      <w:pPr>
        <w:spacing w:before="180" w:after="100"/>
      </w:pPr>
      <w:r>
        <w:rPr>
          <w:rFonts w:ascii="Calibri" w:eastAsia="Calibri" w:hAnsi="Calibri" w:cs="Calibri"/>
          <w:b/>
          <w:bCs/>
          <w:color w:val="215E99"/>
          <w:sz w:val="32"/>
          <w:szCs w:val="32"/>
        </w:rPr>
        <w:t>Agenda</w:t>
      </w:r>
    </w:p>
    <w:p w14:paraId="07F90BB0" w14:textId="77777777" w:rsidR="00FE0AF5" w:rsidRDefault="00000000">
      <w:pPr>
        <w:pStyle w:val="ListParagraph"/>
        <w:numPr>
          <w:ilvl w:val="0"/>
          <w:numId w:val="2"/>
        </w:numPr>
        <w:spacing w:after="70"/>
      </w:pPr>
      <w:r>
        <w:rPr>
          <w:rFonts w:ascii="Calibri" w:eastAsia="Calibri" w:hAnsi="Calibri" w:cs="Calibri"/>
          <w:sz w:val="24"/>
          <w:szCs w:val="24"/>
        </w:rPr>
        <w:t>Recommendation strategy — overview, objectives and use-case library</w:t>
      </w:r>
    </w:p>
    <w:p w14:paraId="784225D1" w14:textId="77777777" w:rsidR="00FE0AF5" w:rsidRDefault="00000000">
      <w:pPr>
        <w:pStyle w:val="ListParagraph"/>
        <w:numPr>
          <w:ilvl w:val="0"/>
          <w:numId w:val="2"/>
        </w:numPr>
        <w:spacing w:after="70"/>
      </w:pPr>
      <w:r>
        <w:rPr>
          <w:rFonts w:ascii="Calibri" w:eastAsia="Calibri" w:hAnsi="Calibri" w:cs="Calibri"/>
          <w:sz w:val="24"/>
          <w:szCs w:val="24"/>
        </w:rPr>
        <w:t>Recommendation strategy — candidate configuration, product relationships and eligibility rules</w:t>
      </w:r>
    </w:p>
    <w:p w14:paraId="1CB1BCB0" w14:textId="77777777" w:rsidR="00FE0AF5" w:rsidRDefault="00000000">
      <w:pPr>
        <w:pStyle w:val="ListParagraph"/>
        <w:numPr>
          <w:ilvl w:val="0"/>
          <w:numId w:val="2"/>
        </w:numPr>
        <w:spacing w:after="70"/>
      </w:pPr>
      <w:r>
        <w:rPr>
          <w:rFonts w:ascii="Calibri" w:eastAsia="Calibri" w:hAnsi="Calibri" w:cs="Calibri"/>
          <w:sz w:val="24"/>
          <w:szCs w:val="24"/>
        </w:rPr>
        <w:t>Recommendation strategy — business priority, conflict suppression and fallback</w:t>
      </w:r>
    </w:p>
    <w:p w14:paraId="69A065DB" w14:textId="77777777" w:rsidR="00FE0AF5" w:rsidRDefault="00000000">
      <w:pPr>
        <w:pStyle w:val="ListParagraph"/>
        <w:numPr>
          <w:ilvl w:val="0"/>
          <w:numId w:val="2"/>
        </w:numPr>
        <w:spacing w:after="70"/>
      </w:pPr>
      <w:r>
        <w:rPr>
          <w:rFonts w:ascii="Calibri" w:eastAsia="Calibri" w:hAnsi="Calibri" w:cs="Calibri"/>
          <w:sz w:val="24"/>
          <w:szCs w:val="24"/>
        </w:rPr>
        <w:t>Customer and audience intelligence</w:t>
      </w:r>
    </w:p>
    <w:p w14:paraId="49706C0F" w14:textId="77777777" w:rsidR="00FE0AF5" w:rsidRDefault="00000000">
      <w:pPr>
        <w:pStyle w:val="ListParagraph"/>
        <w:numPr>
          <w:ilvl w:val="0"/>
          <w:numId w:val="2"/>
        </w:numPr>
        <w:spacing w:after="70"/>
      </w:pPr>
      <w:r>
        <w:rPr>
          <w:rFonts w:ascii="Calibri" w:eastAsia="Calibri" w:hAnsi="Calibri" w:cs="Calibri"/>
          <w:sz w:val="24"/>
          <w:szCs w:val="24"/>
        </w:rPr>
        <w:t>Recommendation decisioning, ranking and AI intelligence</w:t>
      </w:r>
    </w:p>
    <w:p w14:paraId="78EE4BB2" w14:textId="77777777" w:rsidR="00FE0AF5" w:rsidRDefault="00000000">
      <w:pPr>
        <w:pStyle w:val="ListParagraph"/>
        <w:numPr>
          <w:ilvl w:val="0"/>
          <w:numId w:val="2"/>
        </w:numPr>
        <w:spacing w:after="70"/>
      </w:pPr>
      <w:r>
        <w:rPr>
          <w:rFonts w:ascii="Calibri" w:eastAsia="Calibri" w:hAnsi="Calibri" w:cs="Calibri"/>
          <w:sz w:val="24"/>
          <w:szCs w:val="24"/>
        </w:rPr>
        <w:t>Personalized offer delivery and omni-channel orchestration</w:t>
      </w:r>
    </w:p>
    <w:p w14:paraId="68DADA1B" w14:textId="77777777" w:rsidR="00FE0AF5" w:rsidRDefault="00000000">
      <w:pPr>
        <w:pStyle w:val="ListParagraph"/>
        <w:numPr>
          <w:ilvl w:val="0"/>
          <w:numId w:val="2"/>
        </w:numPr>
        <w:spacing w:after="70"/>
      </w:pPr>
      <w:r>
        <w:rPr>
          <w:rFonts w:ascii="Calibri" w:eastAsia="Calibri" w:hAnsi="Calibri" w:cs="Calibri"/>
          <w:sz w:val="24"/>
          <w:szCs w:val="24"/>
        </w:rPr>
        <w:t>Recommendation performance analytics</w:t>
      </w:r>
    </w:p>
    <w:p w14:paraId="2EEE341F" w14:textId="77777777" w:rsidR="00FE0AF5" w:rsidRDefault="00000000">
      <w:pPr>
        <w:pStyle w:val="ListParagraph"/>
        <w:numPr>
          <w:ilvl w:val="0"/>
          <w:numId w:val="2"/>
        </w:numPr>
        <w:spacing w:after="70"/>
      </w:pPr>
      <w:r>
        <w:rPr>
          <w:rFonts w:ascii="Calibri" w:eastAsia="Calibri" w:hAnsi="Calibri" w:cs="Calibri"/>
          <w:sz w:val="24"/>
          <w:szCs w:val="24"/>
        </w:rPr>
        <w:t>Core AI platform — AI assistant (query and knowledge)</w:t>
      </w:r>
    </w:p>
    <w:p w14:paraId="03525BD6" w14:textId="77777777" w:rsidR="00FE0AF5" w:rsidRDefault="00000000">
      <w:pPr>
        <w:pStyle w:val="ListParagraph"/>
        <w:numPr>
          <w:ilvl w:val="0"/>
          <w:numId w:val="2"/>
        </w:numPr>
        <w:spacing w:after="70"/>
      </w:pPr>
      <w:r>
        <w:rPr>
          <w:rFonts w:ascii="Calibri" w:eastAsia="Calibri" w:hAnsi="Calibri" w:cs="Calibri"/>
          <w:sz w:val="24"/>
          <w:szCs w:val="24"/>
        </w:rPr>
        <w:t>Core AI platform — AI tools, agents and action orchestration</w:t>
      </w:r>
    </w:p>
    <w:p w14:paraId="0999DAAA" w14:textId="77777777" w:rsidR="00FE0AF5" w:rsidRDefault="00000000">
      <w:pPr>
        <w:pStyle w:val="ListParagraph"/>
        <w:numPr>
          <w:ilvl w:val="0"/>
          <w:numId w:val="2"/>
        </w:numPr>
        <w:spacing w:after="70"/>
      </w:pPr>
      <w:r>
        <w:rPr>
          <w:rFonts w:ascii="Calibri" w:eastAsia="Calibri" w:hAnsi="Calibri" w:cs="Calibri"/>
          <w:sz w:val="24"/>
          <w:szCs w:val="24"/>
        </w:rPr>
        <w:t>Core AI platform — multi-provider AI model strategy</w:t>
      </w:r>
    </w:p>
    <w:p w14:paraId="6E666EE5" w14:textId="77777777" w:rsidR="00FE0AF5" w:rsidRDefault="00000000">
      <w:pPr>
        <w:pStyle w:val="ListParagraph"/>
        <w:numPr>
          <w:ilvl w:val="0"/>
          <w:numId w:val="2"/>
        </w:numPr>
        <w:spacing w:after="70"/>
      </w:pPr>
      <w:r>
        <w:rPr>
          <w:rFonts w:ascii="Calibri" w:eastAsia="Calibri" w:hAnsi="Calibri" w:cs="Calibri"/>
          <w:sz w:val="24"/>
          <w:szCs w:val="24"/>
        </w:rPr>
        <w:t>Core AI platform — operations and consumption monitoring</w:t>
      </w:r>
    </w:p>
    <w:p w14:paraId="6AB92E6E" w14:textId="77777777" w:rsidR="00FE0AF5" w:rsidRDefault="00000000">
      <w:pPr>
        <w:pStyle w:val="ListParagraph"/>
        <w:numPr>
          <w:ilvl w:val="0"/>
          <w:numId w:val="2"/>
        </w:numPr>
        <w:spacing w:after="70"/>
      </w:pPr>
      <w:r>
        <w:rPr>
          <w:rFonts w:ascii="Calibri" w:eastAsia="Calibri" w:hAnsi="Calibri" w:cs="Calibri"/>
          <w:sz w:val="24"/>
          <w:szCs w:val="24"/>
        </w:rPr>
        <w:t>AI risk and fraud intelligence — transaction and payment fraud detection</w:t>
      </w:r>
    </w:p>
    <w:p w14:paraId="5D372E91" w14:textId="77777777" w:rsidR="00FE0AF5" w:rsidRDefault="00000000">
      <w:pPr>
        <w:pStyle w:val="ListParagraph"/>
        <w:numPr>
          <w:ilvl w:val="0"/>
          <w:numId w:val="2"/>
        </w:numPr>
        <w:spacing w:after="70"/>
      </w:pPr>
      <w:r>
        <w:rPr>
          <w:rFonts w:ascii="Calibri" w:eastAsia="Calibri" w:hAnsi="Calibri" w:cs="Calibri"/>
          <w:sz w:val="24"/>
          <w:szCs w:val="24"/>
        </w:rPr>
        <w:t>AI risk and fraud intelligence — account, credential and device monitoring</w:t>
      </w:r>
    </w:p>
    <w:p w14:paraId="29024D24" w14:textId="77777777" w:rsidR="00FE0AF5" w:rsidRDefault="00000000">
      <w:pPr>
        <w:pStyle w:val="ListParagraph"/>
        <w:numPr>
          <w:ilvl w:val="0"/>
          <w:numId w:val="2"/>
        </w:numPr>
        <w:spacing w:after="70"/>
      </w:pPr>
      <w:r>
        <w:rPr>
          <w:rFonts w:ascii="Calibri" w:eastAsia="Calibri" w:hAnsi="Calibri" w:cs="Calibri"/>
          <w:sz w:val="24"/>
          <w:szCs w:val="24"/>
        </w:rPr>
        <w:t>AI risk and fraud intelligence — investigation and case management</w:t>
      </w:r>
    </w:p>
    <w:p w14:paraId="58561719" w14:textId="77777777" w:rsidR="00FE0AF5" w:rsidRDefault="00000000">
      <w:pPr>
        <w:pStyle w:val="ListParagraph"/>
        <w:numPr>
          <w:ilvl w:val="0"/>
          <w:numId w:val="2"/>
        </w:numPr>
        <w:spacing w:after="70"/>
      </w:pPr>
      <w:r>
        <w:rPr>
          <w:rFonts w:ascii="Calibri" w:eastAsia="Calibri" w:hAnsi="Calibri" w:cs="Calibri"/>
          <w:sz w:val="24"/>
          <w:szCs w:val="24"/>
        </w:rPr>
        <w:t>Planning — shift to build readiness and UI/UX sign-off</w:t>
      </w:r>
    </w:p>
    <w:p w14:paraId="79C0FCAF" w14:textId="77777777" w:rsidR="00FE0AF5" w:rsidRDefault="00000000">
      <w:pPr>
        <w:spacing w:before="180" w:after="100"/>
      </w:pPr>
      <w:r>
        <w:rPr>
          <w:rFonts w:ascii="Calibri" w:eastAsia="Calibri" w:hAnsi="Calibri" w:cs="Calibri"/>
          <w:b/>
          <w:bCs/>
          <w:color w:val="215E99"/>
          <w:sz w:val="32"/>
          <w:szCs w:val="32"/>
        </w:rPr>
        <w:lastRenderedPageBreak/>
        <w:t>4. Detailed Discussion</w:t>
      </w:r>
    </w:p>
    <w:p w14:paraId="7BAAC746" w14:textId="77777777" w:rsidR="00FE0AF5" w:rsidRDefault="00000000">
      <w:pPr>
        <w:spacing w:before="140" w:after="60"/>
      </w:pPr>
      <w:r>
        <w:rPr>
          <w:rFonts w:ascii="Calibri" w:eastAsia="Calibri" w:hAnsi="Calibri" w:cs="Calibri"/>
          <w:b/>
          <w:bCs/>
          <w:color w:val="215E99"/>
          <w:sz w:val="32"/>
          <w:szCs w:val="32"/>
        </w:rPr>
        <w:t>4.1 Recommendation Strategy — Overview, Objectives &amp; Use-Case Library</w:t>
      </w:r>
    </w:p>
    <w:p w14:paraId="61ABB274" w14:textId="77777777" w:rsidR="00FE0AF5" w:rsidRDefault="00000000">
      <w:pPr>
        <w:pStyle w:val="ListParagraph"/>
        <w:numPr>
          <w:ilvl w:val="0"/>
          <w:numId w:val="2"/>
        </w:numPr>
        <w:spacing w:after="70"/>
      </w:pPr>
      <w:r>
        <w:rPr>
          <w:rFonts w:ascii="Calibri" w:eastAsia="Calibri" w:hAnsi="Calibri" w:cs="Calibri"/>
          <w:sz w:val="24"/>
          <w:szCs w:val="24"/>
        </w:rPr>
        <w:t>Allam introduced the recommendation engine, covering how the platform suggests products to customers during booking — for upsell, upgrade, or cross-sell — based on purchase history and cart contents, combining rule-based and AI-based recommendation methods.</w:t>
      </w:r>
    </w:p>
    <w:p w14:paraId="12E9E6E2" w14:textId="77777777" w:rsidR="00FE0AF5" w:rsidRDefault="00000000">
      <w:pPr>
        <w:pStyle w:val="ListParagraph"/>
        <w:numPr>
          <w:ilvl w:val="0"/>
          <w:numId w:val="2"/>
        </w:numPr>
        <w:spacing w:after="70"/>
      </w:pPr>
      <w:r>
        <w:rPr>
          <w:rFonts w:ascii="Calibri" w:eastAsia="Calibri" w:hAnsi="Calibri" w:cs="Calibri"/>
          <w:sz w:val="24"/>
          <w:szCs w:val="24"/>
        </w:rPr>
        <w:t>An overview screen shows whether all recommendation strategies are properly configured; the objective and strategy builder defines why a recommendation is being made and what business outcome it targets (e.g., cart-based, purchase-history-based recommendations).</w:t>
      </w:r>
    </w:p>
    <w:p w14:paraId="324B1E4E" w14:textId="77777777" w:rsidR="00FE0AF5" w:rsidRDefault="00000000">
      <w:pPr>
        <w:pStyle w:val="ListParagraph"/>
        <w:numPr>
          <w:ilvl w:val="0"/>
          <w:numId w:val="2"/>
        </w:numPr>
        <w:spacing w:after="70"/>
      </w:pPr>
      <w:r>
        <w:rPr>
          <w:rFonts w:ascii="Calibri" w:eastAsia="Calibri" w:hAnsi="Calibri" w:cs="Calibri"/>
          <w:sz w:val="24"/>
          <w:szCs w:val="24"/>
        </w:rPr>
        <w:t>A reusable use-case library holds common recommendation templates (upsell, cross-sell, F&amp;B add-on, etc.) that can be configured and triggered without building each one from scratch.</w:t>
      </w:r>
    </w:p>
    <w:p w14:paraId="06D664A4" w14:textId="77777777" w:rsidR="00FE0AF5" w:rsidRDefault="00000000">
      <w:pPr>
        <w:spacing w:before="140" w:after="60"/>
      </w:pPr>
      <w:r>
        <w:rPr>
          <w:rFonts w:ascii="Calibri" w:eastAsia="Calibri" w:hAnsi="Calibri" w:cs="Calibri"/>
          <w:b/>
          <w:bCs/>
          <w:color w:val="215E99"/>
          <w:sz w:val="32"/>
          <w:szCs w:val="32"/>
        </w:rPr>
        <w:t>4.2 Recommendation Strategy — Candidate Configuration, Product Relationships &amp; Eligibility Rules</w:t>
      </w:r>
    </w:p>
    <w:p w14:paraId="69DF93EF" w14:textId="77777777" w:rsidR="00FE0AF5" w:rsidRDefault="00000000">
      <w:pPr>
        <w:pStyle w:val="ListParagraph"/>
        <w:numPr>
          <w:ilvl w:val="0"/>
          <w:numId w:val="2"/>
        </w:numPr>
        <w:spacing w:after="70"/>
      </w:pPr>
      <w:r>
        <w:rPr>
          <w:rFonts w:ascii="Calibri" w:eastAsia="Calibri" w:hAnsi="Calibri" w:cs="Calibri"/>
          <w:sz w:val="24"/>
          <w:szCs w:val="24"/>
        </w:rPr>
        <w:t>Recommendation type and candidate configuration defines which products/services the system is allowed to consider recommending, and what triggers a given recommendation (e.g., proposing a meal package to a family booking).</w:t>
      </w:r>
    </w:p>
    <w:p w14:paraId="413B260B" w14:textId="77777777" w:rsidR="00FE0AF5" w:rsidRDefault="00000000">
      <w:pPr>
        <w:pStyle w:val="ListParagraph"/>
        <w:numPr>
          <w:ilvl w:val="0"/>
          <w:numId w:val="2"/>
        </w:numPr>
        <w:spacing w:after="70"/>
      </w:pPr>
      <w:r>
        <w:rPr>
          <w:rFonts w:ascii="Calibri" w:eastAsia="Calibri" w:hAnsi="Calibri" w:cs="Calibri"/>
          <w:sz w:val="24"/>
          <w:szCs w:val="24"/>
        </w:rPr>
        <w:t>The product relationship and recommendation map shows how products relate to each other for upgrade purposes — e.g., a general admission ticket recommending an annual pass, or a standard ticket recommending a fast pass to skip queues.</w:t>
      </w:r>
    </w:p>
    <w:p w14:paraId="152F5542" w14:textId="77777777" w:rsidR="00FE0AF5" w:rsidRDefault="00000000">
      <w:pPr>
        <w:pStyle w:val="ListParagraph"/>
        <w:numPr>
          <w:ilvl w:val="0"/>
          <w:numId w:val="2"/>
        </w:numPr>
        <w:spacing w:after="70"/>
      </w:pPr>
      <w:r>
        <w:rPr>
          <w:rFonts w:ascii="Calibri" w:eastAsia="Calibri" w:hAnsi="Calibri" w:cs="Calibri"/>
          <w:b/>
          <w:bCs/>
          <w:sz w:val="24"/>
          <w:szCs w:val="24"/>
        </w:rPr>
        <w:t xml:space="preserve">Eligibility and exclusion rules: </w:t>
      </w:r>
      <w:r>
        <w:rPr>
          <w:rFonts w:ascii="Calibri" w:eastAsia="Calibri" w:hAnsi="Calibri" w:cs="Calibri"/>
          <w:sz w:val="24"/>
          <w:szCs w:val="24"/>
        </w:rPr>
        <w:t>define who should or shouldn't receive a given recommendation — e.g., an existing membership holder should not be recommended another membership, but could instead be offered F&amp;B or retail add-ons, since the system already knows what that customer owns.</w:t>
      </w:r>
    </w:p>
    <w:p w14:paraId="53E66F9C" w14:textId="77777777" w:rsidR="00FE0AF5" w:rsidRDefault="00000000">
      <w:pPr>
        <w:spacing w:before="140" w:after="60"/>
      </w:pPr>
      <w:r>
        <w:rPr>
          <w:rFonts w:ascii="Calibri" w:eastAsia="Calibri" w:hAnsi="Calibri" w:cs="Calibri"/>
          <w:b/>
          <w:bCs/>
          <w:color w:val="215E99"/>
          <w:sz w:val="32"/>
          <w:szCs w:val="32"/>
        </w:rPr>
        <w:t>4.3 Recommendation Strategy — Business Priority, Conflict Suppression &amp; Fallback</w:t>
      </w:r>
    </w:p>
    <w:p w14:paraId="4A549B13" w14:textId="77777777" w:rsidR="00FE0AF5" w:rsidRDefault="00000000">
      <w:pPr>
        <w:pStyle w:val="ListParagraph"/>
        <w:numPr>
          <w:ilvl w:val="0"/>
          <w:numId w:val="2"/>
        </w:numPr>
        <w:spacing w:after="70"/>
      </w:pPr>
      <w:r>
        <w:rPr>
          <w:rFonts w:ascii="Calibri" w:eastAsia="Calibri" w:hAnsi="Calibri" w:cs="Calibri"/>
          <w:b/>
          <w:bCs/>
          <w:sz w:val="24"/>
          <w:szCs w:val="24"/>
        </w:rPr>
        <w:t xml:space="preserve">Business priority and constraints: </w:t>
      </w:r>
      <w:r>
        <w:rPr>
          <w:rFonts w:ascii="Calibri" w:eastAsia="Calibri" w:hAnsi="Calibri" w:cs="Calibri"/>
          <w:sz w:val="24"/>
          <w:szCs w:val="24"/>
        </w:rPr>
        <w:t>sets operating limits so recommendations stay within business rules — e.g., a maximum of three recommendations shown at checkout, and never recommending a product the customer already owns.</w:t>
      </w:r>
    </w:p>
    <w:p w14:paraId="2ACDF4DB" w14:textId="77777777" w:rsidR="00FE0AF5" w:rsidRDefault="00000000">
      <w:pPr>
        <w:pStyle w:val="ListParagraph"/>
        <w:numPr>
          <w:ilvl w:val="0"/>
          <w:numId w:val="2"/>
        </w:numPr>
        <w:spacing w:after="70"/>
      </w:pPr>
      <w:r>
        <w:rPr>
          <w:rFonts w:ascii="Calibri" w:eastAsia="Calibri" w:hAnsi="Calibri" w:cs="Calibri"/>
          <w:b/>
          <w:bCs/>
          <w:sz w:val="24"/>
          <w:szCs w:val="24"/>
        </w:rPr>
        <w:t xml:space="preserve">Conflict and suppression management: </w:t>
      </w:r>
      <w:r>
        <w:rPr>
          <w:rFonts w:ascii="Calibri" w:eastAsia="Calibri" w:hAnsi="Calibri" w:cs="Calibri"/>
          <w:sz w:val="24"/>
          <w:szCs w:val="24"/>
        </w:rPr>
        <w:t>prevents contradictory or irrelevant recommendations from appearing together — e.g., not recommending general admission to a customer who has already selected a VIP/fast-pass product.</w:t>
      </w:r>
    </w:p>
    <w:p w14:paraId="3A373DF1" w14:textId="77777777" w:rsidR="00FE0AF5" w:rsidRDefault="00000000">
      <w:pPr>
        <w:pStyle w:val="ListParagraph"/>
        <w:numPr>
          <w:ilvl w:val="0"/>
          <w:numId w:val="2"/>
        </w:numPr>
        <w:spacing w:after="70"/>
      </w:pPr>
      <w:r>
        <w:rPr>
          <w:rFonts w:ascii="Calibri" w:eastAsia="Calibri" w:hAnsi="Calibri" w:cs="Calibri"/>
          <w:sz w:val="24"/>
          <w:szCs w:val="24"/>
        </w:rPr>
        <w:t>Fallback and default strategy defines what happens if a recommendation is declined — e.g., proposing an alternative product B if product A was rejected; a simulator lets admins test the full recommendation strategy before publishing it live.</w:t>
      </w:r>
    </w:p>
    <w:p w14:paraId="74500BDB" w14:textId="77777777" w:rsidR="00FE0AF5" w:rsidRDefault="00000000">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AI recommendations never override hard business rules or configured eligibility constraints — business rules always take precedence.</w:t>
      </w:r>
    </w:p>
    <w:p w14:paraId="3DE3D170" w14:textId="77777777" w:rsidR="00FE0AF5" w:rsidRDefault="00000000">
      <w:pPr>
        <w:spacing w:before="140" w:after="60"/>
      </w:pPr>
      <w:r>
        <w:rPr>
          <w:rFonts w:ascii="Calibri" w:eastAsia="Calibri" w:hAnsi="Calibri" w:cs="Calibri"/>
          <w:b/>
          <w:bCs/>
          <w:color w:val="215E99"/>
          <w:sz w:val="32"/>
          <w:szCs w:val="32"/>
        </w:rPr>
        <w:lastRenderedPageBreak/>
        <w:t>4.4 Customer &amp; Audience Intelligence</w:t>
      </w:r>
    </w:p>
    <w:p w14:paraId="67E67958" w14:textId="77777777" w:rsidR="00FE0AF5" w:rsidRDefault="00000000">
      <w:pPr>
        <w:pStyle w:val="ListParagraph"/>
        <w:numPr>
          <w:ilvl w:val="0"/>
          <w:numId w:val="2"/>
        </w:numPr>
        <w:spacing w:after="70"/>
      </w:pPr>
      <w:r>
        <w:rPr>
          <w:rFonts w:ascii="Calibri" w:eastAsia="Calibri" w:hAnsi="Calibri" w:cs="Calibri"/>
          <w:sz w:val="24"/>
          <w:szCs w:val="24"/>
        </w:rPr>
        <w:t>This board builds the context behind a recommendation — who the customer is and what's happening right now — starting with what customer information and real-time signals (ticket history, live basket data) are currently available.</w:t>
      </w:r>
    </w:p>
    <w:p w14:paraId="0FCA2600" w14:textId="77777777" w:rsidR="00FE0AF5" w:rsidRDefault="00000000">
      <w:pPr>
        <w:pStyle w:val="ListParagraph"/>
        <w:numPr>
          <w:ilvl w:val="0"/>
          <w:numId w:val="2"/>
        </w:numPr>
        <w:spacing w:after="70"/>
      </w:pPr>
      <w:r>
        <w:rPr>
          <w:rFonts w:ascii="Calibri" w:eastAsia="Calibri" w:hAnsi="Calibri" w:cs="Calibri"/>
          <w:b/>
          <w:bCs/>
          <w:sz w:val="24"/>
          <w:szCs w:val="24"/>
        </w:rPr>
        <w:t xml:space="preserve">Customer identity and profile resolution: </w:t>
      </w:r>
      <w:r>
        <w:rPr>
          <w:rFonts w:ascii="Calibri" w:eastAsia="Calibri" w:hAnsi="Calibri" w:cs="Calibri"/>
          <w:sz w:val="24"/>
          <w:szCs w:val="24"/>
        </w:rPr>
        <w:t>recaps the unique-identifier deduplication principle from the previous session — a returning guest checking out with the same email address is recognized as the same customer rather than creating a duplicate profile, so recommendations can draw on their full purchase history.</w:t>
      </w:r>
    </w:p>
    <w:p w14:paraId="5920793B" w14:textId="77777777" w:rsidR="00FE0AF5" w:rsidRDefault="00000000">
      <w:pPr>
        <w:pStyle w:val="ListParagraph"/>
        <w:numPr>
          <w:ilvl w:val="0"/>
          <w:numId w:val="2"/>
        </w:numPr>
        <w:spacing w:after="70"/>
      </w:pPr>
      <w:r>
        <w:rPr>
          <w:rFonts w:ascii="Calibri" w:eastAsia="Calibri" w:hAnsi="Calibri" w:cs="Calibri"/>
          <w:sz w:val="24"/>
          <w:szCs w:val="24"/>
        </w:rPr>
        <w:t xml:space="preserve">Customer history and </w:t>
      </w:r>
      <w:proofErr w:type="spellStart"/>
      <w:r>
        <w:rPr>
          <w:rFonts w:ascii="Calibri" w:eastAsia="Calibri" w:hAnsi="Calibri" w:cs="Calibri"/>
          <w:sz w:val="24"/>
          <w:szCs w:val="24"/>
        </w:rPr>
        <w:t>behavioral</w:t>
      </w:r>
      <w:proofErr w:type="spellEnd"/>
      <w:r>
        <w:rPr>
          <w:rFonts w:ascii="Calibri" w:eastAsia="Calibri" w:hAnsi="Calibri" w:cs="Calibri"/>
          <w:sz w:val="24"/>
          <w:szCs w:val="24"/>
        </w:rPr>
        <w:t xml:space="preserve"> signals define how far back the system should look at past activity (e.g., last 6 or 12 months, configurable by business); current session and journey context captures what the customer is doing right now (e.g., currently at checkout); basket/transaction/party intelligence reads cart contents to suggest better-fit products (e.g., proposing a family ticket when 2 adults and 2 children are already in the cart).</w:t>
      </w:r>
    </w:p>
    <w:p w14:paraId="4DD7C538" w14:textId="77777777" w:rsidR="00FE0AF5" w:rsidRDefault="00000000">
      <w:pPr>
        <w:pStyle w:val="ListParagraph"/>
        <w:numPr>
          <w:ilvl w:val="0"/>
          <w:numId w:val="2"/>
        </w:numPr>
        <w:spacing w:after="70"/>
      </w:pPr>
      <w:r>
        <w:rPr>
          <w:rFonts w:ascii="Calibri" w:eastAsia="Calibri" w:hAnsi="Calibri" w:cs="Calibri"/>
          <w:sz w:val="24"/>
          <w:szCs w:val="24"/>
        </w:rPr>
        <w:t>Visit venue and operational context factors in real-time venue conditions (e.g., recommending a dolphin show starting soon, with fast-selling seats); audience and segment intelligence classifies the customer into a group (e.g., a returning visitor) to drive relevant offers (e.g., a loyalty discount for a repeat customer).</w:t>
      </w:r>
    </w:p>
    <w:p w14:paraId="69B5C7B0" w14:textId="77777777" w:rsidR="00FE0AF5" w:rsidRDefault="00000000">
      <w:pPr>
        <w:pStyle w:val="ListParagraph"/>
        <w:numPr>
          <w:ilvl w:val="0"/>
          <w:numId w:val="2"/>
        </w:numPr>
        <w:spacing w:after="70"/>
      </w:pPr>
      <w:r>
        <w:rPr>
          <w:rFonts w:ascii="Calibri" w:eastAsia="Calibri" w:hAnsi="Calibri" w:cs="Calibri"/>
          <w:sz w:val="24"/>
          <w:szCs w:val="24"/>
        </w:rPr>
        <w:t>Real-time context and signal production consolidates all of the above into a live recommendation context, including signal strength (profile completeness, membership status, loyalty tier); a privacy/consent/data-usage control layer governs what customer information AI is permitted to use (recapping the data-access-policy principle from AI governance); a final context-sufficiency check confirms there's enough information to make a useful recommendation before one is generated.</w:t>
      </w:r>
    </w:p>
    <w:p w14:paraId="7DBA9CAD" w14:textId="77777777" w:rsidR="00FE0AF5" w:rsidRDefault="00000000">
      <w:pPr>
        <w:spacing w:before="140" w:after="60"/>
      </w:pPr>
      <w:r>
        <w:rPr>
          <w:rFonts w:ascii="Calibri" w:eastAsia="Calibri" w:hAnsi="Calibri" w:cs="Calibri"/>
          <w:b/>
          <w:bCs/>
          <w:color w:val="215E99"/>
          <w:sz w:val="32"/>
          <w:szCs w:val="32"/>
        </w:rPr>
        <w:t>4.5 Recommendation Decisioning, Ranking &amp; AI Intelligence</w:t>
      </w:r>
    </w:p>
    <w:p w14:paraId="7B198EB5" w14:textId="77777777" w:rsidR="00FE0AF5" w:rsidRDefault="00000000">
      <w:pPr>
        <w:pStyle w:val="ListParagraph"/>
        <w:numPr>
          <w:ilvl w:val="0"/>
          <w:numId w:val="2"/>
        </w:numPr>
        <w:spacing w:after="70"/>
      </w:pPr>
      <w:r>
        <w:rPr>
          <w:rFonts w:ascii="Calibri" w:eastAsia="Calibri" w:hAnsi="Calibri" w:cs="Calibri"/>
          <w:sz w:val="24"/>
          <w:szCs w:val="24"/>
        </w:rPr>
        <w:t>This board is the decision engine — taking the eligible products (board 1) and customer context (board 2) to determine what should be recommended and in what order, with an overview of how the recommendation engine is currently performing.</w:t>
      </w:r>
    </w:p>
    <w:p w14:paraId="1E84AB52" w14:textId="77777777" w:rsidR="00FE0AF5" w:rsidRDefault="00000000">
      <w:pPr>
        <w:pStyle w:val="ListParagraph"/>
        <w:numPr>
          <w:ilvl w:val="0"/>
          <w:numId w:val="2"/>
        </w:numPr>
        <w:spacing w:after="70"/>
      </w:pPr>
      <w:r>
        <w:rPr>
          <w:rFonts w:ascii="Calibri" w:eastAsia="Calibri" w:hAnsi="Calibri" w:cs="Calibri"/>
          <w:sz w:val="24"/>
          <w:szCs w:val="24"/>
        </w:rPr>
        <w:t xml:space="preserve">Decision strategy configuration lets AI-based, rule-based, and business strategies be ranked in priority (e.g., try AI first, fall back to rule-based, then business-defined rules); candidate </w:t>
      </w:r>
      <w:proofErr w:type="spellStart"/>
      <w:r>
        <w:rPr>
          <w:rFonts w:ascii="Calibri" w:eastAsia="Calibri" w:hAnsi="Calibri" w:cs="Calibri"/>
          <w:sz w:val="24"/>
          <w:szCs w:val="24"/>
        </w:rPr>
        <w:t>funneling</w:t>
      </w:r>
      <w:proofErr w:type="spellEnd"/>
      <w:r>
        <w:rPr>
          <w:rFonts w:ascii="Calibri" w:eastAsia="Calibri" w:hAnsi="Calibri" w:cs="Calibri"/>
          <w:sz w:val="24"/>
          <w:szCs w:val="24"/>
        </w:rPr>
        <w:t xml:space="preserve"> progressively narrows a broad product set down to only the relevant options for a given customer; candidate scoring and ranking assigns a relevance score to each eligible option to determine display order.</w:t>
      </w:r>
    </w:p>
    <w:p w14:paraId="62AD1C1D" w14:textId="77777777" w:rsidR="00FE0AF5" w:rsidRDefault="00000000">
      <w:pPr>
        <w:pStyle w:val="ListParagraph"/>
        <w:numPr>
          <w:ilvl w:val="0"/>
          <w:numId w:val="2"/>
        </w:numPr>
        <w:spacing w:after="70"/>
      </w:pPr>
      <w:r>
        <w:rPr>
          <w:rFonts w:ascii="Calibri" w:eastAsia="Calibri" w:hAnsi="Calibri" w:cs="Calibri"/>
          <w:b/>
          <w:bCs/>
          <w:sz w:val="24"/>
          <w:szCs w:val="24"/>
        </w:rPr>
        <w:t xml:space="preserve">Next best product / next best action: </w:t>
      </w:r>
      <w:r>
        <w:rPr>
          <w:rFonts w:ascii="Calibri" w:eastAsia="Calibri" w:hAnsi="Calibri" w:cs="Calibri"/>
          <w:sz w:val="24"/>
          <w:szCs w:val="24"/>
        </w:rPr>
        <w:t>decides whether the most useful next step is selling a new product or surfacing useful information — e.g., a membership nearing expiry should prompt a renewal recommendation rather than a new product offer.</w:t>
      </w:r>
    </w:p>
    <w:p w14:paraId="261C6EA3" w14:textId="77777777" w:rsidR="00FE0AF5" w:rsidRDefault="00000000">
      <w:pPr>
        <w:pStyle w:val="ListParagraph"/>
        <w:numPr>
          <w:ilvl w:val="0"/>
          <w:numId w:val="2"/>
        </w:numPr>
        <w:spacing w:after="70"/>
      </w:pPr>
      <w:r>
        <w:rPr>
          <w:rFonts w:ascii="Calibri" w:eastAsia="Calibri" w:hAnsi="Calibri" w:cs="Calibri"/>
          <w:sz w:val="24"/>
          <w:szCs w:val="24"/>
        </w:rPr>
        <w:t>Ranking policy diversity prevents showing too many similar recommendations back-to-back (e.g., alternating between an F&amp;B upsell and an experience upsell rather than repeating the same type); confidence/uncertainty/decision-quality control allows a configured business rule to override a low-confidence AI recommendation.</w:t>
      </w:r>
    </w:p>
    <w:p w14:paraId="2BCD1E7C" w14:textId="77777777" w:rsidR="00FE0AF5" w:rsidRDefault="00000000">
      <w:pPr>
        <w:pStyle w:val="ListParagraph"/>
        <w:numPr>
          <w:ilvl w:val="0"/>
          <w:numId w:val="2"/>
        </w:numPr>
        <w:spacing w:after="70"/>
      </w:pPr>
      <w:r>
        <w:rPr>
          <w:rFonts w:ascii="Calibri" w:eastAsia="Calibri" w:hAnsi="Calibri" w:cs="Calibri"/>
          <w:sz w:val="24"/>
          <w:szCs w:val="24"/>
        </w:rPr>
        <w:t>A recommendation explanation view shows why a given recommendation was selected; a simulation/comparison/validation tool lets different scenarios be tested and compared before publishing to production.</w:t>
      </w:r>
    </w:p>
    <w:p w14:paraId="77174885" w14:textId="77777777" w:rsidR="00FE0AF5" w:rsidRDefault="00000000">
      <w:pPr>
        <w:spacing w:before="140" w:after="60"/>
      </w:pPr>
      <w:r>
        <w:rPr>
          <w:rFonts w:ascii="Calibri" w:eastAsia="Calibri" w:hAnsi="Calibri" w:cs="Calibri"/>
          <w:b/>
          <w:bCs/>
          <w:color w:val="215E99"/>
          <w:sz w:val="32"/>
          <w:szCs w:val="32"/>
        </w:rPr>
        <w:lastRenderedPageBreak/>
        <w:t>4.6 Personalized Offer Delivery &amp; Omni-Channel Orchestration</w:t>
      </w:r>
    </w:p>
    <w:p w14:paraId="53460F79" w14:textId="77777777" w:rsidR="00FE0AF5" w:rsidRDefault="00000000">
      <w:pPr>
        <w:pStyle w:val="ListParagraph"/>
        <w:numPr>
          <w:ilvl w:val="0"/>
          <w:numId w:val="2"/>
        </w:numPr>
        <w:spacing w:after="70"/>
      </w:pPr>
      <w:r>
        <w:rPr>
          <w:rFonts w:ascii="Calibri" w:eastAsia="Calibri" w:hAnsi="Calibri" w:cs="Calibri"/>
          <w:sz w:val="24"/>
          <w:szCs w:val="24"/>
        </w:rPr>
        <w:t>This board controls where, when, and how a recommendation reaches the customer, with different personalized experiences possible per sales channel (online vs. on-site).</w:t>
      </w:r>
    </w:p>
    <w:p w14:paraId="41CC8A38" w14:textId="77777777" w:rsidR="00FE0AF5" w:rsidRDefault="00000000">
      <w:pPr>
        <w:pStyle w:val="ListParagraph"/>
        <w:numPr>
          <w:ilvl w:val="0"/>
          <w:numId w:val="2"/>
        </w:numPr>
        <w:spacing w:after="70"/>
      </w:pPr>
      <w:r>
        <w:rPr>
          <w:rFonts w:ascii="Calibri" w:eastAsia="Calibri" w:hAnsi="Calibri" w:cs="Calibri"/>
          <w:sz w:val="24"/>
          <w:szCs w:val="24"/>
        </w:rPr>
        <w:t>A delivery health view shows current recommendations being served across channels; the customer journey and touchpoint designer defines at what point a recommendation can appear (cart, checkout, or post-purchase); channel and placement configuration and trigger-timing/event configuration refine exactly when and on which channel a recommendation fires; a presentation/experience preview visually simulates how a recommendation will look to the guest before publishing.</w:t>
      </w:r>
    </w:p>
    <w:p w14:paraId="5EDF6A72" w14:textId="77777777" w:rsidR="00FE0AF5" w:rsidRDefault="00000000">
      <w:pPr>
        <w:pStyle w:val="ListParagraph"/>
        <w:numPr>
          <w:ilvl w:val="0"/>
          <w:numId w:val="2"/>
        </w:numPr>
        <w:spacing w:after="70"/>
      </w:pPr>
      <w:r>
        <w:rPr>
          <w:rFonts w:ascii="Calibri" w:eastAsia="Calibri" w:hAnsi="Calibri" w:cs="Calibri"/>
          <w:b/>
          <w:bCs/>
          <w:sz w:val="24"/>
          <w:szCs w:val="24"/>
        </w:rPr>
        <w:t xml:space="preserve">Frequency and repetition control: </w:t>
      </w:r>
      <w:r>
        <w:rPr>
          <w:rFonts w:ascii="Calibri" w:eastAsia="Calibri" w:hAnsi="Calibri" w:cs="Calibri"/>
          <w:sz w:val="24"/>
          <w:szCs w:val="24"/>
        </w:rPr>
        <w:t>prevents overloading a customer with a recommendation they've already declined multiple times (e.g., not repeatedly re-offering a fast pass the customer has rejected three times).</w:t>
      </w:r>
    </w:p>
    <w:p w14:paraId="3C038B07" w14:textId="77777777" w:rsidR="00FE0AF5" w:rsidRDefault="00000000">
      <w:pPr>
        <w:pStyle w:val="ListParagraph"/>
        <w:numPr>
          <w:ilvl w:val="0"/>
          <w:numId w:val="2"/>
        </w:numPr>
        <w:spacing w:after="70"/>
      </w:pPr>
      <w:r>
        <w:rPr>
          <w:rFonts w:ascii="Calibri" w:eastAsia="Calibri" w:hAnsi="Calibri" w:cs="Calibri"/>
          <w:b/>
          <w:bCs/>
          <w:sz w:val="24"/>
          <w:szCs w:val="24"/>
        </w:rPr>
        <w:t xml:space="preserve">Omni-channel delivery coordination: </w:t>
      </w:r>
      <w:r>
        <w:rPr>
          <w:rFonts w:ascii="Calibri" w:eastAsia="Calibri" w:hAnsi="Calibri" w:cs="Calibri"/>
          <w:sz w:val="24"/>
          <w:szCs w:val="24"/>
        </w:rPr>
        <w:t>ensures a declined recommendation isn't repeated on a different channel — e.g., if a customer ignores a fast-pass offer online and later completes the purchase at POS, the same fast-pass offer should not be re-presented on-site.</w:t>
      </w:r>
    </w:p>
    <w:p w14:paraId="6EF96FCB" w14:textId="77777777" w:rsidR="00FE0AF5" w:rsidRDefault="00000000">
      <w:pPr>
        <w:pStyle w:val="ListParagraph"/>
        <w:numPr>
          <w:ilvl w:val="0"/>
          <w:numId w:val="2"/>
        </w:numPr>
        <w:spacing w:after="70"/>
      </w:pPr>
      <w:r>
        <w:rPr>
          <w:rFonts w:ascii="Calibri" w:eastAsia="Calibri" w:hAnsi="Calibri" w:cs="Calibri"/>
          <w:sz w:val="24"/>
          <w:szCs w:val="24"/>
        </w:rPr>
        <w:t>A final real-time validation/failover check runs immediately before a recommendation is shown; delivery interaction/response capture logs the full lifecycle of a shown recommendation (displayed, viewed, clicked, added to basket, purchased, or rejected); a delivery-strategy preview/journey simulation validates the end-to-end customer journey before go-live.</w:t>
      </w:r>
    </w:p>
    <w:p w14:paraId="7242C04B" w14:textId="77777777" w:rsidR="00FE0AF5" w:rsidRDefault="00000000">
      <w:pPr>
        <w:spacing w:before="140" w:after="60"/>
      </w:pPr>
      <w:r>
        <w:rPr>
          <w:rFonts w:ascii="Calibri" w:eastAsia="Calibri" w:hAnsi="Calibri" w:cs="Calibri"/>
          <w:b/>
          <w:bCs/>
          <w:color w:val="215E99"/>
          <w:sz w:val="32"/>
          <w:szCs w:val="32"/>
        </w:rPr>
        <w:t>4.7 Recommendation Performance Analytics</w:t>
      </w:r>
    </w:p>
    <w:p w14:paraId="05D7FFB3" w14:textId="77777777" w:rsidR="00FE0AF5" w:rsidRDefault="00000000">
      <w:pPr>
        <w:pStyle w:val="ListParagraph"/>
        <w:numPr>
          <w:ilvl w:val="0"/>
          <w:numId w:val="2"/>
        </w:numPr>
        <w:spacing w:after="70"/>
      </w:pPr>
      <w:r>
        <w:rPr>
          <w:rFonts w:ascii="Calibri" w:eastAsia="Calibri" w:hAnsi="Calibri" w:cs="Calibri"/>
          <w:sz w:val="24"/>
          <w:szCs w:val="24"/>
        </w:rPr>
        <w:t>A consolidated analytics view shows overall recommendation engagement — response rates, drop-offs, successful purchases, and conversion by recommendation — broken down by strategy type (AI-based vs. rule-based) so the business can see which approaches are actually working.</w:t>
      </w:r>
    </w:p>
    <w:p w14:paraId="4A7932A5" w14:textId="77777777" w:rsidR="00FE0AF5" w:rsidRDefault="00000000">
      <w:pPr>
        <w:spacing w:before="140" w:after="60"/>
      </w:pPr>
      <w:r>
        <w:rPr>
          <w:rFonts w:ascii="Calibri" w:eastAsia="Calibri" w:hAnsi="Calibri" w:cs="Calibri"/>
          <w:b/>
          <w:bCs/>
          <w:color w:val="215E99"/>
          <w:sz w:val="32"/>
          <w:szCs w:val="32"/>
        </w:rPr>
        <w:t>4.8 Core AI Platform — AI Assistant (Query &amp; Knowledge)</w:t>
      </w:r>
    </w:p>
    <w:p w14:paraId="2698BBC2" w14:textId="77777777" w:rsidR="00FE0AF5" w:rsidRDefault="00000000">
      <w:pPr>
        <w:pStyle w:val="ListParagraph"/>
        <w:numPr>
          <w:ilvl w:val="0"/>
          <w:numId w:val="2"/>
        </w:numPr>
        <w:spacing w:after="70"/>
      </w:pPr>
      <w:r>
        <w:rPr>
          <w:rFonts w:ascii="Calibri" w:eastAsia="Calibri" w:hAnsi="Calibri" w:cs="Calibri"/>
          <w:sz w:val="24"/>
          <w:szCs w:val="24"/>
        </w:rPr>
        <w:t>This module covers a conversational AI assistant that can answer natural-language business queries (e.g., “what was yesterday's ticketing revenue?”), interpreting the question, applying business rules, and checking whether the requesting user is authorized to see that information (e.g., a cashier vs. a finance user).</w:t>
      </w:r>
    </w:p>
    <w:p w14:paraId="4C67D6D2" w14:textId="77777777" w:rsidR="00FE0AF5" w:rsidRDefault="00000000">
      <w:pPr>
        <w:pStyle w:val="ListParagraph"/>
        <w:numPr>
          <w:ilvl w:val="0"/>
          <w:numId w:val="2"/>
        </w:numPr>
        <w:spacing w:after="70"/>
      </w:pPr>
      <w:r>
        <w:rPr>
          <w:rFonts w:ascii="Calibri" w:eastAsia="Calibri" w:hAnsi="Calibri" w:cs="Calibri"/>
          <w:sz w:val="24"/>
          <w:szCs w:val="24"/>
        </w:rPr>
        <w:t xml:space="preserve">Assistant profile, role, and </w:t>
      </w:r>
      <w:proofErr w:type="spellStart"/>
      <w:r>
        <w:rPr>
          <w:rFonts w:ascii="Calibri" w:eastAsia="Calibri" w:hAnsi="Calibri" w:cs="Calibri"/>
          <w:sz w:val="24"/>
          <w:szCs w:val="24"/>
        </w:rPr>
        <w:t>behavior</w:t>
      </w:r>
      <w:proofErr w:type="spellEnd"/>
      <w:r>
        <w:rPr>
          <w:rFonts w:ascii="Calibri" w:eastAsia="Calibri" w:hAnsi="Calibri" w:cs="Calibri"/>
          <w:sz w:val="24"/>
          <w:szCs w:val="24"/>
        </w:rPr>
        <w:t xml:space="preserve"> configuration tailors what a given user type can ask and see (e.g., a CEO has full revenue visibility; a cashier does not); an enterprise knowledge source registry maintains the master list of documents/policies the AI can draw on (refund policy, cancellation policy, SOPs, etc.), feeding a knowledge ingestion/processing/indexing pipeline that converts uploaded documents into an AI-searchable format.</w:t>
      </w:r>
    </w:p>
    <w:p w14:paraId="46A90BDB" w14:textId="77777777" w:rsidR="00FE0AF5" w:rsidRDefault="00000000">
      <w:pPr>
        <w:pStyle w:val="ListParagraph"/>
        <w:numPr>
          <w:ilvl w:val="0"/>
          <w:numId w:val="2"/>
        </w:numPr>
        <w:spacing w:after="70"/>
      </w:pPr>
      <w:r>
        <w:rPr>
          <w:rFonts w:ascii="Calibri" w:eastAsia="Calibri" w:hAnsi="Calibri" w:cs="Calibri"/>
          <w:sz w:val="24"/>
          <w:szCs w:val="24"/>
        </w:rPr>
        <w:t>Knowledge permission and access control ensures users only retrieve information they're authorized for (e.g., a cashier cannot pull a company-wide financial forecast); retrieval/grounding (RAG) finds the most relevant source information before generating an answer, with grounded citations showing exactly which policy or document an answer came from, to prevent unsupported responses.</w:t>
      </w:r>
    </w:p>
    <w:p w14:paraId="5E38BB08" w14:textId="77777777" w:rsidR="00FE0AF5" w:rsidRDefault="00000000">
      <w:pPr>
        <w:pStyle w:val="ListParagraph"/>
        <w:numPr>
          <w:ilvl w:val="0"/>
          <w:numId w:val="2"/>
        </w:numPr>
        <w:spacing w:after="70"/>
      </w:pPr>
      <w:r>
        <w:rPr>
          <w:rFonts w:ascii="Calibri" w:eastAsia="Calibri" w:hAnsi="Calibri" w:cs="Calibri"/>
          <w:sz w:val="24"/>
          <w:szCs w:val="24"/>
        </w:rPr>
        <w:lastRenderedPageBreak/>
        <w:t>Conversational context/session intelligence lets the assistant remember what's being discussed across a conversation (e.g., understanding a follow-up “compare that to this week” after an initial attendance query); knowledge quality/freshness/feedback flags gaps where no relevant policy exists for a query (e.g., a new product with no configured rescheduling policy yet); assistant testing validates a new version before release.</w:t>
      </w:r>
    </w:p>
    <w:p w14:paraId="416C0004" w14:textId="77777777" w:rsidR="00FE0AF5" w:rsidRDefault="00000000">
      <w:pPr>
        <w:spacing w:before="140" w:after="60"/>
      </w:pPr>
      <w:r>
        <w:rPr>
          <w:rFonts w:ascii="Calibri" w:eastAsia="Calibri" w:hAnsi="Calibri" w:cs="Calibri"/>
          <w:b/>
          <w:bCs/>
          <w:color w:val="215E99"/>
          <w:sz w:val="32"/>
          <w:szCs w:val="32"/>
        </w:rPr>
        <w:t>4.9 Core AI Platform — AI Tools, Agents &amp; Action Orchestration</w:t>
      </w:r>
    </w:p>
    <w:p w14:paraId="674978AF" w14:textId="77777777" w:rsidR="00FE0AF5" w:rsidRDefault="00000000">
      <w:pPr>
        <w:pStyle w:val="ListParagraph"/>
        <w:numPr>
          <w:ilvl w:val="0"/>
          <w:numId w:val="2"/>
        </w:numPr>
        <w:spacing w:after="70"/>
      </w:pPr>
      <w:r>
        <w:rPr>
          <w:rFonts w:ascii="Calibri" w:eastAsia="Calibri" w:hAnsi="Calibri" w:cs="Calibri"/>
          <w:sz w:val="24"/>
          <w:szCs w:val="24"/>
        </w:rPr>
        <w:t xml:space="preserve">Beyond answering questions, this board governs AI taking action — with every action passing through planning, validation, governance, and approval before execution, shown centrally in an AI action command </w:t>
      </w:r>
      <w:proofErr w:type="spellStart"/>
      <w:r>
        <w:rPr>
          <w:rFonts w:ascii="Calibri" w:eastAsia="Calibri" w:hAnsi="Calibri" w:cs="Calibri"/>
          <w:sz w:val="24"/>
          <w:szCs w:val="24"/>
        </w:rPr>
        <w:t>center</w:t>
      </w:r>
      <w:proofErr w:type="spellEnd"/>
      <w:r>
        <w:rPr>
          <w:rFonts w:ascii="Calibri" w:eastAsia="Calibri" w:hAnsi="Calibri" w:cs="Calibri"/>
          <w:sz w:val="24"/>
          <w:szCs w:val="24"/>
        </w:rPr>
        <w:t>.</w:t>
      </w:r>
    </w:p>
    <w:p w14:paraId="08A7CC9C" w14:textId="77777777" w:rsidR="00FE0AF5" w:rsidRDefault="00000000">
      <w:pPr>
        <w:pStyle w:val="ListParagraph"/>
        <w:numPr>
          <w:ilvl w:val="0"/>
          <w:numId w:val="2"/>
        </w:numPr>
        <w:spacing w:after="70"/>
      </w:pPr>
      <w:r>
        <w:rPr>
          <w:rFonts w:ascii="Calibri" w:eastAsia="Calibri" w:hAnsi="Calibri" w:cs="Calibri"/>
          <w:sz w:val="24"/>
          <w:szCs w:val="24"/>
        </w:rPr>
        <w:t>The AI tool/capability registry defines exactly which functions a given AI is permitted to use (e.g., AI may create a ticket draft but not publish it without human approval); the AI agent/orchestration profile allows separate, purpose-built AI agents per function (e.g., an operations agent, a finance agent, a marketing agent, a security agent).</w:t>
      </w:r>
    </w:p>
    <w:p w14:paraId="286139E4" w14:textId="77777777" w:rsidR="00FE0AF5" w:rsidRDefault="00000000">
      <w:pPr>
        <w:pStyle w:val="ListParagraph"/>
        <w:numPr>
          <w:ilvl w:val="0"/>
          <w:numId w:val="2"/>
        </w:numPr>
        <w:spacing w:after="70"/>
      </w:pPr>
      <w:r>
        <w:rPr>
          <w:rFonts w:ascii="Calibri" w:eastAsia="Calibri" w:hAnsi="Calibri" w:cs="Calibri"/>
          <w:sz w:val="24"/>
          <w:szCs w:val="24"/>
        </w:rPr>
        <w:t>Intent decomposition converts a natural-language instruction (e.g., “create a family ticket for 2 adults and 2 children this weekend”) into a structured task sequence; tool invocation/parameter building translates that into the precise API parameters needed — flagged by Allam as an area where Softlabs' technical input is needed to confirm feasibility.</w:t>
      </w:r>
    </w:p>
    <w:p w14:paraId="34F6A2AA" w14:textId="77777777" w:rsidR="00FE0AF5" w:rsidRDefault="00000000">
      <w:pPr>
        <w:pStyle w:val="ListParagraph"/>
        <w:numPr>
          <w:ilvl w:val="0"/>
          <w:numId w:val="2"/>
        </w:numPr>
        <w:spacing w:after="70"/>
      </w:pPr>
      <w:r>
        <w:rPr>
          <w:rFonts w:ascii="Calibri" w:eastAsia="Calibri" w:hAnsi="Calibri" w:cs="Calibri"/>
          <w:sz w:val="24"/>
          <w:szCs w:val="24"/>
        </w:rPr>
        <w:t>Plan validation, dependency checking, and simulation verify a proposed AI action will actually work before execution; the governance/permission/approval gateway determines whether an action can proceed automatically or needs human sign-off (recapping the AI governance principles from the previous session).</w:t>
      </w:r>
    </w:p>
    <w:p w14:paraId="74CB2E7E" w14:textId="77777777" w:rsidR="00FE0AF5" w:rsidRDefault="00000000">
      <w:pPr>
        <w:pStyle w:val="ListParagraph"/>
        <w:numPr>
          <w:ilvl w:val="0"/>
          <w:numId w:val="2"/>
        </w:numPr>
        <w:spacing w:after="70"/>
      </w:pPr>
      <w:r>
        <w:rPr>
          <w:rFonts w:ascii="Calibri" w:eastAsia="Calibri" w:hAnsi="Calibri" w:cs="Calibri"/>
          <w:sz w:val="24"/>
          <w:szCs w:val="24"/>
        </w:rPr>
        <w:t>Live execution/operation tracking shows AI actions in progress step by step; failure handling determines what happens if an AI-driven process only partially completes (e.g., rolling back rather than leaving a product half-configured if required information is missing); a full change history records everything AI has modified.</w:t>
      </w:r>
    </w:p>
    <w:p w14:paraId="31C396B4" w14:textId="77777777" w:rsidR="00FE0AF5" w:rsidRDefault="00000000">
      <w:pPr>
        <w:spacing w:before="140" w:after="60"/>
      </w:pPr>
      <w:r>
        <w:rPr>
          <w:rFonts w:ascii="Calibri" w:eastAsia="Calibri" w:hAnsi="Calibri" w:cs="Calibri"/>
          <w:b/>
          <w:bCs/>
          <w:color w:val="215E99"/>
          <w:sz w:val="32"/>
          <w:szCs w:val="32"/>
        </w:rPr>
        <w:t>4.10 Core AI Platform — Multi-Provider AI Model Strategy</w:t>
      </w:r>
    </w:p>
    <w:p w14:paraId="377945D7" w14:textId="77777777" w:rsidR="00FE0AF5" w:rsidRDefault="00000000">
      <w:pPr>
        <w:pStyle w:val="ListParagraph"/>
        <w:numPr>
          <w:ilvl w:val="0"/>
          <w:numId w:val="2"/>
        </w:numPr>
        <w:spacing w:after="70"/>
      </w:pPr>
      <w:r>
        <w:rPr>
          <w:rFonts w:ascii="Calibri" w:eastAsia="Calibri" w:hAnsi="Calibri" w:cs="Calibri"/>
          <w:b/>
          <w:bCs/>
          <w:sz w:val="24"/>
          <w:szCs w:val="24"/>
        </w:rPr>
        <w:t xml:space="preserve">Core principle (Allam): </w:t>
      </w:r>
      <w:r>
        <w:rPr>
          <w:rFonts w:ascii="Calibri" w:eastAsia="Calibri" w:hAnsi="Calibri" w:cs="Calibri"/>
          <w:sz w:val="24"/>
          <w:szCs w:val="24"/>
        </w:rPr>
        <w:t>the platform should not be dependent on a single AI provider — different agents can use different underlying models (OpenAI, Azure AI, private/on-premise models, etc.), selected for fit per task.</w:t>
      </w:r>
    </w:p>
    <w:p w14:paraId="427929C3" w14:textId="77777777" w:rsidR="00FE0AF5" w:rsidRDefault="00000000">
      <w:pPr>
        <w:pStyle w:val="ListParagraph"/>
        <w:numPr>
          <w:ilvl w:val="0"/>
          <w:numId w:val="2"/>
        </w:numPr>
        <w:spacing w:after="70"/>
      </w:pPr>
      <w:r>
        <w:rPr>
          <w:rFonts w:ascii="Calibri" w:eastAsia="Calibri" w:hAnsi="Calibri" w:cs="Calibri"/>
          <w:b/>
          <w:bCs/>
          <w:sz w:val="24"/>
          <w:szCs w:val="24"/>
        </w:rPr>
        <w:t xml:space="preserve">Raised (Qossai): </w:t>
      </w:r>
      <w:r>
        <w:rPr>
          <w:rFonts w:ascii="Calibri" w:eastAsia="Calibri" w:hAnsi="Calibri" w:cs="Calibri"/>
          <w:sz w:val="24"/>
          <w:szCs w:val="24"/>
        </w:rPr>
        <w:t>asked for Softlabs' advice on how to decide which AI to use where (e.g., one model may be stronger for configuration assistance, another more cost-effective for simple admin queries).</w:t>
      </w:r>
    </w:p>
    <w:p w14:paraId="3D4403D1" w14:textId="77777777" w:rsidR="00FE0AF5" w:rsidRDefault="00000000">
      <w:pPr>
        <w:pStyle w:val="ListParagraph"/>
        <w:numPr>
          <w:ilvl w:val="0"/>
          <w:numId w:val="2"/>
        </w:numPr>
        <w:spacing w:after="70"/>
      </w:pPr>
      <w:r>
        <w:rPr>
          <w:rFonts w:ascii="Calibri" w:eastAsia="Calibri" w:hAnsi="Calibri" w:cs="Calibri"/>
          <w:b/>
          <w:bCs/>
          <w:sz w:val="24"/>
          <w:szCs w:val="24"/>
        </w:rPr>
        <w:t xml:space="preserve">Response (Chinmay): </w:t>
      </w:r>
      <w:r>
        <w:rPr>
          <w:rFonts w:ascii="Calibri" w:eastAsia="Calibri" w:hAnsi="Calibri" w:cs="Calibri"/>
          <w:sz w:val="24"/>
          <w:szCs w:val="24"/>
        </w:rPr>
        <w:t>confirmed most tasks discussed don't require a “frontier” (most expensive, most powerful) model — Softlabs will assess which model performs adequately per task and pre-select accordingly, so end users are not expected to choose a model themselves for each task.</w:t>
      </w:r>
    </w:p>
    <w:p w14:paraId="75534AEE" w14:textId="77777777" w:rsidR="00FE0AF5" w:rsidRDefault="00000000">
      <w:pPr>
        <w:pStyle w:val="ListParagraph"/>
        <w:numPr>
          <w:ilvl w:val="0"/>
          <w:numId w:val="2"/>
        </w:numPr>
        <w:spacing w:after="70"/>
      </w:pPr>
      <w:r>
        <w:rPr>
          <w:rFonts w:ascii="Calibri" w:eastAsia="Calibri" w:hAnsi="Calibri" w:cs="Calibri"/>
          <w:b/>
          <w:bCs/>
          <w:sz w:val="24"/>
          <w:szCs w:val="24"/>
        </w:rPr>
        <w:t xml:space="preserve">Bring-your-own-key / model override: </w:t>
      </w:r>
      <w:r>
        <w:rPr>
          <w:rFonts w:ascii="Calibri" w:eastAsia="Calibri" w:hAnsi="Calibri" w:cs="Calibri"/>
          <w:sz w:val="24"/>
          <w:szCs w:val="24"/>
        </w:rPr>
        <w:t>confirmed a client can still override the pre-selected model for a given agent (e.g., switching from a smaller model to a larger one) using their own API key, with every such change logged for audit — giving flexibility without requiring end users to understand model selection by default.</w:t>
      </w:r>
    </w:p>
    <w:p w14:paraId="176E7CC8" w14:textId="77777777" w:rsidR="00FE0AF5" w:rsidRDefault="00000000">
      <w:pPr>
        <w:pStyle w:val="ListParagraph"/>
        <w:numPr>
          <w:ilvl w:val="0"/>
          <w:numId w:val="2"/>
        </w:numPr>
        <w:spacing w:after="70"/>
      </w:pPr>
      <w:r>
        <w:rPr>
          <w:rFonts w:ascii="Calibri" w:eastAsia="Calibri" w:hAnsi="Calibri" w:cs="Calibri"/>
          <w:b/>
          <w:bCs/>
          <w:sz w:val="24"/>
          <w:szCs w:val="24"/>
        </w:rPr>
        <w:lastRenderedPageBreak/>
        <w:t xml:space="preserve">Client-hosted/private AI integration (Qossai): </w:t>
      </w:r>
      <w:r>
        <w:rPr>
          <w:rFonts w:ascii="Calibri" w:eastAsia="Calibri" w:hAnsi="Calibri" w:cs="Calibri"/>
          <w:sz w:val="24"/>
          <w:szCs w:val="24"/>
        </w:rPr>
        <w:t>raised the scenario of a government or highly security-conscious client wanting to plug in their own hosted/secured AI model rather than using a third-party provider, for data-residency and confidence reasons.</w:t>
      </w:r>
    </w:p>
    <w:p w14:paraId="04B5C2ED" w14:textId="77777777" w:rsidR="00FE0AF5" w:rsidRDefault="00000000">
      <w:pPr>
        <w:pStyle w:val="ListParagraph"/>
        <w:numPr>
          <w:ilvl w:val="0"/>
          <w:numId w:val="2"/>
        </w:numPr>
        <w:spacing w:after="70"/>
      </w:pPr>
      <w:r>
        <w:rPr>
          <w:rFonts w:ascii="Calibri" w:eastAsia="Calibri" w:hAnsi="Calibri" w:cs="Calibri"/>
          <w:b/>
          <w:bCs/>
          <w:sz w:val="24"/>
          <w:szCs w:val="24"/>
        </w:rPr>
        <w:t xml:space="preserve">Confirmed (Chinmay): </w:t>
      </w:r>
      <w:r>
        <w:rPr>
          <w:rFonts w:ascii="Calibri" w:eastAsia="Calibri" w:hAnsi="Calibri" w:cs="Calibri"/>
          <w:sz w:val="24"/>
          <w:szCs w:val="24"/>
        </w:rPr>
        <w:t>this is supported without requiring custom development — the integration pattern is uniform (an API key plus an endpoint address) regardless of whether the model is cloud-hosted, on-premise/air-gapped, or a third-party provider like ChatGPT; the client's server is simply called via that same key-based mechanism.</w:t>
      </w:r>
    </w:p>
    <w:p w14:paraId="4C03AF66" w14:textId="77777777" w:rsidR="00FE0AF5" w:rsidRDefault="00000000">
      <w:pPr>
        <w:pStyle w:val="ListParagraph"/>
        <w:numPr>
          <w:ilvl w:val="0"/>
          <w:numId w:val="2"/>
        </w:numPr>
        <w:spacing w:after="70"/>
      </w:pPr>
      <w:r>
        <w:rPr>
          <w:rFonts w:ascii="Calibri" w:eastAsia="Calibri" w:hAnsi="Calibri" w:cs="Calibri"/>
          <w:b/>
          <w:bCs/>
          <w:sz w:val="24"/>
          <w:szCs w:val="24"/>
        </w:rPr>
        <w:t xml:space="preserve">Proposed (Chinmay) — model-switching complexity scoring: </w:t>
      </w:r>
      <w:r>
        <w:rPr>
          <w:rFonts w:ascii="Calibri" w:eastAsia="Calibri" w:hAnsi="Calibri" w:cs="Calibri"/>
          <w:sz w:val="24"/>
          <w:szCs w:val="24"/>
        </w:rPr>
        <w:t>to handle clients migrating between AI providers (e.g., from one provider to another) without requiring a custom software update each time, proposed giving each pre-configured agent a complexity/fitness score; when a client switches models, an automated assessment could flag whether the new model is under- or over-powered for that agent's task and recommend an adjustment — noted this only works because the platform's agents and their capabilities are already predefined, not open-ended.</w:t>
      </w:r>
    </w:p>
    <w:p w14:paraId="446CC9D3" w14:textId="77777777" w:rsidR="00FE0AF5" w:rsidRDefault="00000000">
      <w:pPr>
        <w:spacing w:before="140" w:after="60"/>
      </w:pPr>
      <w:r>
        <w:rPr>
          <w:rFonts w:ascii="Calibri" w:eastAsia="Calibri" w:hAnsi="Calibri" w:cs="Calibri"/>
          <w:b/>
          <w:bCs/>
          <w:color w:val="215E99"/>
          <w:sz w:val="32"/>
          <w:szCs w:val="32"/>
        </w:rPr>
        <w:t>4.11 Core AI Platform — Operations &amp; Consumption Monitoring</w:t>
      </w:r>
    </w:p>
    <w:p w14:paraId="1C878177" w14:textId="77777777" w:rsidR="00FE0AF5" w:rsidRDefault="00000000">
      <w:pPr>
        <w:pStyle w:val="ListParagraph"/>
        <w:numPr>
          <w:ilvl w:val="0"/>
          <w:numId w:val="2"/>
        </w:numPr>
        <w:spacing w:after="70"/>
      </w:pPr>
      <w:r>
        <w:rPr>
          <w:rFonts w:ascii="Calibri" w:eastAsia="Calibri" w:hAnsi="Calibri" w:cs="Calibri"/>
          <w:sz w:val="24"/>
          <w:szCs w:val="24"/>
        </w:rPr>
        <w:t>This board tracks the overall health of AI once running in production — monitoring, cost/budget tracking, and which AI agents are consuming the most resources and for what purpose, giving the business visibility to manage AI spend.</w:t>
      </w:r>
    </w:p>
    <w:p w14:paraId="157E7598" w14:textId="77777777" w:rsidR="00FE0AF5" w:rsidRDefault="00000000">
      <w:pPr>
        <w:spacing w:before="140" w:after="60"/>
      </w:pPr>
      <w:r>
        <w:rPr>
          <w:rFonts w:ascii="Calibri" w:eastAsia="Calibri" w:hAnsi="Calibri" w:cs="Calibri"/>
          <w:b/>
          <w:bCs/>
          <w:color w:val="215E99"/>
          <w:sz w:val="32"/>
          <w:szCs w:val="32"/>
        </w:rPr>
        <w:t>4.12 AI Risk &amp; Fraud Intelligence — Transaction &amp; Payment Fraud Detection</w:t>
      </w:r>
    </w:p>
    <w:p w14:paraId="2F720703" w14:textId="77777777" w:rsidR="00FE0AF5" w:rsidRDefault="00000000">
      <w:pPr>
        <w:pStyle w:val="ListParagraph"/>
        <w:numPr>
          <w:ilvl w:val="0"/>
          <w:numId w:val="2"/>
        </w:numPr>
        <w:spacing w:after="70"/>
      </w:pPr>
      <w:r>
        <w:rPr>
          <w:rFonts w:ascii="Calibri" w:eastAsia="Calibri" w:hAnsi="Calibri" w:cs="Calibri"/>
          <w:sz w:val="24"/>
          <w:szCs w:val="24"/>
        </w:rPr>
        <w:t>This board monitors payment activity — purchases, refunds, chargebacks — in real time, flagging transactions suspected of fraud based on configurable rules (e.g., a customer attempting 10 purchases with only 3 succeeding, using multiple different cards).</w:t>
      </w:r>
    </w:p>
    <w:p w14:paraId="4483B9CF" w14:textId="77777777" w:rsidR="00FE0AF5" w:rsidRDefault="00000000">
      <w:pPr>
        <w:pStyle w:val="ListParagraph"/>
        <w:numPr>
          <w:ilvl w:val="0"/>
          <w:numId w:val="2"/>
        </w:numPr>
        <w:spacing w:after="70"/>
      </w:pPr>
      <w:r>
        <w:rPr>
          <w:rFonts w:ascii="Calibri" w:eastAsia="Calibri" w:hAnsi="Calibri" w:cs="Calibri"/>
          <w:sz w:val="24"/>
          <w:szCs w:val="24"/>
        </w:rPr>
        <w:t>Multiple signals feed into a composite risk score per customer — number of attempts, success/failure ratio, number of distinct cards used against one identity (same name/email, different cards), and unusually high refund request volume or value — rather than relying on any single signal in isolation.</w:t>
      </w:r>
    </w:p>
    <w:p w14:paraId="0C7C0B20" w14:textId="77777777" w:rsidR="00FE0AF5" w:rsidRDefault="00000000">
      <w:pPr>
        <w:spacing w:before="140" w:after="60"/>
      </w:pPr>
      <w:r>
        <w:rPr>
          <w:rFonts w:ascii="Calibri" w:eastAsia="Calibri" w:hAnsi="Calibri" w:cs="Calibri"/>
          <w:b/>
          <w:bCs/>
          <w:color w:val="215E99"/>
          <w:sz w:val="32"/>
          <w:szCs w:val="32"/>
        </w:rPr>
        <w:t>4.13 AI Risk &amp; Fraud Intelligence — Account, Credential &amp; Device Monitoring</w:t>
      </w:r>
    </w:p>
    <w:p w14:paraId="0DC384B3" w14:textId="77777777" w:rsidR="00FE0AF5" w:rsidRDefault="00000000">
      <w:pPr>
        <w:pStyle w:val="ListParagraph"/>
        <w:numPr>
          <w:ilvl w:val="0"/>
          <w:numId w:val="2"/>
        </w:numPr>
        <w:spacing w:after="70"/>
      </w:pPr>
      <w:r>
        <w:rPr>
          <w:rFonts w:ascii="Calibri" w:eastAsia="Calibri" w:hAnsi="Calibri" w:cs="Calibri"/>
          <w:sz w:val="24"/>
          <w:szCs w:val="24"/>
        </w:rPr>
        <w:t xml:space="preserve">This board monitors whether an account or credential is being used suspiciously after a purchase — tracking device usage patterns (e.g., how many different devices, how many successful logins within an hour) to distinguish normal </w:t>
      </w:r>
      <w:proofErr w:type="spellStart"/>
      <w:r>
        <w:rPr>
          <w:rFonts w:ascii="Calibri" w:eastAsia="Calibri" w:hAnsi="Calibri" w:cs="Calibri"/>
          <w:sz w:val="24"/>
          <w:szCs w:val="24"/>
        </w:rPr>
        <w:t>behavior</w:t>
      </w:r>
      <w:proofErr w:type="spellEnd"/>
      <w:r>
        <w:rPr>
          <w:rFonts w:ascii="Calibri" w:eastAsia="Calibri" w:hAnsi="Calibri" w:cs="Calibri"/>
          <w:sz w:val="24"/>
          <w:szCs w:val="24"/>
        </w:rPr>
        <w:t xml:space="preserve"> from unusual activity.</w:t>
      </w:r>
    </w:p>
    <w:p w14:paraId="20C671BD" w14:textId="77777777" w:rsidR="00FE0AF5" w:rsidRDefault="00000000">
      <w:pPr>
        <w:pStyle w:val="ListParagraph"/>
        <w:numPr>
          <w:ilvl w:val="0"/>
          <w:numId w:val="2"/>
        </w:numPr>
        <w:spacing w:after="70"/>
      </w:pPr>
      <w:r>
        <w:rPr>
          <w:rFonts w:ascii="Calibri" w:eastAsia="Calibri" w:hAnsi="Calibri" w:cs="Calibri"/>
          <w:sz w:val="24"/>
          <w:szCs w:val="24"/>
        </w:rPr>
        <w:t>The same monitoring extends to access control — e.g., repeated attempts to use an already-expired ticket are flagged as suspicious activity requiring investigation.</w:t>
      </w:r>
    </w:p>
    <w:p w14:paraId="780627AA" w14:textId="77777777" w:rsidR="00FE0AF5" w:rsidRDefault="00000000">
      <w:pPr>
        <w:spacing w:before="140" w:after="60"/>
      </w:pPr>
      <w:r>
        <w:rPr>
          <w:rFonts w:ascii="Calibri" w:eastAsia="Calibri" w:hAnsi="Calibri" w:cs="Calibri"/>
          <w:b/>
          <w:bCs/>
          <w:color w:val="215E99"/>
          <w:sz w:val="32"/>
          <w:szCs w:val="32"/>
        </w:rPr>
        <w:t>4.14 AI Risk &amp; Fraud Intelligence — Investigation &amp; Case Management</w:t>
      </w:r>
    </w:p>
    <w:p w14:paraId="1F2C93F4" w14:textId="77777777" w:rsidR="00FE0AF5" w:rsidRDefault="00000000">
      <w:pPr>
        <w:pStyle w:val="ListParagraph"/>
        <w:numPr>
          <w:ilvl w:val="0"/>
          <w:numId w:val="2"/>
        </w:numPr>
        <w:spacing w:after="70"/>
      </w:pPr>
      <w:r>
        <w:rPr>
          <w:rFonts w:ascii="Calibri" w:eastAsia="Calibri" w:hAnsi="Calibri" w:cs="Calibri"/>
          <w:sz w:val="24"/>
          <w:szCs w:val="24"/>
        </w:rPr>
        <w:t>This board manages the investigation workflow once suspicious activity is detected — gathering evidence, tracking the investigation, and documenting how a case was resolved.</w:t>
      </w:r>
    </w:p>
    <w:p w14:paraId="0C34C066" w14:textId="77777777" w:rsidR="00FE0AF5" w:rsidRDefault="00000000">
      <w:pPr>
        <w:pStyle w:val="ListParagraph"/>
        <w:numPr>
          <w:ilvl w:val="0"/>
          <w:numId w:val="2"/>
        </w:numPr>
        <w:spacing w:after="70"/>
      </w:pPr>
      <w:r>
        <w:rPr>
          <w:rFonts w:ascii="Calibri" w:eastAsia="Calibri" w:hAnsi="Calibri" w:cs="Calibri"/>
          <w:sz w:val="24"/>
          <w:szCs w:val="24"/>
        </w:rPr>
        <w:t xml:space="preserve">With this, all AI topics for the workshop series are complete; Allam confirmed documentation for today's three topics would be shared, with a separate session to follow </w:t>
      </w:r>
      <w:r>
        <w:rPr>
          <w:rFonts w:ascii="Calibri" w:eastAsia="Calibri" w:hAnsi="Calibri" w:cs="Calibri"/>
          <w:sz w:val="24"/>
          <w:szCs w:val="24"/>
        </w:rPr>
        <w:lastRenderedPageBreak/>
        <w:t>once Chinmay's team has reviewed the material, to align on the proposed AI solution approach.</w:t>
      </w:r>
    </w:p>
    <w:p w14:paraId="5EC5CAD7" w14:textId="77777777" w:rsidR="00FE0AF5" w:rsidRDefault="00000000">
      <w:pPr>
        <w:spacing w:before="140" w:after="60"/>
      </w:pPr>
      <w:r>
        <w:rPr>
          <w:rFonts w:ascii="Calibri" w:eastAsia="Calibri" w:hAnsi="Calibri" w:cs="Calibri"/>
          <w:b/>
          <w:bCs/>
          <w:color w:val="215E99"/>
          <w:sz w:val="32"/>
          <w:szCs w:val="32"/>
        </w:rPr>
        <w:t>4.15 Planning — Shift to Build Readiness &amp; UI/UX Sign-Off</w:t>
      </w:r>
    </w:p>
    <w:p w14:paraId="65038660" w14:textId="77777777" w:rsidR="00FE0AF5" w:rsidRDefault="00000000">
      <w:pPr>
        <w:pStyle w:val="ListParagraph"/>
        <w:numPr>
          <w:ilvl w:val="0"/>
          <w:numId w:val="2"/>
        </w:numPr>
        <w:spacing w:after="70"/>
      </w:pPr>
      <w:r>
        <w:rPr>
          <w:rFonts w:ascii="Calibri" w:eastAsia="Calibri" w:hAnsi="Calibri" w:cs="Calibri"/>
          <w:b/>
          <w:bCs/>
          <w:sz w:val="24"/>
          <w:szCs w:val="24"/>
        </w:rPr>
        <w:t xml:space="preserve">Status update (Chinmay): </w:t>
      </w:r>
      <w:r>
        <w:rPr>
          <w:rFonts w:ascii="Calibri" w:eastAsia="Calibri" w:hAnsi="Calibri" w:cs="Calibri"/>
          <w:sz w:val="24"/>
          <w:szCs w:val="24"/>
        </w:rPr>
        <w:t>explained he is now consolidating module-wise build readiness so conventional development can proceed. He will share, today, a consolidated document of all open conflicts/questions identified across the workshop series (categorized, e.g., finance/compliance-related) alongside a separate log of decisions already made, for TICVAI to review and confirm.</w:t>
      </w:r>
    </w:p>
    <w:p w14:paraId="5346FCC5" w14:textId="77777777" w:rsidR="00FE0AF5" w:rsidRDefault="00000000">
      <w:pPr>
        <w:pStyle w:val="ListParagraph"/>
        <w:numPr>
          <w:ilvl w:val="0"/>
          <w:numId w:val="2"/>
        </w:numPr>
        <w:spacing w:after="70"/>
      </w:pPr>
      <w:r>
        <w:rPr>
          <w:rFonts w:ascii="Calibri" w:eastAsia="Calibri" w:hAnsi="Calibri" w:cs="Calibri"/>
          <w:b/>
          <w:bCs/>
          <w:sz w:val="24"/>
          <w:szCs w:val="24"/>
        </w:rPr>
        <w:t xml:space="preserve">UI/UX priority: </w:t>
      </w:r>
      <w:r>
        <w:rPr>
          <w:rFonts w:ascii="Calibri" w:eastAsia="Calibri" w:hAnsi="Calibri" w:cs="Calibri"/>
          <w:sz w:val="24"/>
          <w:szCs w:val="24"/>
        </w:rPr>
        <w:t>confirmed three platforms are moving toward development sign-off — POS (wireframes already shared, with feedback due today), the guest web app (functional changes complete, UI polish currently being finalized by Aishwarya, to be shared this week), and the guest mobile app (a wireframe to follow within a day of the web app being finalized, since mobile largely mirrors the web app's workflows but with added venue/map/service features relevant to an in-venue context).</w:t>
      </w:r>
    </w:p>
    <w:p w14:paraId="655C00FC" w14:textId="77777777" w:rsidR="00FE0AF5" w:rsidRDefault="00000000">
      <w:pPr>
        <w:pStyle w:val="ListParagraph"/>
        <w:numPr>
          <w:ilvl w:val="0"/>
          <w:numId w:val="2"/>
        </w:numPr>
        <w:spacing w:after="70"/>
      </w:pPr>
      <w:r>
        <w:rPr>
          <w:rFonts w:ascii="Calibri" w:eastAsia="Calibri" w:hAnsi="Calibri" w:cs="Calibri"/>
          <w:b/>
          <w:bCs/>
          <w:sz w:val="24"/>
          <w:szCs w:val="24"/>
        </w:rPr>
        <w:t xml:space="preserve">Agreed (Allam/Qossai): </w:t>
      </w:r>
      <w:r>
        <w:rPr>
          <w:rFonts w:ascii="Calibri" w:eastAsia="Calibri" w:hAnsi="Calibri" w:cs="Calibri"/>
          <w:sz w:val="24"/>
          <w:szCs w:val="24"/>
        </w:rPr>
        <w:t>TICVAI will provide POS feedback today, and web app feedback once the revised version is received; once UI/UX is confirmed for all three platforms this week, development can begin next week.</w:t>
      </w:r>
    </w:p>
    <w:p w14:paraId="159EA136" w14:textId="77777777" w:rsidR="00FE0AF5" w:rsidRDefault="00000000">
      <w:pPr>
        <w:pStyle w:val="ListParagraph"/>
        <w:numPr>
          <w:ilvl w:val="0"/>
          <w:numId w:val="2"/>
        </w:numPr>
        <w:spacing w:after="70"/>
      </w:pPr>
      <w:r>
        <w:rPr>
          <w:rFonts w:ascii="Calibri" w:eastAsia="Calibri" w:hAnsi="Calibri" w:cs="Calibri"/>
          <w:b/>
          <w:bCs/>
          <w:sz w:val="24"/>
          <w:szCs w:val="24"/>
        </w:rPr>
        <w:t xml:space="preserve">AI sessions paused, not cancelled (Chinmay): </w:t>
      </w:r>
      <w:r>
        <w:rPr>
          <w:rFonts w:ascii="Calibri" w:eastAsia="Calibri" w:hAnsi="Calibri" w:cs="Calibri"/>
          <w:sz w:val="24"/>
          <w:szCs w:val="24"/>
        </w:rPr>
        <w:t>proposed shifting AI-focused sessions further out, since they only require a small team (one AI engineer plus a front-end developer) rather than the full team — to be resumed once sign-off on conventional modules is complete and development is underway; dedicated UI/UX and service-configuration sessions will be scheduled this week instead.</w:t>
      </w:r>
    </w:p>
    <w:p w14:paraId="019B4A0C" w14:textId="77777777" w:rsidR="00FE0AF5" w:rsidRDefault="00000000">
      <w:pPr>
        <w:pStyle w:val="ListParagraph"/>
        <w:numPr>
          <w:ilvl w:val="0"/>
          <w:numId w:val="2"/>
        </w:numPr>
        <w:spacing w:after="70"/>
      </w:pPr>
      <w:r>
        <w:rPr>
          <w:rFonts w:ascii="Calibri" w:eastAsia="Calibri" w:hAnsi="Calibri" w:cs="Calibri"/>
          <w:b/>
          <w:bCs/>
          <w:sz w:val="24"/>
          <w:szCs w:val="24"/>
        </w:rPr>
        <w:t xml:space="preserve">Rationale (Chinmay) — identical web/mobile platforms: </w:t>
      </w:r>
      <w:r>
        <w:rPr>
          <w:rFonts w:ascii="Calibri" w:eastAsia="Calibri" w:hAnsi="Calibri" w:cs="Calibri"/>
          <w:sz w:val="24"/>
          <w:szCs w:val="24"/>
        </w:rPr>
        <w:t>reiterated that keeping the guest web app and mobile app functionally identical means a guest without the mobile app installed can still access nearly the same functionality via the web app.</w:t>
      </w:r>
    </w:p>
    <w:p w14:paraId="3D744F07" w14:textId="77777777" w:rsidR="00FE0AF5" w:rsidRDefault="00000000">
      <w:pPr>
        <w:spacing w:before="180" w:after="100"/>
      </w:pPr>
      <w:r>
        <w:rPr>
          <w:rFonts w:ascii="Calibri" w:eastAsia="Calibri" w:hAnsi="Calibri" w:cs="Calibri"/>
          <w:b/>
          <w:bCs/>
          <w:color w:val="215E99"/>
          <w:sz w:val="32"/>
          <w:szCs w:val="32"/>
        </w:rPr>
        <w:t>5. Key Decisions &amp; Agreements</w:t>
      </w:r>
    </w:p>
    <w:p w14:paraId="3208A0E1" w14:textId="77777777" w:rsidR="00FE0AF5" w:rsidRDefault="00000000">
      <w:pPr>
        <w:pStyle w:val="ListParagraph"/>
        <w:numPr>
          <w:ilvl w:val="0"/>
          <w:numId w:val="2"/>
        </w:numPr>
        <w:spacing w:after="70"/>
      </w:pPr>
      <w:r>
        <w:rPr>
          <w:rFonts w:ascii="Calibri" w:eastAsia="Calibri" w:hAnsi="Calibri" w:cs="Calibri"/>
          <w:sz w:val="24"/>
          <w:szCs w:val="24"/>
        </w:rPr>
        <w:t>AI recommendations (rule-based or AI-based) never override configured hard business rules or eligibility constraints — business rules always take precedence.</w:t>
      </w:r>
    </w:p>
    <w:p w14:paraId="101094CF" w14:textId="77777777" w:rsidR="00FE0AF5" w:rsidRDefault="00000000">
      <w:pPr>
        <w:pStyle w:val="ListParagraph"/>
        <w:numPr>
          <w:ilvl w:val="0"/>
          <w:numId w:val="2"/>
        </w:numPr>
        <w:spacing w:after="70"/>
      </w:pPr>
      <w:r>
        <w:rPr>
          <w:rFonts w:ascii="Calibri" w:eastAsia="Calibri" w:hAnsi="Calibri" w:cs="Calibri"/>
          <w:sz w:val="24"/>
          <w:szCs w:val="24"/>
        </w:rPr>
        <w:t>Recommendation delivery must be coordinated across channels: a recommendation declined on one channel (e.g., online) should not be re-presented on another channel (e.g., POS) for the same customer/session.</w:t>
      </w:r>
    </w:p>
    <w:p w14:paraId="67297E19" w14:textId="77777777" w:rsidR="00FE0AF5" w:rsidRDefault="00000000">
      <w:pPr>
        <w:pStyle w:val="ListParagraph"/>
        <w:numPr>
          <w:ilvl w:val="0"/>
          <w:numId w:val="2"/>
        </w:numPr>
        <w:spacing w:after="70"/>
      </w:pPr>
      <w:r>
        <w:rPr>
          <w:rFonts w:ascii="Calibri" w:eastAsia="Calibri" w:hAnsi="Calibri" w:cs="Calibri"/>
          <w:sz w:val="24"/>
          <w:szCs w:val="24"/>
        </w:rPr>
        <w:t>The platform will support multiple AI providers rather than depending on a single one, with different AI agents (per functional area) able to use different underlying models selected for task fit.</w:t>
      </w:r>
    </w:p>
    <w:p w14:paraId="3DD76810" w14:textId="77777777" w:rsidR="00FE0AF5" w:rsidRDefault="00000000">
      <w:pPr>
        <w:pStyle w:val="ListParagraph"/>
        <w:numPr>
          <w:ilvl w:val="0"/>
          <w:numId w:val="2"/>
        </w:numPr>
        <w:spacing w:after="70"/>
      </w:pPr>
      <w:r>
        <w:rPr>
          <w:rFonts w:ascii="Calibri" w:eastAsia="Calibri" w:hAnsi="Calibri" w:cs="Calibri"/>
          <w:sz w:val="24"/>
          <w:szCs w:val="24"/>
        </w:rPr>
        <w:t>Clients can plug in their own hosted/private AI model (e.g., for data-residency or security reasons) via a uniform API-key-and-endpoint integration pattern, without requiring custom development.</w:t>
      </w:r>
    </w:p>
    <w:p w14:paraId="0BC005A2" w14:textId="77777777" w:rsidR="00FE0AF5" w:rsidRDefault="00000000">
      <w:pPr>
        <w:pStyle w:val="ListParagraph"/>
        <w:numPr>
          <w:ilvl w:val="0"/>
          <w:numId w:val="2"/>
        </w:numPr>
        <w:spacing w:after="70"/>
      </w:pPr>
      <w:r>
        <w:rPr>
          <w:rFonts w:ascii="Calibri" w:eastAsia="Calibri" w:hAnsi="Calibri" w:cs="Calibri"/>
          <w:sz w:val="24"/>
          <w:szCs w:val="24"/>
        </w:rPr>
        <w:t>AI model selection per agent/task will be system-managed by default (end users are not expected to choose models), with an available override for clients who want to use their own key/model, and all such changes logged for audit.</w:t>
      </w:r>
    </w:p>
    <w:p w14:paraId="60A4C6D4" w14:textId="77777777" w:rsidR="00FE0AF5" w:rsidRDefault="00000000">
      <w:pPr>
        <w:pStyle w:val="ListParagraph"/>
        <w:numPr>
          <w:ilvl w:val="0"/>
          <w:numId w:val="2"/>
        </w:numPr>
        <w:spacing w:after="70"/>
      </w:pPr>
      <w:r>
        <w:rPr>
          <w:rFonts w:ascii="Calibri" w:eastAsia="Calibri" w:hAnsi="Calibri" w:cs="Calibri"/>
          <w:sz w:val="24"/>
          <w:szCs w:val="24"/>
        </w:rPr>
        <w:lastRenderedPageBreak/>
        <w:t>AI risk/fraud detection will assess multiple signals together (payment attempt patterns, multi-card usage under one identity, device/login anomalies, excessive refund activity, repeated use of expired tickets) to produce a composite risk score, rather than relying on a single signal.</w:t>
      </w:r>
    </w:p>
    <w:p w14:paraId="2C6CAEF3" w14:textId="77777777" w:rsidR="00FE0AF5" w:rsidRDefault="00000000">
      <w:pPr>
        <w:pStyle w:val="ListParagraph"/>
        <w:numPr>
          <w:ilvl w:val="0"/>
          <w:numId w:val="2"/>
        </w:numPr>
        <w:spacing w:after="70"/>
      </w:pPr>
      <w:r>
        <w:rPr>
          <w:rFonts w:ascii="Calibri" w:eastAsia="Calibri" w:hAnsi="Calibri" w:cs="Calibri"/>
          <w:sz w:val="24"/>
          <w:szCs w:val="24"/>
        </w:rPr>
        <w:t>With AI risk/fraud intelligence covered, all AI-related workshop topics are now complete; focus shifts to module-wise build readiness and UI/UX sign-off for POS, guest web app, and guest mobile app, with AI-focused build sessions resuming later with a smaller, dedicated team.</w:t>
      </w:r>
    </w:p>
    <w:p w14:paraId="60806463" w14:textId="77777777" w:rsidR="00FE0AF5" w:rsidRDefault="00000000">
      <w:pPr>
        <w:spacing w:before="180" w:after="100"/>
      </w:pPr>
      <w:r>
        <w:rPr>
          <w:rFonts w:ascii="Calibri" w:eastAsia="Calibri" w:hAnsi="Calibri" w:cs="Calibri"/>
          <w:b/>
          <w:bCs/>
          <w:color w:val="215E99"/>
          <w:sz w:val="32"/>
          <w:szCs w:val="32"/>
        </w:rPr>
        <w:t>6. Open Items / Questions for Follow-Up</w:t>
      </w:r>
    </w:p>
    <w:p w14:paraId="38980813" w14:textId="77777777" w:rsidR="00FE0AF5" w:rsidRDefault="00000000">
      <w:pPr>
        <w:pStyle w:val="ListParagraph"/>
        <w:numPr>
          <w:ilvl w:val="0"/>
          <w:numId w:val="2"/>
        </w:numPr>
        <w:spacing w:after="70"/>
      </w:pPr>
      <w:r>
        <w:rPr>
          <w:rFonts w:ascii="Calibri" w:eastAsia="Calibri" w:hAnsi="Calibri" w:cs="Calibri"/>
          <w:sz w:val="24"/>
          <w:szCs w:val="24"/>
        </w:rPr>
        <w:t>Exact scope of end-user control over AI model selection/switching per agent — general direction agreed, full detail not finalized.</w:t>
      </w:r>
    </w:p>
    <w:p w14:paraId="3B7AA023" w14:textId="77777777" w:rsidR="00FE0AF5" w:rsidRDefault="00000000">
      <w:pPr>
        <w:pStyle w:val="ListParagraph"/>
        <w:numPr>
          <w:ilvl w:val="0"/>
          <w:numId w:val="2"/>
        </w:numPr>
        <w:spacing w:after="70"/>
      </w:pPr>
      <w:r>
        <w:rPr>
          <w:rFonts w:ascii="Calibri" w:eastAsia="Calibri" w:hAnsi="Calibri" w:cs="Calibri"/>
          <w:sz w:val="24"/>
          <w:szCs w:val="24"/>
        </w:rPr>
        <w:t>Model complexity/fitness scoring mechanism (to guide model-switching recommendations) — proposed by Chinmay, not yet built or fully specified.</w:t>
      </w:r>
    </w:p>
    <w:p w14:paraId="6A5E3362" w14:textId="77777777" w:rsidR="00FE0AF5" w:rsidRDefault="00000000">
      <w:pPr>
        <w:pStyle w:val="ListParagraph"/>
        <w:numPr>
          <w:ilvl w:val="0"/>
          <w:numId w:val="2"/>
        </w:numPr>
        <w:spacing w:after="70"/>
      </w:pPr>
      <w:r>
        <w:rPr>
          <w:rFonts w:ascii="Calibri" w:eastAsia="Calibri" w:hAnsi="Calibri" w:cs="Calibri"/>
          <w:sz w:val="24"/>
          <w:szCs w:val="24"/>
        </w:rPr>
        <w:t>Consolidated document of open conflicts/questions and decisions made across all workshop sessions — pending from Chinmay.</w:t>
      </w:r>
    </w:p>
    <w:p w14:paraId="3AE61A2F" w14:textId="77777777" w:rsidR="00FE0AF5" w:rsidRDefault="00000000">
      <w:pPr>
        <w:pStyle w:val="ListParagraph"/>
        <w:numPr>
          <w:ilvl w:val="0"/>
          <w:numId w:val="2"/>
        </w:numPr>
        <w:spacing w:after="70"/>
      </w:pPr>
      <w:r>
        <w:rPr>
          <w:rFonts w:ascii="Calibri" w:eastAsia="Calibri" w:hAnsi="Calibri" w:cs="Calibri"/>
          <w:sz w:val="24"/>
          <w:szCs w:val="24"/>
        </w:rPr>
        <w:t>Revised guest web app and mobile app UI/UX — pending from Chinmay's team this week, ahead of development starting next week.</w:t>
      </w:r>
    </w:p>
    <w:p w14:paraId="28873FE9" w14:textId="77777777" w:rsidR="00FE0AF5" w:rsidRDefault="00000000">
      <w:pPr>
        <w:spacing w:before="180" w:after="100"/>
      </w:pPr>
      <w:r>
        <w:rPr>
          <w:rFonts w:ascii="Calibri" w:eastAsia="Calibri" w:hAnsi="Calibri" w:cs="Calibri"/>
          <w:b/>
          <w:bCs/>
          <w:color w:val="215E99"/>
          <w:sz w:val="32"/>
          <w:szCs w:val="32"/>
        </w:rPr>
        <w:t>7. Action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800"/>
        <w:gridCol w:w="1850"/>
        <w:gridCol w:w="1800"/>
        <w:gridCol w:w="1900"/>
      </w:tblGrid>
      <w:tr w:rsidR="00FE0AF5" w14:paraId="70E5075C" w14:textId="77777777">
        <w:tblPrEx>
          <w:tblCellMar>
            <w:top w:w="0" w:type="dxa"/>
            <w:bottom w:w="0" w:type="dxa"/>
          </w:tblCellMar>
        </w:tblPrEx>
        <w:trPr>
          <w:tblHeader/>
        </w:trPr>
        <w:tc>
          <w:tcPr>
            <w:tcW w:w="3800" w:type="dxa"/>
            <w:shd w:val="clear" w:color="auto" w:fill="0B1324"/>
            <w:tcMar>
              <w:top w:w="80" w:type="dxa"/>
              <w:left w:w="120" w:type="dxa"/>
              <w:bottom w:w="80" w:type="dxa"/>
              <w:right w:w="120" w:type="dxa"/>
            </w:tcMar>
            <w:vAlign w:val="center"/>
          </w:tcPr>
          <w:p w14:paraId="67ABA861" w14:textId="77777777" w:rsidR="00FE0AF5" w:rsidRDefault="00000000">
            <w:r>
              <w:rPr>
                <w:rFonts w:ascii="Calibri" w:eastAsia="Calibri" w:hAnsi="Calibri" w:cs="Calibri"/>
                <w:b/>
                <w:bCs/>
                <w:color w:val="FFFFFF"/>
                <w:sz w:val="24"/>
                <w:szCs w:val="24"/>
              </w:rPr>
              <w:t>Action Item</w:t>
            </w:r>
          </w:p>
        </w:tc>
        <w:tc>
          <w:tcPr>
            <w:tcW w:w="1850" w:type="dxa"/>
            <w:shd w:val="clear" w:color="auto" w:fill="0B1324"/>
            <w:tcMar>
              <w:top w:w="80" w:type="dxa"/>
              <w:left w:w="120" w:type="dxa"/>
              <w:bottom w:w="80" w:type="dxa"/>
              <w:right w:w="120" w:type="dxa"/>
            </w:tcMar>
            <w:vAlign w:val="center"/>
          </w:tcPr>
          <w:p w14:paraId="3F67902B" w14:textId="77777777" w:rsidR="00FE0AF5" w:rsidRDefault="00000000">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03128FED" w14:textId="77777777" w:rsidR="00FE0AF5" w:rsidRDefault="00000000">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7A282374" w14:textId="77777777" w:rsidR="00FE0AF5" w:rsidRDefault="00000000">
            <w:r>
              <w:rPr>
                <w:rFonts w:ascii="Calibri" w:eastAsia="Calibri" w:hAnsi="Calibri" w:cs="Calibri"/>
                <w:b/>
                <w:bCs/>
                <w:color w:val="FFFFFF"/>
                <w:sz w:val="24"/>
                <w:szCs w:val="24"/>
              </w:rPr>
              <w:t>Status</w:t>
            </w:r>
          </w:p>
        </w:tc>
      </w:tr>
      <w:tr w:rsidR="00FE0AF5" w14:paraId="4830E869" w14:textId="77777777">
        <w:tblPrEx>
          <w:tblCellMar>
            <w:top w:w="0" w:type="dxa"/>
            <w:bottom w:w="0" w:type="dxa"/>
          </w:tblCellMar>
        </w:tblPrEx>
        <w:tc>
          <w:tcPr>
            <w:tcW w:w="3800" w:type="dxa"/>
            <w:tcMar>
              <w:top w:w="80" w:type="dxa"/>
              <w:left w:w="120" w:type="dxa"/>
              <w:bottom w:w="80" w:type="dxa"/>
              <w:right w:w="120" w:type="dxa"/>
            </w:tcMar>
          </w:tcPr>
          <w:p w14:paraId="1D584CAF" w14:textId="77777777" w:rsidR="00FE0AF5" w:rsidRDefault="00000000">
            <w:r>
              <w:rPr>
                <w:rFonts w:ascii="Calibri" w:eastAsia="Calibri" w:hAnsi="Calibri" w:cs="Calibri"/>
                <w:sz w:val="24"/>
                <w:szCs w:val="24"/>
              </w:rPr>
              <w:t>Share documentation for AI recommendation/personalization, core AI platform, and AI risk/fraud intelligence covered today</w:t>
            </w:r>
          </w:p>
        </w:tc>
        <w:tc>
          <w:tcPr>
            <w:tcW w:w="1850" w:type="dxa"/>
            <w:tcMar>
              <w:top w:w="80" w:type="dxa"/>
              <w:left w:w="120" w:type="dxa"/>
              <w:bottom w:w="80" w:type="dxa"/>
              <w:right w:w="120" w:type="dxa"/>
            </w:tcMar>
          </w:tcPr>
          <w:p w14:paraId="5F829D94" w14:textId="77777777" w:rsidR="00FE0AF5" w:rsidRDefault="00000000">
            <w:r>
              <w:rPr>
                <w:rFonts w:ascii="Calibri" w:eastAsia="Calibri" w:hAnsi="Calibri" w:cs="Calibri"/>
                <w:sz w:val="24"/>
                <w:szCs w:val="24"/>
              </w:rPr>
              <w:t>Allam</w:t>
            </w:r>
          </w:p>
        </w:tc>
        <w:tc>
          <w:tcPr>
            <w:tcW w:w="1800" w:type="dxa"/>
            <w:tcMar>
              <w:top w:w="80" w:type="dxa"/>
              <w:left w:w="120" w:type="dxa"/>
              <w:bottom w:w="80" w:type="dxa"/>
              <w:right w:w="120" w:type="dxa"/>
            </w:tcMar>
          </w:tcPr>
          <w:p w14:paraId="30E425F6" w14:textId="77777777" w:rsidR="00FE0AF5" w:rsidRDefault="00000000">
            <w:r>
              <w:rPr>
                <w:rFonts w:ascii="Calibri" w:eastAsia="Calibri" w:hAnsi="Calibri" w:cs="Calibri"/>
                <w:sz w:val="24"/>
                <w:szCs w:val="24"/>
              </w:rPr>
              <w:t>After this session</w:t>
            </w:r>
          </w:p>
        </w:tc>
        <w:tc>
          <w:tcPr>
            <w:tcW w:w="1900" w:type="dxa"/>
            <w:tcMar>
              <w:top w:w="80" w:type="dxa"/>
              <w:left w:w="120" w:type="dxa"/>
              <w:bottom w:w="80" w:type="dxa"/>
              <w:right w:w="120" w:type="dxa"/>
            </w:tcMar>
          </w:tcPr>
          <w:p w14:paraId="3B911720" w14:textId="77777777" w:rsidR="00FE0AF5" w:rsidRDefault="00000000">
            <w:r>
              <w:rPr>
                <w:rFonts w:ascii="Calibri" w:eastAsia="Calibri" w:hAnsi="Calibri" w:cs="Calibri"/>
                <w:sz w:val="24"/>
                <w:szCs w:val="24"/>
              </w:rPr>
              <w:t>Open</w:t>
            </w:r>
          </w:p>
        </w:tc>
      </w:tr>
      <w:tr w:rsidR="00FE0AF5" w14:paraId="6EB8E234" w14:textId="77777777">
        <w:tblPrEx>
          <w:tblCellMar>
            <w:top w:w="0" w:type="dxa"/>
            <w:bottom w:w="0" w:type="dxa"/>
          </w:tblCellMar>
        </w:tblPrEx>
        <w:tc>
          <w:tcPr>
            <w:tcW w:w="3800" w:type="dxa"/>
            <w:tcMar>
              <w:top w:w="80" w:type="dxa"/>
              <w:left w:w="120" w:type="dxa"/>
              <w:bottom w:w="80" w:type="dxa"/>
              <w:right w:w="120" w:type="dxa"/>
            </w:tcMar>
          </w:tcPr>
          <w:p w14:paraId="1750F06B" w14:textId="77777777" w:rsidR="00FE0AF5" w:rsidRDefault="00000000">
            <w:r>
              <w:rPr>
                <w:rFonts w:ascii="Calibri" w:eastAsia="Calibri" w:hAnsi="Calibri" w:cs="Calibri"/>
                <w:sz w:val="24"/>
                <w:szCs w:val="24"/>
              </w:rPr>
              <w:t>Share a consolidated document of all open conflicts/questions (categorized, e.g., finance/compliance) and a separate log of decisions already made across all workshop sessions</w:t>
            </w:r>
          </w:p>
        </w:tc>
        <w:tc>
          <w:tcPr>
            <w:tcW w:w="1850" w:type="dxa"/>
            <w:tcMar>
              <w:top w:w="80" w:type="dxa"/>
              <w:left w:w="120" w:type="dxa"/>
              <w:bottom w:w="80" w:type="dxa"/>
              <w:right w:w="120" w:type="dxa"/>
            </w:tcMar>
          </w:tcPr>
          <w:p w14:paraId="1723FE68" w14:textId="77777777" w:rsidR="00FE0AF5" w:rsidRDefault="00000000">
            <w:r>
              <w:rPr>
                <w:rFonts w:ascii="Calibri" w:eastAsia="Calibri" w:hAnsi="Calibri" w:cs="Calibri"/>
                <w:sz w:val="24"/>
                <w:szCs w:val="24"/>
              </w:rPr>
              <w:t>Chinmay Parab</w:t>
            </w:r>
          </w:p>
        </w:tc>
        <w:tc>
          <w:tcPr>
            <w:tcW w:w="1800" w:type="dxa"/>
            <w:tcMar>
              <w:top w:w="80" w:type="dxa"/>
              <w:left w:w="120" w:type="dxa"/>
              <w:bottom w:w="80" w:type="dxa"/>
              <w:right w:w="120" w:type="dxa"/>
            </w:tcMar>
          </w:tcPr>
          <w:p w14:paraId="5AE3A4D6" w14:textId="77777777" w:rsidR="00FE0AF5" w:rsidRDefault="00000000">
            <w:r>
              <w:rPr>
                <w:rFonts w:ascii="Calibri" w:eastAsia="Calibri" w:hAnsi="Calibri" w:cs="Calibri"/>
                <w:sz w:val="24"/>
                <w:szCs w:val="24"/>
              </w:rPr>
              <w:t>Today</w:t>
            </w:r>
          </w:p>
        </w:tc>
        <w:tc>
          <w:tcPr>
            <w:tcW w:w="1900" w:type="dxa"/>
            <w:tcMar>
              <w:top w:w="80" w:type="dxa"/>
              <w:left w:w="120" w:type="dxa"/>
              <w:bottom w:w="80" w:type="dxa"/>
              <w:right w:w="120" w:type="dxa"/>
            </w:tcMar>
          </w:tcPr>
          <w:p w14:paraId="6A378366" w14:textId="77777777" w:rsidR="00FE0AF5" w:rsidRDefault="00000000">
            <w:r>
              <w:rPr>
                <w:rFonts w:ascii="Calibri" w:eastAsia="Calibri" w:hAnsi="Calibri" w:cs="Calibri"/>
                <w:sz w:val="24"/>
                <w:szCs w:val="24"/>
              </w:rPr>
              <w:t>Open</w:t>
            </w:r>
          </w:p>
        </w:tc>
      </w:tr>
      <w:tr w:rsidR="00FE0AF5" w14:paraId="2C72D5AD" w14:textId="77777777">
        <w:tblPrEx>
          <w:tblCellMar>
            <w:top w:w="0" w:type="dxa"/>
            <w:bottom w:w="0" w:type="dxa"/>
          </w:tblCellMar>
        </w:tblPrEx>
        <w:tc>
          <w:tcPr>
            <w:tcW w:w="3800" w:type="dxa"/>
            <w:tcMar>
              <w:top w:w="80" w:type="dxa"/>
              <w:left w:w="120" w:type="dxa"/>
              <w:bottom w:w="80" w:type="dxa"/>
              <w:right w:w="120" w:type="dxa"/>
            </w:tcMar>
          </w:tcPr>
          <w:p w14:paraId="45CAD249" w14:textId="77777777" w:rsidR="00FE0AF5" w:rsidRDefault="00000000">
            <w:r>
              <w:rPr>
                <w:rFonts w:ascii="Calibri" w:eastAsia="Calibri" w:hAnsi="Calibri" w:cs="Calibri"/>
                <w:sz w:val="24"/>
                <w:szCs w:val="24"/>
              </w:rPr>
              <w:t>Provide feedback on the POS UI/UX (already shared)</w:t>
            </w:r>
          </w:p>
        </w:tc>
        <w:tc>
          <w:tcPr>
            <w:tcW w:w="1850" w:type="dxa"/>
            <w:tcMar>
              <w:top w:w="80" w:type="dxa"/>
              <w:left w:w="120" w:type="dxa"/>
              <w:bottom w:w="80" w:type="dxa"/>
              <w:right w:w="120" w:type="dxa"/>
            </w:tcMar>
          </w:tcPr>
          <w:p w14:paraId="10F21BDB" w14:textId="2D6C3791" w:rsidR="00FE0AF5" w:rsidRDefault="00000000">
            <w:r>
              <w:rPr>
                <w:rFonts w:ascii="Calibri" w:eastAsia="Calibri" w:hAnsi="Calibri" w:cs="Calibri"/>
                <w:sz w:val="24"/>
                <w:szCs w:val="24"/>
              </w:rPr>
              <w:t xml:space="preserve">Allam / Qossai </w:t>
            </w:r>
          </w:p>
        </w:tc>
        <w:tc>
          <w:tcPr>
            <w:tcW w:w="1800" w:type="dxa"/>
            <w:tcMar>
              <w:top w:w="80" w:type="dxa"/>
              <w:left w:w="120" w:type="dxa"/>
              <w:bottom w:w="80" w:type="dxa"/>
              <w:right w:w="120" w:type="dxa"/>
            </w:tcMar>
          </w:tcPr>
          <w:p w14:paraId="3323522A" w14:textId="77777777" w:rsidR="00FE0AF5" w:rsidRDefault="00000000">
            <w:r>
              <w:rPr>
                <w:rFonts w:ascii="Calibri" w:eastAsia="Calibri" w:hAnsi="Calibri" w:cs="Calibri"/>
                <w:sz w:val="24"/>
                <w:szCs w:val="24"/>
              </w:rPr>
              <w:t>Today</w:t>
            </w:r>
          </w:p>
        </w:tc>
        <w:tc>
          <w:tcPr>
            <w:tcW w:w="1900" w:type="dxa"/>
            <w:tcMar>
              <w:top w:w="80" w:type="dxa"/>
              <w:left w:w="120" w:type="dxa"/>
              <w:bottom w:w="80" w:type="dxa"/>
              <w:right w:w="120" w:type="dxa"/>
            </w:tcMar>
          </w:tcPr>
          <w:p w14:paraId="6D13D22C" w14:textId="77777777" w:rsidR="00FE0AF5" w:rsidRDefault="00000000">
            <w:r>
              <w:rPr>
                <w:rFonts w:ascii="Calibri" w:eastAsia="Calibri" w:hAnsi="Calibri" w:cs="Calibri"/>
                <w:sz w:val="24"/>
                <w:szCs w:val="24"/>
              </w:rPr>
              <w:t>Open</w:t>
            </w:r>
          </w:p>
        </w:tc>
      </w:tr>
      <w:tr w:rsidR="00FE0AF5" w14:paraId="13BCF612" w14:textId="77777777">
        <w:tblPrEx>
          <w:tblCellMar>
            <w:top w:w="0" w:type="dxa"/>
            <w:bottom w:w="0" w:type="dxa"/>
          </w:tblCellMar>
        </w:tblPrEx>
        <w:tc>
          <w:tcPr>
            <w:tcW w:w="3800" w:type="dxa"/>
            <w:tcMar>
              <w:top w:w="80" w:type="dxa"/>
              <w:left w:w="120" w:type="dxa"/>
              <w:bottom w:w="80" w:type="dxa"/>
              <w:right w:w="120" w:type="dxa"/>
            </w:tcMar>
          </w:tcPr>
          <w:p w14:paraId="4C7C12B5" w14:textId="77777777" w:rsidR="00FE0AF5" w:rsidRDefault="00000000">
            <w:r>
              <w:rPr>
                <w:rFonts w:ascii="Calibri" w:eastAsia="Calibri" w:hAnsi="Calibri" w:cs="Calibri"/>
                <w:sz w:val="24"/>
                <w:szCs w:val="24"/>
              </w:rPr>
              <w:t>Share the revised guest web app UI/UX (functional changes complete, UI polish in progress)</w:t>
            </w:r>
          </w:p>
        </w:tc>
        <w:tc>
          <w:tcPr>
            <w:tcW w:w="1850" w:type="dxa"/>
            <w:tcMar>
              <w:top w:w="80" w:type="dxa"/>
              <w:left w:w="120" w:type="dxa"/>
              <w:bottom w:w="80" w:type="dxa"/>
              <w:right w:w="120" w:type="dxa"/>
            </w:tcMar>
          </w:tcPr>
          <w:p w14:paraId="4EE680D2" w14:textId="77777777" w:rsidR="00FE0AF5" w:rsidRDefault="00000000">
            <w:r>
              <w:rPr>
                <w:rFonts w:ascii="Calibri" w:eastAsia="Calibri" w:hAnsi="Calibri" w:cs="Calibri"/>
                <w:sz w:val="24"/>
                <w:szCs w:val="24"/>
              </w:rPr>
              <w:t>Chinmay Parab</w:t>
            </w:r>
          </w:p>
        </w:tc>
        <w:tc>
          <w:tcPr>
            <w:tcW w:w="1800" w:type="dxa"/>
            <w:tcMar>
              <w:top w:w="80" w:type="dxa"/>
              <w:left w:w="120" w:type="dxa"/>
              <w:bottom w:w="80" w:type="dxa"/>
              <w:right w:w="120" w:type="dxa"/>
            </w:tcMar>
          </w:tcPr>
          <w:p w14:paraId="7BE8D4AC" w14:textId="77777777" w:rsidR="00FE0AF5" w:rsidRDefault="00000000">
            <w:r>
              <w:rPr>
                <w:rFonts w:ascii="Calibri" w:eastAsia="Calibri" w:hAnsi="Calibri" w:cs="Calibri"/>
                <w:sz w:val="24"/>
                <w:szCs w:val="24"/>
              </w:rPr>
              <w:t>This week</w:t>
            </w:r>
          </w:p>
        </w:tc>
        <w:tc>
          <w:tcPr>
            <w:tcW w:w="1900" w:type="dxa"/>
            <w:tcMar>
              <w:top w:w="80" w:type="dxa"/>
              <w:left w:w="120" w:type="dxa"/>
              <w:bottom w:w="80" w:type="dxa"/>
              <w:right w:w="120" w:type="dxa"/>
            </w:tcMar>
          </w:tcPr>
          <w:p w14:paraId="2E33C944" w14:textId="77777777" w:rsidR="00FE0AF5" w:rsidRDefault="00000000">
            <w:r>
              <w:rPr>
                <w:rFonts w:ascii="Calibri" w:eastAsia="Calibri" w:hAnsi="Calibri" w:cs="Calibri"/>
                <w:sz w:val="24"/>
                <w:szCs w:val="24"/>
              </w:rPr>
              <w:t>In Progress</w:t>
            </w:r>
          </w:p>
        </w:tc>
      </w:tr>
      <w:tr w:rsidR="00FE0AF5" w14:paraId="2E769080" w14:textId="77777777">
        <w:tblPrEx>
          <w:tblCellMar>
            <w:top w:w="0" w:type="dxa"/>
            <w:bottom w:w="0" w:type="dxa"/>
          </w:tblCellMar>
        </w:tblPrEx>
        <w:tc>
          <w:tcPr>
            <w:tcW w:w="3800" w:type="dxa"/>
            <w:tcMar>
              <w:top w:w="80" w:type="dxa"/>
              <w:left w:w="120" w:type="dxa"/>
              <w:bottom w:w="80" w:type="dxa"/>
              <w:right w:w="120" w:type="dxa"/>
            </w:tcMar>
          </w:tcPr>
          <w:p w14:paraId="5338C523" w14:textId="77777777" w:rsidR="00FE0AF5" w:rsidRDefault="00000000">
            <w:r>
              <w:rPr>
                <w:rFonts w:ascii="Calibri" w:eastAsia="Calibri" w:hAnsi="Calibri" w:cs="Calibri"/>
                <w:sz w:val="24"/>
                <w:szCs w:val="24"/>
              </w:rPr>
              <w:t>Provide feedback on the revised guest web app UI/UX once received</w:t>
            </w:r>
          </w:p>
        </w:tc>
        <w:tc>
          <w:tcPr>
            <w:tcW w:w="1850" w:type="dxa"/>
            <w:tcMar>
              <w:top w:w="80" w:type="dxa"/>
              <w:left w:w="120" w:type="dxa"/>
              <w:bottom w:w="80" w:type="dxa"/>
              <w:right w:w="120" w:type="dxa"/>
            </w:tcMar>
          </w:tcPr>
          <w:p w14:paraId="43EFBD2F" w14:textId="2B9C90DD" w:rsidR="00FE0AF5" w:rsidRDefault="00000000">
            <w:r>
              <w:rPr>
                <w:rFonts w:ascii="Calibri" w:eastAsia="Calibri" w:hAnsi="Calibri" w:cs="Calibri"/>
                <w:sz w:val="24"/>
                <w:szCs w:val="24"/>
              </w:rPr>
              <w:t xml:space="preserve">Allam / Qossai </w:t>
            </w:r>
          </w:p>
        </w:tc>
        <w:tc>
          <w:tcPr>
            <w:tcW w:w="1800" w:type="dxa"/>
            <w:tcMar>
              <w:top w:w="80" w:type="dxa"/>
              <w:left w:w="120" w:type="dxa"/>
              <w:bottom w:w="80" w:type="dxa"/>
              <w:right w:w="120" w:type="dxa"/>
            </w:tcMar>
          </w:tcPr>
          <w:p w14:paraId="5F399C5F" w14:textId="77777777" w:rsidR="00FE0AF5" w:rsidRDefault="00000000">
            <w:r>
              <w:rPr>
                <w:rFonts w:ascii="Calibri" w:eastAsia="Calibri" w:hAnsi="Calibri" w:cs="Calibri"/>
                <w:sz w:val="24"/>
                <w:szCs w:val="24"/>
              </w:rPr>
              <w:t>Upon receipt</w:t>
            </w:r>
          </w:p>
        </w:tc>
        <w:tc>
          <w:tcPr>
            <w:tcW w:w="1900" w:type="dxa"/>
            <w:tcMar>
              <w:top w:w="80" w:type="dxa"/>
              <w:left w:w="120" w:type="dxa"/>
              <w:bottom w:w="80" w:type="dxa"/>
              <w:right w:w="120" w:type="dxa"/>
            </w:tcMar>
          </w:tcPr>
          <w:p w14:paraId="4030E2B8" w14:textId="77777777" w:rsidR="00FE0AF5" w:rsidRDefault="00000000">
            <w:r>
              <w:rPr>
                <w:rFonts w:ascii="Calibri" w:eastAsia="Calibri" w:hAnsi="Calibri" w:cs="Calibri"/>
                <w:sz w:val="24"/>
                <w:szCs w:val="24"/>
              </w:rPr>
              <w:t>Open</w:t>
            </w:r>
          </w:p>
        </w:tc>
      </w:tr>
      <w:tr w:rsidR="00FE0AF5" w14:paraId="724565C2" w14:textId="77777777">
        <w:tblPrEx>
          <w:tblCellMar>
            <w:top w:w="0" w:type="dxa"/>
            <w:bottom w:w="0" w:type="dxa"/>
          </w:tblCellMar>
        </w:tblPrEx>
        <w:tc>
          <w:tcPr>
            <w:tcW w:w="3800" w:type="dxa"/>
            <w:tcMar>
              <w:top w:w="80" w:type="dxa"/>
              <w:left w:w="120" w:type="dxa"/>
              <w:bottom w:w="80" w:type="dxa"/>
              <w:right w:w="120" w:type="dxa"/>
            </w:tcMar>
          </w:tcPr>
          <w:p w14:paraId="1592484F" w14:textId="77777777" w:rsidR="00FE0AF5" w:rsidRDefault="00000000">
            <w:r>
              <w:rPr>
                <w:rFonts w:ascii="Calibri" w:eastAsia="Calibri" w:hAnsi="Calibri" w:cs="Calibri"/>
                <w:sz w:val="24"/>
                <w:szCs w:val="24"/>
              </w:rPr>
              <w:lastRenderedPageBreak/>
              <w:t>Share the revised guest mobile app wireframe, following the finalized web app workflow</w:t>
            </w:r>
          </w:p>
        </w:tc>
        <w:tc>
          <w:tcPr>
            <w:tcW w:w="1850" w:type="dxa"/>
            <w:tcMar>
              <w:top w:w="80" w:type="dxa"/>
              <w:left w:w="120" w:type="dxa"/>
              <w:bottom w:w="80" w:type="dxa"/>
              <w:right w:w="120" w:type="dxa"/>
            </w:tcMar>
          </w:tcPr>
          <w:p w14:paraId="27ECAEF4" w14:textId="77777777" w:rsidR="00FE0AF5" w:rsidRDefault="00000000">
            <w:r>
              <w:rPr>
                <w:rFonts w:ascii="Calibri" w:eastAsia="Calibri" w:hAnsi="Calibri" w:cs="Calibri"/>
                <w:sz w:val="24"/>
                <w:szCs w:val="24"/>
              </w:rPr>
              <w:t>Chinmay Parab</w:t>
            </w:r>
          </w:p>
        </w:tc>
        <w:tc>
          <w:tcPr>
            <w:tcW w:w="1800" w:type="dxa"/>
            <w:tcMar>
              <w:top w:w="80" w:type="dxa"/>
              <w:left w:w="120" w:type="dxa"/>
              <w:bottom w:w="80" w:type="dxa"/>
              <w:right w:w="120" w:type="dxa"/>
            </w:tcMar>
          </w:tcPr>
          <w:p w14:paraId="3E009F95" w14:textId="77777777" w:rsidR="00FE0AF5" w:rsidRDefault="00000000">
            <w:r>
              <w:rPr>
                <w:rFonts w:ascii="Calibri" w:eastAsia="Calibri" w:hAnsi="Calibri" w:cs="Calibri"/>
                <w:sz w:val="24"/>
                <w:szCs w:val="24"/>
              </w:rPr>
              <w:t>Within a day of web app sign-off</w:t>
            </w:r>
          </w:p>
        </w:tc>
        <w:tc>
          <w:tcPr>
            <w:tcW w:w="1900" w:type="dxa"/>
            <w:tcMar>
              <w:top w:w="80" w:type="dxa"/>
              <w:left w:w="120" w:type="dxa"/>
              <w:bottom w:w="80" w:type="dxa"/>
              <w:right w:w="120" w:type="dxa"/>
            </w:tcMar>
          </w:tcPr>
          <w:p w14:paraId="38F6E1E8" w14:textId="77777777" w:rsidR="00FE0AF5" w:rsidRDefault="00000000">
            <w:r>
              <w:rPr>
                <w:rFonts w:ascii="Calibri" w:eastAsia="Calibri" w:hAnsi="Calibri" w:cs="Calibri"/>
                <w:sz w:val="24"/>
                <w:szCs w:val="24"/>
              </w:rPr>
              <w:t>Open</w:t>
            </w:r>
          </w:p>
        </w:tc>
      </w:tr>
      <w:tr w:rsidR="00FE0AF5" w14:paraId="7B8D9B4E" w14:textId="77777777">
        <w:tblPrEx>
          <w:tblCellMar>
            <w:top w:w="0" w:type="dxa"/>
            <w:bottom w:w="0" w:type="dxa"/>
          </w:tblCellMar>
        </w:tblPrEx>
        <w:tc>
          <w:tcPr>
            <w:tcW w:w="3800" w:type="dxa"/>
            <w:tcMar>
              <w:top w:w="80" w:type="dxa"/>
              <w:left w:w="120" w:type="dxa"/>
              <w:bottom w:w="80" w:type="dxa"/>
              <w:right w:w="120" w:type="dxa"/>
            </w:tcMar>
          </w:tcPr>
          <w:p w14:paraId="6B5DB391" w14:textId="77777777" w:rsidR="00FE0AF5" w:rsidRDefault="00000000">
            <w:r>
              <w:rPr>
                <w:rFonts w:ascii="Calibri" w:eastAsia="Calibri" w:hAnsi="Calibri" w:cs="Calibri"/>
                <w:sz w:val="24"/>
                <w:szCs w:val="24"/>
              </w:rPr>
              <w:t>Schedule dedicated UI/UX and service-configuration sessions this week, ahead of development starting on POS, guest web app, and guest mobile app next week</w:t>
            </w:r>
          </w:p>
        </w:tc>
        <w:tc>
          <w:tcPr>
            <w:tcW w:w="1850" w:type="dxa"/>
            <w:tcMar>
              <w:top w:w="80" w:type="dxa"/>
              <w:left w:w="120" w:type="dxa"/>
              <w:bottom w:w="80" w:type="dxa"/>
              <w:right w:w="120" w:type="dxa"/>
            </w:tcMar>
          </w:tcPr>
          <w:p w14:paraId="04BEB7B1" w14:textId="306E4A4C" w:rsidR="00FE0AF5" w:rsidRDefault="00000000">
            <w:r>
              <w:rPr>
                <w:rFonts w:ascii="Calibri" w:eastAsia="Calibri" w:hAnsi="Calibri" w:cs="Calibri"/>
                <w:sz w:val="24"/>
                <w:szCs w:val="24"/>
              </w:rPr>
              <w:t xml:space="preserve">Chinmay Parab / Allam / Qossai </w:t>
            </w:r>
          </w:p>
        </w:tc>
        <w:tc>
          <w:tcPr>
            <w:tcW w:w="1800" w:type="dxa"/>
            <w:tcMar>
              <w:top w:w="80" w:type="dxa"/>
              <w:left w:w="120" w:type="dxa"/>
              <w:bottom w:w="80" w:type="dxa"/>
              <w:right w:w="120" w:type="dxa"/>
            </w:tcMar>
          </w:tcPr>
          <w:p w14:paraId="2399B813" w14:textId="77777777" w:rsidR="00FE0AF5" w:rsidRDefault="00000000">
            <w:r>
              <w:rPr>
                <w:rFonts w:ascii="Calibri" w:eastAsia="Calibri" w:hAnsi="Calibri" w:cs="Calibri"/>
                <w:sz w:val="24"/>
                <w:szCs w:val="24"/>
              </w:rPr>
              <w:t>This week</w:t>
            </w:r>
          </w:p>
        </w:tc>
        <w:tc>
          <w:tcPr>
            <w:tcW w:w="1900" w:type="dxa"/>
            <w:tcMar>
              <w:top w:w="80" w:type="dxa"/>
              <w:left w:w="120" w:type="dxa"/>
              <w:bottom w:w="80" w:type="dxa"/>
              <w:right w:w="120" w:type="dxa"/>
            </w:tcMar>
          </w:tcPr>
          <w:p w14:paraId="5B378246" w14:textId="77777777" w:rsidR="00FE0AF5" w:rsidRDefault="00000000">
            <w:r>
              <w:rPr>
                <w:rFonts w:ascii="Calibri" w:eastAsia="Calibri" w:hAnsi="Calibri" w:cs="Calibri"/>
                <w:sz w:val="24"/>
                <w:szCs w:val="24"/>
              </w:rPr>
              <w:t>Open</w:t>
            </w:r>
          </w:p>
        </w:tc>
      </w:tr>
    </w:tbl>
    <w:p w14:paraId="028C046A" w14:textId="77777777" w:rsidR="00FE0AF5" w:rsidRDefault="00FE0AF5">
      <w:pPr>
        <w:spacing w:after="160"/>
      </w:pPr>
    </w:p>
    <w:p w14:paraId="5091FA66" w14:textId="77777777" w:rsidR="00FE0AF5" w:rsidRDefault="00000000">
      <w:pPr>
        <w:spacing w:before="180" w:after="100"/>
      </w:pPr>
      <w:r>
        <w:rPr>
          <w:rFonts w:ascii="Calibri" w:eastAsia="Calibri" w:hAnsi="Calibri" w:cs="Calibri"/>
          <w:b/>
          <w:bCs/>
          <w:color w:val="215E99"/>
          <w:sz w:val="32"/>
          <w:szCs w:val="32"/>
        </w:rPr>
        <w:t>8. Next Steps</w:t>
      </w:r>
    </w:p>
    <w:p w14:paraId="0B3FF520" w14:textId="77777777" w:rsidR="00FE0AF5" w:rsidRDefault="00000000">
      <w:pPr>
        <w:pStyle w:val="ListParagraph"/>
        <w:numPr>
          <w:ilvl w:val="0"/>
          <w:numId w:val="2"/>
        </w:numPr>
        <w:spacing w:after="70"/>
      </w:pPr>
      <w:r>
        <w:rPr>
          <w:rFonts w:ascii="Calibri" w:eastAsia="Calibri" w:hAnsi="Calibri" w:cs="Calibri"/>
          <w:sz w:val="24"/>
          <w:szCs w:val="24"/>
        </w:rPr>
        <w:t>All AI topics are now covered; a separate, dedicated session will be scheduled to align on the proposed AI solution once Chinmay's team has reviewed today's documentation.</w:t>
      </w:r>
    </w:p>
    <w:p w14:paraId="2FAB7D7B" w14:textId="77777777" w:rsidR="00FE0AF5" w:rsidRDefault="00000000">
      <w:pPr>
        <w:pStyle w:val="ListParagraph"/>
        <w:numPr>
          <w:ilvl w:val="0"/>
          <w:numId w:val="2"/>
        </w:numPr>
        <w:spacing w:after="70"/>
      </w:pPr>
      <w:r>
        <w:rPr>
          <w:rFonts w:ascii="Calibri" w:eastAsia="Calibri" w:hAnsi="Calibri" w:cs="Calibri"/>
          <w:sz w:val="24"/>
          <w:szCs w:val="24"/>
        </w:rPr>
        <w:t>This week's focus: Chinmay to share consolidated open conflicts and closed decisions across all workshops, plus finalized UI/UX for POS, guest web app, and guest mobile app.</w:t>
      </w:r>
    </w:p>
    <w:p w14:paraId="60F99BA4" w14:textId="77777777" w:rsidR="00FE0AF5" w:rsidRDefault="00000000">
      <w:pPr>
        <w:pStyle w:val="ListParagraph"/>
        <w:numPr>
          <w:ilvl w:val="0"/>
          <w:numId w:val="2"/>
        </w:numPr>
        <w:spacing w:after="70"/>
      </w:pPr>
      <w:r>
        <w:rPr>
          <w:rFonts w:ascii="Calibri" w:eastAsia="Calibri" w:hAnsi="Calibri" w:cs="Calibri"/>
          <w:sz w:val="24"/>
          <w:szCs w:val="24"/>
        </w:rPr>
        <w:t>Development on POS, guest web app, and guest mobile app is targeted to begin next week once UI/UX is signed off.</w:t>
      </w:r>
    </w:p>
    <w:p w14:paraId="62D4D91D" w14:textId="77777777" w:rsidR="00FE0AF5" w:rsidRDefault="00000000">
      <w:pPr>
        <w:pStyle w:val="ListParagraph"/>
        <w:numPr>
          <w:ilvl w:val="0"/>
          <w:numId w:val="2"/>
        </w:numPr>
        <w:spacing w:after="70"/>
      </w:pPr>
      <w:r>
        <w:rPr>
          <w:rFonts w:ascii="Calibri" w:eastAsia="Calibri" w:hAnsi="Calibri" w:cs="Calibri"/>
          <w:sz w:val="24"/>
          <w:szCs w:val="24"/>
        </w:rPr>
        <w:t>Full AI-focused development sessions will resume later with a smaller, dedicated team once conventional development is underway.</w:t>
      </w:r>
    </w:p>
    <w:p w14:paraId="1A9A1504" w14:textId="77777777" w:rsidR="00FE0AF5" w:rsidRDefault="00000000">
      <w:pPr>
        <w:spacing w:before="120"/>
        <w:jc w:val="center"/>
      </w:pPr>
      <w:r>
        <w:rPr>
          <w:rFonts w:ascii="Calibri" w:eastAsia="Calibri" w:hAnsi="Calibri" w:cs="Calibri"/>
          <w:i/>
          <w:iCs/>
          <w:color w:val="595959"/>
          <w:sz w:val="24"/>
          <w:szCs w:val="24"/>
        </w:rPr>
        <w:t>--- End of Minutes ---</w:t>
      </w:r>
    </w:p>
    <w:sectPr w:rsidR="00FE0AF5">
      <w:headerReference w:type="default" r:id="rId7"/>
      <w:footerReference w:type="default" r:id="rId8"/>
      <w:pgSz w:w="12240" w:h="15840"/>
      <w:pgMar w:top="90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9DE79" w14:textId="77777777" w:rsidR="00C220C0" w:rsidRDefault="00C220C0">
      <w:r>
        <w:separator/>
      </w:r>
    </w:p>
  </w:endnote>
  <w:endnote w:type="continuationSeparator" w:id="0">
    <w:p w14:paraId="65A0EA47" w14:textId="77777777" w:rsidR="00C220C0" w:rsidRDefault="00C22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DCA4A" w14:textId="77777777" w:rsidR="00FE0AF5" w:rsidRDefault="00000000">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93230E">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93230E">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399A8" w14:textId="77777777" w:rsidR="00C220C0" w:rsidRDefault="00C220C0">
      <w:r>
        <w:separator/>
      </w:r>
    </w:p>
  </w:footnote>
  <w:footnote w:type="continuationSeparator" w:id="0">
    <w:p w14:paraId="25E874D0" w14:textId="77777777" w:rsidR="00C220C0" w:rsidRDefault="00C220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75"/>
      <w:gridCol w:w="4675"/>
    </w:tblGrid>
    <w:tr w:rsidR="00FE0AF5" w14:paraId="0FF71746" w14:textId="77777777">
      <w:tblPrEx>
        <w:tblCellMar>
          <w:top w:w="0" w:type="dxa"/>
          <w:bottom w:w="0" w:type="dxa"/>
        </w:tblCellMar>
      </w:tblPrEx>
      <w:tc>
        <w:tcPr>
          <w:tcW w:w="4675" w:type="dxa"/>
          <w:tcMar>
            <w:bottom w:w="80" w:type="dxa"/>
          </w:tcMar>
          <w:vAlign w:val="center"/>
        </w:tcPr>
        <w:p w14:paraId="5DA3C846" w14:textId="77777777" w:rsidR="00FE0AF5" w:rsidRDefault="00FE0AF5"/>
      </w:tc>
      <w:tc>
        <w:tcPr>
          <w:tcW w:w="4675" w:type="dxa"/>
          <w:tcMar>
            <w:bottom w:w="80" w:type="dxa"/>
          </w:tcMar>
          <w:vAlign w:val="center"/>
        </w:tcPr>
        <w:p w14:paraId="6F46FF1E" w14:textId="77777777" w:rsidR="00FE0AF5" w:rsidRDefault="00000000">
          <w:pPr>
            <w:spacing w:after="20"/>
            <w:jc w:val="right"/>
          </w:pPr>
          <w:r>
            <w:rPr>
              <w:noProof/>
            </w:rPr>
            <w:drawing>
              <wp:inline distT="0" distB="0" distL="0" distR="0" wp14:anchorId="7CEA0F4B" wp14:editId="3A599B18">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11B60C00" w14:textId="77777777" w:rsidR="00FE0AF5" w:rsidRDefault="00000000">
          <w:pPr>
            <w:jc w:val="right"/>
          </w:pPr>
          <w:r>
            <w:rPr>
              <w:noProof/>
            </w:rPr>
            <w:drawing>
              <wp:inline distT="0" distB="0" distL="0" distR="0" wp14:anchorId="1A9FC276" wp14:editId="7DF3DB11">
                <wp:extent cx="933450" cy="190500"/>
                <wp:effectExtent l="0" t="0" r="0" b="0"/>
                <wp:docPr id="1730742990" name="Picture 173074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A3463"/>
    <w:multiLevelType w:val="hybridMultilevel"/>
    <w:tmpl w:val="D75C5FAC"/>
    <w:lvl w:ilvl="0" w:tplc="B03EBC1C">
      <w:start w:val="1"/>
      <w:numFmt w:val="bullet"/>
      <w:lvlText w:val="●"/>
      <w:lvlJc w:val="left"/>
      <w:pPr>
        <w:ind w:left="720" w:hanging="360"/>
      </w:pPr>
    </w:lvl>
    <w:lvl w:ilvl="1" w:tplc="0DB8A150">
      <w:start w:val="1"/>
      <w:numFmt w:val="bullet"/>
      <w:lvlText w:val="○"/>
      <w:lvlJc w:val="left"/>
      <w:pPr>
        <w:ind w:left="1440" w:hanging="360"/>
      </w:pPr>
    </w:lvl>
    <w:lvl w:ilvl="2" w:tplc="223A583E">
      <w:start w:val="1"/>
      <w:numFmt w:val="bullet"/>
      <w:lvlText w:val="■"/>
      <w:lvlJc w:val="left"/>
      <w:pPr>
        <w:ind w:left="2160" w:hanging="360"/>
      </w:pPr>
    </w:lvl>
    <w:lvl w:ilvl="3" w:tplc="B6EE5C50">
      <w:start w:val="1"/>
      <w:numFmt w:val="bullet"/>
      <w:lvlText w:val="●"/>
      <w:lvlJc w:val="left"/>
      <w:pPr>
        <w:ind w:left="2880" w:hanging="360"/>
      </w:pPr>
    </w:lvl>
    <w:lvl w:ilvl="4" w:tplc="D430C004">
      <w:start w:val="1"/>
      <w:numFmt w:val="bullet"/>
      <w:lvlText w:val="○"/>
      <w:lvlJc w:val="left"/>
      <w:pPr>
        <w:ind w:left="3600" w:hanging="360"/>
      </w:pPr>
    </w:lvl>
    <w:lvl w:ilvl="5" w:tplc="E668E78C">
      <w:start w:val="1"/>
      <w:numFmt w:val="bullet"/>
      <w:lvlText w:val="■"/>
      <w:lvlJc w:val="left"/>
      <w:pPr>
        <w:ind w:left="4320" w:hanging="360"/>
      </w:pPr>
    </w:lvl>
    <w:lvl w:ilvl="6" w:tplc="6B724F22">
      <w:start w:val="1"/>
      <w:numFmt w:val="bullet"/>
      <w:lvlText w:val="●"/>
      <w:lvlJc w:val="left"/>
      <w:pPr>
        <w:ind w:left="5040" w:hanging="360"/>
      </w:pPr>
    </w:lvl>
    <w:lvl w:ilvl="7" w:tplc="28D00F0E">
      <w:start w:val="1"/>
      <w:numFmt w:val="bullet"/>
      <w:lvlText w:val="●"/>
      <w:lvlJc w:val="left"/>
      <w:pPr>
        <w:ind w:left="5760" w:hanging="360"/>
      </w:pPr>
    </w:lvl>
    <w:lvl w:ilvl="8" w:tplc="DBAC0C28">
      <w:start w:val="1"/>
      <w:numFmt w:val="bullet"/>
      <w:lvlText w:val="●"/>
      <w:lvlJc w:val="left"/>
      <w:pPr>
        <w:ind w:left="6480" w:hanging="360"/>
      </w:pPr>
    </w:lvl>
  </w:abstractNum>
  <w:abstractNum w:abstractNumId="1" w15:restartNumberingAfterBreak="0">
    <w:nsid w:val="5886597C"/>
    <w:multiLevelType w:val="hybridMultilevel"/>
    <w:tmpl w:val="89286D0A"/>
    <w:lvl w:ilvl="0" w:tplc="ADFE9798">
      <w:start w:val="1"/>
      <w:numFmt w:val="bullet"/>
      <w:lvlText w:val="•"/>
      <w:lvlJc w:val="left"/>
      <w:pPr>
        <w:ind w:left="360" w:hanging="260"/>
      </w:pPr>
    </w:lvl>
    <w:lvl w:ilvl="1" w:tplc="22EE662C">
      <w:start w:val="1"/>
      <w:numFmt w:val="bullet"/>
      <w:lvlText w:val="◦"/>
      <w:lvlJc w:val="left"/>
      <w:pPr>
        <w:ind w:left="720" w:hanging="260"/>
      </w:pPr>
    </w:lvl>
    <w:lvl w:ilvl="2" w:tplc="3C18E37A">
      <w:numFmt w:val="decimal"/>
      <w:lvlText w:val=""/>
      <w:lvlJc w:val="left"/>
    </w:lvl>
    <w:lvl w:ilvl="3" w:tplc="831A1F6C">
      <w:numFmt w:val="decimal"/>
      <w:lvlText w:val=""/>
      <w:lvlJc w:val="left"/>
    </w:lvl>
    <w:lvl w:ilvl="4" w:tplc="D76613A0">
      <w:numFmt w:val="decimal"/>
      <w:lvlText w:val=""/>
      <w:lvlJc w:val="left"/>
    </w:lvl>
    <w:lvl w:ilvl="5" w:tplc="45FC5A22">
      <w:numFmt w:val="decimal"/>
      <w:lvlText w:val=""/>
      <w:lvlJc w:val="left"/>
    </w:lvl>
    <w:lvl w:ilvl="6" w:tplc="26422A22">
      <w:numFmt w:val="decimal"/>
      <w:lvlText w:val=""/>
      <w:lvlJc w:val="left"/>
    </w:lvl>
    <w:lvl w:ilvl="7" w:tplc="B988415E">
      <w:numFmt w:val="decimal"/>
      <w:lvlText w:val=""/>
      <w:lvlJc w:val="left"/>
    </w:lvl>
    <w:lvl w:ilvl="8" w:tplc="322E6436">
      <w:numFmt w:val="decimal"/>
      <w:lvlText w:val=""/>
      <w:lvlJc w:val="left"/>
    </w:lvl>
  </w:abstractNum>
  <w:num w:numId="1" w16cid:durableId="810365647">
    <w:abstractNumId w:val="0"/>
    <w:lvlOverride w:ilvl="0">
      <w:startOverride w:val="1"/>
    </w:lvlOverride>
  </w:num>
  <w:num w:numId="2" w16cid:durableId="380956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AF5"/>
    <w:rsid w:val="00584FE7"/>
    <w:rsid w:val="0093230E"/>
    <w:rsid w:val="00C220C0"/>
    <w:rsid w:val="00CD0911"/>
    <w:rsid w:val="00FE0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AB72A"/>
  <w15:docId w15:val="{E56DCABA-B564-4A18-A427-3A6451083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3337</Words>
  <Characters>19022</Characters>
  <Application>Microsoft Office Word</Application>
  <DocSecurity>0</DocSecurity>
  <Lines>158</Lines>
  <Paragraphs>44</Paragraphs>
  <ScaleCrop>false</ScaleCrop>
  <Company/>
  <LinksUpToDate>false</LinksUpToDate>
  <CharactersWithSpaces>22315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3</cp:revision>
  <dcterms:created xsi:type="dcterms:W3CDTF">2026-09-21T09:39:00Z</dcterms:created>
  <dcterms:modified xsi:type="dcterms:W3CDTF">2026-09-21T09:40:00Z</dcterms:modified>
</cp:coreProperties>
</file>