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Deployment and Scaling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Onboarding brief for the CD engineer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TICVAI — Deployment and scaling</w:t>
      </w:r>
      <w:r>
        <w:t xml:space="preserve">”</w:t>
      </w:r>
    </w:p>
    <w:bookmarkStart w:id="20" w:name="ticvai-deployment-and-scaling"/>
    <w:p>
      <w:pPr>
        <w:pStyle w:val="Heading1"/>
      </w:pPr>
      <w:r>
        <w:t xml:space="preserve">TICVAI — deployment and scaling</w:t>
      </w:r>
    </w:p>
    <w:p>
      <w:pPr>
        <w:pStyle w:val="FirstParagraph"/>
      </w:pPr>
      <w:r>
        <w:rPr>
          <w:bCs/>
          <w:b/>
        </w:rPr>
        <w:t xml:space="preserve">An onboarding brief for the CD engineer. 26 August 2026.</w:t>
      </w:r>
    </w:p>
    <w:bookmarkEnd w:id="20"/>
    <w:bookmarkStart w:id="23" w:name="part-1-what-ticvai-is"/>
    <w:p>
      <w:pPr>
        <w:pStyle w:val="Heading1"/>
      </w:pPr>
      <w:r>
        <w:t xml:space="preserve">Part 1 · What TICVAI is</w:t>
      </w:r>
    </w:p>
    <w:p>
      <w:pPr>
        <w:pStyle w:val="FirstParagraph"/>
      </w:pPr>
      <w:r>
        <w:rPr>
          <w:bCs/>
          <w:b/>
        </w:rPr>
        <w:t xml:space="preserve">A multi-tenant venue platform for the UAE and wider MENA market.</w:t>
      </w:r>
      <w:r>
        <w:t xml:space="preserve"> </w:t>
      </w:r>
      <w:r>
        <w:t xml:space="preserve">One tenant operates several</w:t>
      </w:r>
      <w:r>
        <w:t xml:space="preserve"> </w:t>
      </w:r>
      <w:r>
        <w:t xml:space="preserve">venues; a venue sells admission, food, retail and experiences; a guest arrives, is admitted, spends,</w:t>
      </w:r>
      <w:r>
        <w:t xml:space="preserve"> </w:t>
      </w:r>
      <w:r>
        <w:t xml:space="preserve">and leaves.</w:t>
      </w:r>
    </w:p>
    <w:p>
      <w:pPr>
        <w:pStyle w:val="BodyText"/>
      </w:pPr>
      <w:r>
        <w:rPr>
          <w:bCs/>
          <w:b/>
        </w:rPr>
        <w:t xml:space="preserve">Softlabs is building it for Miracle Star Trading L.L.C.</w:t>
      </w:r>
      <w:r>
        <w:t xml:space="preserve"> </w:t>
      </w:r>
      <w:r>
        <w:t xml:space="preserve">Client-side decisions come from</w:t>
      </w:r>
      <w:r>
        <w:t xml:space="preserve"> </w:t>
      </w:r>
      <w:r>
        <w:rPr>
          <w:bCs/>
          <w:b/>
        </w:rPr>
        <w:t xml:space="preserve">Qossai</w:t>
      </w:r>
      <w:r>
        <w:t xml:space="preserve"> </w:t>
      </w:r>
      <w:r>
        <w:t xml:space="preserve">(commercial and finance) and</w:t>
      </w:r>
      <w:r>
        <w:t xml:space="preserve"> </w:t>
      </w:r>
      <w:r>
        <w:rPr>
          <w:bCs/>
          <w:b/>
        </w:rPr>
        <w:t xml:space="preserve">Allam</w:t>
      </w:r>
      <w:r>
        <w:t xml:space="preserve"> </w:t>
      </w:r>
      <w:r>
        <w:t xml:space="preserve">(product and compliance).</w:t>
      </w:r>
      <w:r>
        <w:t xml:space="preserve"> </w:t>
      </w:r>
      <w:r>
        <w:rPr>
          <w:bCs/>
          <w:b/>
        </w:rPr>
        <w:t xml:space="preserve">Dinesh Jadhav</w:t>
      </w:r>
      <w:r>
        <w:t xml:space="preserve">, the</w:t>
      </w:r>
      <w:r>
        <w:t xml:space="preserve"> </w:t>
      </w:r>
      <w:r>
        <w:t xml:space="preserve">Softlabs CTO, owns the infrastructure position.</w:t>
      </w:r>
      <w:r>
        <w:t xml:space="preserve"> </w:t>
      </w:r>
      <w:r>
        <w:rPr>
          <w:bCs/>
          <w:b/>
        </w:rPr>
        <w:t xml:space="preserve">Chinmay Parab</w:t>
      </w:r>
      <w:r>
        <w:t xml:space="preserve"> </w:t>
      </w:r>
      <w:r>
        <w:t xml:space="preserve">leads the delivery.</w:t>
      </w:r>
    </w:p>
    <w:bookmarkStart w:id="21" w:name="the-scale-of-it"/>
    <w:p>
      <w:pPr>
        <w:pStyle w:val="Heading2"/>
      </w:pPr>
      <w:r>
        <w:t xml:space="preserve">The scale of it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Operations across 28 OpenAPI contracts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1,023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Tables across 26 schemas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 across 15 platforms, 12 apps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Journeys traced end to 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Architecture decisions recorded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Requirements, of which 2,647 contracted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3,184</w:t>
            </w:r>
          </w:p>
        </w:tc>
      </w:tr>
    </w:tbl>
    <w:p>
      <w:pPr>
        <w:pStyle w:val="BodyText"/>
      </w:pPr>
      <w:r>
        <w:rPr>
          <w:bCs/>
          <w:b/>
        </w:rPr>
        <w:t xml:space="preserve">Design is 93% of in-scope requirements. Build is 0%</w:t>
      </w:r>
      <w:r>
        <w:t xml:space="preserve"> </w:t>
      </w:r>
      <w:r>
        <w:t xml:space="preserve">— no DDL written, no service running.</w:t>
      </w:r>
    </w:p>
    <w:p>
      <w:pPr>
        <w:pStyle w:val="BodyText"/>
      </w:pPr>
      <w:r>
        <w:rPr>
          <w:bCs/>
          <w:b/>
        </w:rPr>
        <w:t xml:space="preserve">That gap is why you are here.</w:t>
      </w:r>
      <w:r>
        <w:t xml:space="preserve"> </w:t>
      </w:r>
      <w:r>
        <w:t xml:space="preserve">Everything else in this package can be wrong and corrected later.</w:t>
      </w:r>
      <w:r>
        <w:t xml:space="preserve"> </w:t>
      </w:r>
      <w:r>
        <w:rPr>
          <w:bCs/>
          <w:b/>
        </w:rPr>
        <w:t xml:space="preserve">A database topology cannot</w:t>
      </w:r>
      <w:r>
        <w:t xml:space="preserve">, and the decision is open.</w:t>
      </w:r>
    </w:p>
    <w:bookmarkEnd w:id="21"/>
    <w:bookmarkStart w:id="22" w:name="how-the-five-layers-join"/>
    <w:p>
      <w:pPr>
        <w:pStyle w:val="Heading2"/>
      </w:pPr>
      <w:r>
        <w:t xml:space="preserve">How the five layers join</w:t>
      </w:r>
    </w:p>
    <w:p>
      <w:pPr>
        <w:pStyle w:val="FirstParagraph"/>
      </w:pPr>
      <w:r>
        <w:rPr>
          <w:bCs/>
          <w:b/>
        </w:rPr>
        <w:t xml:space="preserve">Screens name operations. Operations resolve against 28 contracts. Contracts persist to 26</w:t>
      </w:r>
      <w:r>
        <w:rPr>
          <w:bCs/>
          <w:b/>
        </w:rPr>
        <w:t xml:space="preserve"> </w:t>
      </w:r>
      <w:r>
        <w:rPr>
          <w:bCs/>
          <w:b/>
        </w:rPr>
        <w:t xml:space="preserve">schemas.</w:t>
      </w:r>
      <w:r>
        <w:t xml:space="preserve"> </w:t>
      </w:r>
      <w:r>
        <w:t xml:space="preserve">Every diagram, workbook and board is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by resolving that join rather than written</w:t>
      </w:r>
      <w:r>
        <w:t xml:space="preserve"> </w:t>
      </w:r>
      <w:r>
        <w:t xml:space="preserve">twice.</w:t>
      </w:r>
    </w:p>
    <w:p>
      <w:pPr>
        <w:pStyle w:val="BodyText"/>
      </w:pPr>
      <w:r>
        <w:rPr>
          <w:bCs/>
          <w:b/>
        </w:rPr>
        <w:t xml:space="preserve">Nine validators enforce it and all nine pass.</w:t>
      </w:r>
      <w:r>
        <w:t xml:space="preserve"> </w:t>
      </w:r>
      <w:r>
        <w:t xml:space="preserve">If a figure in a diagram disagrees with a</w:t>
      </w:r>
      <w:r>
        <w:t xml:space="preserve"> </w:t>
      </w:r>
      <w:r>
        <w:t xml:space="preserve">contract,</w:t>
      </w:r>
      <w:r>
        <w:t xml:space="preserve"> </w:t>
      </w:r>
      <w:r>
        <w:rPr>
          <w:bCs/>
          <w:b/>
        </w:rPr>
        <w:t xml:space="preserve">the contract is right and the diagram has not been regenerated.</w:t>
      </w:r>
    </w:p>
    <w:bookmarkEnd w:id="22"/>
    <w:bookmarkEnd w:id="23"/>
    <w:bookmarkStart w:id="28" w:name="X05713a37765250ab0d750a428c063d4c7573ddd"/>
    <w:p>
      <w:pPr>
        <w:pStyle w:val="Heading1"/>
      </w:pPr>
      <w:r>
        <w:t xml:space="preserve">Part 2 · What the client has said about infrastructure</w:t>
      </w:r>
    </w:p>
    <w:p>
      <w:pPr>
        <w:pStyle w:val="FirstParagraph"/>
      </w:pPr>
      <w:r>
        <w:rPr>
          <w:bCs/>
          <w:b/>
        </w:rPr>
        <w:t xml:space="preserve">Six workshops touched this. The quotations are from the minutes, not paraphrase.</w:t>
      </w:r>
    </w:p>
    <w:bookmarkStart w:id="24" w:name="july-the-founding-constraint"/>
    <w:p>
      <w:pPr>
        <w:pStyle w:val="Heading2"/>
      </w:pPr>
      <w:r>
        <w:t xml:space="preserve">31 July — the founding constraint</w:t>
      </w:r>
    </w:p>
    <w:p>
      <w:pPr>
        <w:pStyle w:val="FirstParagraph"/>
      </w:pPr>
      <w:r>
        <w:rPr>
          <w:bCs/>
          <w:b/>
        </w:rPr>
        <w:t xml:space="preserve">Read this minute first.</w:t>
      </w:r>
      <w:r>
        <w:t xml:space="preserve"> </w:t>
      </w:r>
      <w:r>
        <w:t xml:space="preserve">Qossai described a ticketing platform his team installed for a theatre</w:t>
      </w:r>
      <w:r>
        <w:t xml:space="preserve"> </w:t>
      </w:r>
      <w:r>
        <w:t xml:space="preserve">in Bahrain that</w:t>
      </w:r>
      <w:r>
        <w:t xml:space="preserve"> </w:t>
      </w:r>
      <w:r>
        <w:rPr>
          <w:bCs/>
          <w:b/>
        </w:rPr>
        <w:t xml:space="preserve">went down when roughly 30,000 people tried to buy tickets simultaneously</w:t>
      </w:r>
      <w:r>
        <w:t xml:space="preserve"> </w:t>
      </w:r>
      <w:r>
        <w:t xml:space="preserve">for a</w:t>
      </w:r>
      <w:r>
        <w:t xml:space="preserve"> </w:t>
      </w:r>
      <w:r>
        <w:t xml:space="preserve">concert by a popular regional singer.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The outage took several days to resolve and ultimately cost the team the client relationship.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Allam added the reputational half</w:t>
      </w:r>
      <w:r>
        <w:t xml:space="preserve"> </w:t>
      </w:r>
      <w:r>
        <w:t xml:space="preserve">— an outage at a high-profile event spreads on social media</w:t>
      </w:r>
      <w:r>
        <w:t xml:space="preserve"> </w:t>
      </w:r>
      <w:r>
        <w:t xml:space="preserve">faster than it can be fixed.</w:t>
      </w:r>
    </w:p>
    <w:p>
      <w:pPr>
        <w:pStyle w:val="BodyText"/>
      </w:pPr>
      <w:r>
        <w:rPr>
          <w:bCs/>
          <w:b/>
        </w:rPr>
        <w:t xml:space="preserve">Qossai then scoped it honestly, and that matters for sizing:</w:t>
      </w:r>
      <w:r>
        <w:t xml:space="preserve"> </w:t>
      </w:r>
      <w:r>
        <w:t xml:space="preserve">only a small fraction of clients —</w:t>
      </w:r>
      <w:r>
        <w:t xml:space="preserve"> </w:t>
      </w:r>
      <w:r>
        <w:t xml:space="preserve">attractions, museums, exhibitions — will ever see that traffic.</w:t>
      </w:r>
      <w:r>
        <w:t xml:space="preserve"> </w:t>
      </w:r>
      <w:r>
        <w:rPr>
          <w:bCs/>
          <w:b/>
        </w:rPr>
        <w:t xml:space="preserve">It applies mainly to live events:</w:t>
      </w:r>
      <w:r>
        <w:rPr>
          <w:bCs/>
          <w:b/>
        </w:rPr>
        <w:t xml:space="preserve"> </w:t>
      </w:r>
      <w:r>
        <w:rPr>
          <w:bCs/>
          <w:b/>
        </w:rPr>
        <w:t xml:space="preserve">concerts, football matches.</w:t>
      </w:r>
      <w:r>
        <w:t xml:space="preserve"> </w:t>
      </w:r>
      <w:r>
        <w:t xml:space="preserve">But that segment is disproportionately high-risk.</w:t>
      </w:r>
    </w:p>
    <w:p>
      <w:pPr>
        <w:pStyle w:val="BodyText"/>
      </w:pPr>
      <w:r>
        <w:rPr>
          <w:bCs/>
          <w:b/>
        </w:rPr>
        <w:t xml:space="preserve">Softlabs’ stated baseline is 2,000–3,000 concurrent users.</w:t>
      </w:r>
      <w:r>
        <w:t xml:space="preserve"> </w:t>
      </w:r>
      <w:r>
        <w:t xml:space="preserve">The gap to 30,000 is acknowledged in</w:t>
      </w:r>
      <w:r>
        <w:t xml:space="preserve"> </w:t>
      </w:r>
      <w:r>
        <w:t xml:space="preserve">the minute, and a consultant with Reliance Jio deployment experience was engaged for this concern</w:t>
      </w:r>
      <w:r>
        <w:t xml:space="preserve"> </w:t>
      </w:r>
      <w:r>
        <w:t xml:space="preserve">specifically.</w:t>
      </w:r>
    </w:p>
    <w:p>
      <w:pPr>
        <w:pStyle w:val="BodyText"/>
      </w:pPr>
      <w:r>
        <w:rPr>
          <w:bCs/>
          <w:b/>
        </w:rPr>
        <w:t xml:space="preserve">Agreed in that session: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Target uptime 99.99%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 replicas are needed even without DR</w:t>
      </w:r>
      <w:r>
        <w:t xml:space="preserve"> </w:t>
      </w:r>
      <w:r>
        <w:t xml:space="preserve">— implying eventual rather than strict consistency,</w:t>
      </w:r>
      <w:r>
        <w:t xml:space="preserve"> </w:t>
      </w:r>
      <w:r>
        <w:t xml:space="preserve">with liveness checks so a standby can take over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DR is a tenant-selectable module, not a default.</w:t>
      </w:r>
      <w:r>
        <w:t xml:space="preserve"> </w:t>
      </w:r>
      <w:r>
        <w:t xml:space="preserve">It carries cost, and some tenants will accept</w:t>
      </w:r>
      <w:r>
        <w:t xml:space="preserve"> </w:t>
      </w:r>
      <w:r>
        <w:t xml:space="preserve">single-region UAE without it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High availability is separate from DR.</w:t>
      </w:r>
      <w:r>
        <w:t xml:space="preserve"> </w:t>
      </w:r>
      <w:r>
        <w:t xml:space="preserve">If one SQL instance or web service fails another takes</w:t>
      </w:r>
      <w:r>
        <w:t xml:space="preserve"> </w:t>
      </w:r>
      <w:r>
        <w:t xml:space="preserve">over; DR is the full stack replicated to another region and configured separately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Redis clusters distributed across regions</w:t>
      </w:r>
      <w:r>
        <w:t xml:space="preserve">, on Dinesh’s BookMyShow precedent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Load testing built into the plan</w:t>
      </w:r>
      <w:r>
        <w:t xml:space="preserve"> </w:t>
      </w:r>
      <w:r>
        <w:t xml:space="preserve">— deliberately pushing traffic to observe behaviour, not</w:t>
      </w:r>
      <w:r>
        <w:t xml:space="preserve"> </w:t>
      </w:r>
      <w:r>
        <w:t xml:space="preserve">capacity planning on paper</w:t>
      </w:r>
    </w:p>
    <w:p>
      <w:pPr>
        <w:pStyle w:val="FirstParagraph"/>
      </w:pPr>
      <w:r>
        <w:rPr>
          <w:bCs/>
          <w:b/>
        </w:rPr>
        <w:t xml:space="preserve">And Dinesh’s caution, which should shape how you present options:</w:t>
      </w:r>
      <w:r>
        <w:t xml:space="preserve"> </w:t>
      </w:r>
      <w:r>
        <w:t xml:space="preserve">cost has to be weighed</w:t>
      </w:r>
      <w:r>
        <w:t xml:space="preserve"> </w:t>
      </w:r>
      <w:r>
        <w:t xml:space="preserve">alongside scalability, and</w:t>
      </w:r>
      <w:r>
        <w:t xml:space="preserve"> </w:t>
      </w:r>
      <w:r>
        <w:rPr>
          <w:bCs/>
          <w:b/>
        </w:rPr>
        <w:t xml:space="preserve">firm user estimates are needed to size replica counts and load</w:t>
      </w:r>
      <w:r>
        <w:rPr>
          <w:bCs/>
          <w:b/>
        </w:rPr>
        <w:t xml:space="preserve"> </w:t>
      </w:r>
      <w:r>
        <w:rPr>
          <w:bCs/>
          <w:b/>
        </w:rPr>
        <w:t xml:space="preserve">balancing.</w:t>
      </w:r>
      <w:r>
        <w:t xml:space="preserve"> </w:t>
      </w:r>
      <w:r>
        <w:t xml:space="preserve">The team does not have them.</w:t>
      </w:r>
    </w:p>
    <w:bookmarkEnd w:id="24"/>
    <w:bookmarkStart w:id="25" w:name="july-the-release-workflow"/>
    <w:p>
      <w:pPr>
        <w:pStyle w:val="Heading2"/>
      </w:pPr>
      <w:r>
        <w:t xml:space="preserve">30 July — the release workflow</w:t>
      </w:r>
    </w:p>
    <w:p>
      <w:pPr>
        <w:pStyle w:val="FirstParagraph"/>
      </w:pPr>
      <w:r>
        <w:rPr>
          <w:bCs/>
          <w:b/>
        </w:rPr>
        <w:t xml:space="preserve">Allam proposed and the group accepted:</w:t>
      </w:r>
    </w:p>
    <w:p>
      <w:pPr>
        <w:pStyle w:val="SourceCode"/>
      </w:pPr>
      <w:r>
        <w:rPr>
          <w:rStyle w:val="VerbatimChar"/>
        </w:rPr>
        <w:t xml:space="preserve">Development -&gt; Staging -&gt; Customer notification -&gt; Customer testing</w:t>
      </w:r>
      <w:r>
        <w:br/>
      </w:r>
      <w:r>
        <w:rPr>
          <w:rStyle w:val="VerbatimChar"/>
        </w:rPr>
        <w:t xml:space="preserve">            -&gt; Customer approval -&gt; Production</w:t>
      </w:r>
    </w:p>
    <w:p>
      <w:pPr>
        <w:pStyle w:val="FirstParagraph"/>
      </w:pPr>
      <w:r>
        <w:rPr>
          <w:bCs/>
          <w:b/>
        </w:rPr>
        <w:t xml:space="preserve">Customer approval is a gate, not a courtesy.</w:t>
      </w:r>
      <w:r>
        <w:t xml:space="preserve"> </w:t>
      </w:r>
      <w:r>
        <w:t xml:space="preserve">Production deploys are not continuous in the usual</w:t>
      </w:r>
      <w:r>
        <w:t xml:space="preserve"> </w:t>
      </w:r>
      <w:r>
        <w:t xml:space="preserve">sense, and a tenant can withhold approval.</w:t>
      </w:r>
    </w:p>
    <w:bookmarkEnd w:id="25"/>
    <w:bookmarkStart w:id="26" w:name="august-compliance-and-the-stack"/>
    <w:p>
      <w:pPr>
        <w:pStyle w:val="Heading2"/>
      </w:pPr>
      <w:r>
        <w:t xml:space="preserve">12 August — compliance and the stack</w:t>
      </w:r>
    </w:p>
    <w:p>
      <w:pPr>
        <w:pStyle w:val="FirstParagraph"/>
      </w:pPr>
      <w:r>
        <w:rPr>
          <w:bCs/>
          <w:b/>
        </w:rPr>
        <w:t xml:space="preserve">.NET 8 and PostgreSQL</w:t>
      </w:r>
      <w:r>
        <w:t xml:space="preserve">, for strong typing and ACID guarantees.</w:t>
      </w:r>
      <w:r>
        <w:t xml:space="preserve"> </w:t>
      </w:r>
      <w:r>
        <w:rPr>
          <w:bCs/>
          <w:b/>
        </w:rPr>
        <w:t xml:space="preserve">The ledger is append-only</w:t>
      </w:r>
      <w:r>
        <w:t xml:space="preserve"> </w:t>
      </w:r>
      <w:r>
        <w:t xml:space="preserve">—</w:t>
      </w:r>
      <w:r>
        <w:t xml:space="preserve"> </w:t>
      </w:r>
      <w:r>
        <w:t xml:space="preserve">transactions are never deleted; refunds and corrections are appended.</w:t>
      </w:r>
    </w:p>
    <w:p>
      <w:pPr>
        <w:pStyle w:val="BodyText"/>
      </w:pPr>
      <w:r>
        <w:rPr>
          <w:bCs/>
          <w:b/>
        </w:rPr>
        <w:t xml:space="preserve">The database is planned to scale horizontally</w:t>
      </w:r>
      <w:r>
        <w:t xml:space="preserve"> </w:t>
      </w:r>
      <w:r>
        <w:t xml:space="preserve">for peak season. The minute says plainly: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the specific approach for redeploying multiple database instances/clusters is still being worked</w:t>
      </w:r>
      <w:r>
        <w:rPr>
          <w:iCs/>
          <w:i/>
        </w:rPr>
        <w:t xml:space="preserve"> </w:t>
      </w:r>
      <w:r>
        <w:rPr>
          <w:iCs/>
          <w:i/>
        </w:rPr>
        <w:t xml:space="preserve">out.</w:t>
      </w:r>
      <w:r>
        <w:rPr>
          <w:iCs/>
          <w:i/>
        </w:rPr>
        <w:t xml:space="preserve">”</w:t>
      </w:r>
      <w:r>
        <w:t xml:space="preserve"> </w:t>
      </w:r>
      <w:r>
        <w:rPr>
          <w:bCs/>
          <w:b/>
        </w:rPr>
        <w:t xml:space="preserve">That is now your question.</w:t>
      </w:r>
    </w:p>
    <w:p>
      <w:pPr>
        <w:pStyle w:val="BodyText"/>
      </w:pPr>
      <w:r>
        <w:rPr>
          <w:bCs/>
          <w:b/>
        </w:rPr>
        <w:t xml:space="preserve">Qdrant was proposed over Postgres native vectors</w:t>
      </w:r>
      <w:r>
        <w:t xml:space="preserve"> </w:t>
      </w:r>
      <w:r>
        <w:t xml:space="preserve">at expected volume —</w:t>
      </w:r>
      <w:r>
        <w:t xml:space="preserve"> </w:t>
      </w:r>
      <w:r>
        <w:rPr>
          <w:bCs/>
          <w:b/>
        </w:rPr>
        <w:t xml:space="preserve">subject to confirming</w:t>
      </w:r>
      <w:r>
        <w:rPr>
          <w:bCs/>
          <w:b/>
        </w:rPr>
        <w:t xml:space="preserve"> </w:t>
      </w:r>
      <w:r>
        <w:rPr>
          <w:bCs/>
          <w:b/>
        </w:rPr>
        <w:t xml:space="preserve">UAE compliance</w:t>
      </w:r>
      <w:r>
        <w:t xml:space="preserve">, to avoid finding a limitation in production.</w:t>
      </w:r>
    </w:p>
    <w:p>
      <w:pPr>
        <w:pStyle w:val="BodyText"/>
      </w:pPr>
      <w:r>
        <w:rPr>
          <w:bCs/>
          <w:b/>
        </w:rPr>
        <w:t xml:space="preserve">Allam needed a component list for the Dubai Compliance Authority</w:t>
      </w:r>
      <w:r>
        <w:t xml:space="preserve"> </w:t>
      </w:r>
      <w:r>
        <w:t xml:space="preserve">— every AWS/Azure service</w:t>
      </w:r>
      <w:r>
        <w:t xml:space="preserve"> </w:t>
      </w:r>
      <w:r>
        <w:t xml:space="preserve">planned, so it can be validated.</w:t>
      </w:r>
      <w:r>
        <w:t xml:space="preserve"> </w:t>
      </w:r>
      <w:r>
        <w:rPr>
          <w:bCs/>
          <w:b/>
        </w:rPr>
        <w:t xml:space="preserve">That list is a deliverable and it does not exist.</w:t>
      </w:r>
    </w:p>
    <w:bookmarkEnd w:id="26"/>
    <w:bookmarkStart w:id="27" w:name="X8934171625cb7df0496bc22b65d888e33116a7f"/>
    <w:p>
      <w:pPr>
        <w:pStyle w:val="Heading2"/>
      </w:pPr>
      <w:r>
        <w:t xml:space="preserve">24 August — the meeting that reopened the database question</w:t>
      </w:r>
    </w:p>
    <w:p>
      <w:pPr>
        <w:pStyle w:val="FirstParagraph"/>
      </w:pPr>
      <w:r>
        <w:rPr>
          <w:bCs/>
          <w:b/>
        </w:rPr>
        <w:t xml:space="preserve">Dinesh recommended segregating databases from the start: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Splitting a centralised database after 2–3 years in production is significantly more difficult</w:t>
      </w:r>
      <w:r>
        <w:rPr>
          <w:iCs/>
          <w:i/>
        </w:rPr>
        <w:t xml:space="preserve"> </w:t>
      </w:r>
      <w:r>
        <w:rPr>
          <w:iCs/>
          <w:i/>
        </w:rPr>
        <w:t xml:space="preserve">than starting isolated and reconciling/merging later if needed.</w:t>
      </w:r>
      <w:r>
        <w:rPr>
          <w:iCs/>
          <w:i/>
        </w:rPr>
        <w:t xml:space="preserve">”</w:t>
      </w:r>
    </w:p>
    <w:p>
      <w:pPr>
        <w:pStyle w:val="FirstParagraph"/>
      </w:pPr>
      <w:r>
        <w:rPr>
          <w:bCs/>
          <w:b/>
        </w:rPr>
        <w:t xml:space="preserve">This contradicts ADR-0005 and ADR-0028</w:t>
      </w:r>
      <w:r>
        <w:t xml:space="preserve">, both of which say one Postgres per cell with 26 schemas.</w:t>
      </w:r>
      <w:r>
        <w:t xml:space="preserve"> </w:t>
      </w:r>
      <w:r>
        <w:rPr>
          <w:bCs/>
          <w:b/>
        </w:rPr>
        <w:t xml:space="preserve">Recorded as CF-161. ADR-0028 still reads Accepted.</w:t>
      </w:r>
    </w:p>
    <w:p>
      <w:pPr>
        <w:pStyle w:val="BodyText"/>
      </w:pPr>
      <w:r>
        <w:rPr>
          <w:bCs/>
          <w:b/>
        </w:rPr>
        <w:t xml:space="preserve">The client asked for three deployment scenarios</w:t>
      </w:r>
      <w:r>
        <w:t xml:space="preserve">, each with a diagram, auto-scaling behaviour and</w:t>
      </w:r>
      <w:r>
        <w:t xml:space="preserve"> </w:t>
      </w:r>
      <w:r>
        <w:t xml:space="preserve">failure handling: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(a) independent tenant deployment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(b) centralised/shared platform for small-to-medium tenants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(c) dedicated infrastructure for large events and flash sales</w:t>
      </w:r>
    </w:p>
    <w:p>
      <w:pPr>
        <w:pStyle w:val="FirstParagraph"/>
      </w:pPr>
      <w:r>
        <w:rPr>
          <w:bCs/>
          <w:b/>
        </w:rPr>
        <w:t xml:space="preserve">Recorded as CF-162. Only (a) and (b) fit the current model.</w:t>
      </w:r>
    </w:p>
    <w:p>
      <w:pPr>
        <w:pStyle w:val="BodyText"/>
      </w:pPr>
      <w:r>
        <w:rPr>
          <w:bCs/>
          <w:b/>
        </w:rPr>
        <w:t xml:space="preserve">They also asked for a transparent cost model at different scale levels, covering AWS and Azure.</w:t>
      </w:r>
      <w:r>
        <w:t xml:space="preserve"> </w:t>
      </w:r>
      <w:r>
        <w:t xml:space="preserve">Not produced.</w:t>
      </w:r>
    </w:p>
    <w:bookmarkEnd w:id="27"/>
    <w:bookmarkEnd w:id="28"/>
    <w:bookmarkStart w:id="36" w:name="part-3-what-the-design-already-decides"/>
    <w:p>
      <w:pPr>
        <w:pStyle w:val="Heading1"/>
      </w:pPr>
      <w:r>
        <w:t xml:space="preserve">Part 3 · What the design already decides</w:t>
      </w:r>
    </w:p>
    <w:p>
      <w:pPr>
        <w:pStyle w:val="FirstParagraph"/>
      </w:pPr>
      <w:r>
        <w:rPr>
          <w:bCs/>
          <w:b/>
        </w:rPr>
        <w:t xml:space="preserve">These constrain you. Part 4 does not.</w:t>
      </w:r>
    </w:p>
    <w:bookmarkStart w:id="29" w:name="sixteen-services-in-five-tiers"/>
    <w:p>
      <w:pPr>
        <w:pStyle w:val="Heading2"/>
      </w:pPr>
      <w:r>
        <w:t xml:space="preserve">Sixteen services in five tiers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66"/>
        <w:gridCol w:w="3198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means for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Tenancy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First and alone.</w:t>
            </w:r>
            <w:r>
              <w:t xml:space="preserve"> </w:t>
            </w:r>
            <w:r>
              <w:t xml:space="preserve">304 of 379 tables anchor on</w:t>
            </w:r>
            <w:r>
              <w:t xml:space="preserve"> </w:t>
            </w:r>
            <w:r>
              <w:rPr>
                <w:rStyle w:val="VerbatimChar"/>
              </w:rPr>
              <w:t xml:space="preserve">platform.scope_node</w:t>
            </w:r>
            <w:r>
              <w:t xml:space="preserve">; twelve contracts read Identity. A restart here is an outage everywhere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Commerce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Catalogue, Order, Access, Ledger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sale path.</w:t>
            </w:r>
            <w:r>
              <w:t xml:space="preserve"> </w:t>
            </w:r>
            <w:r>
              <w:rPr>
                <w:bCs/>
                <w:b/>
              </w:rPr>
              <w:t xml:space="preserve">Order autoscales; nothing else needs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Inventory, F&amp;B, Retail, VenueOps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Licensed per module</w:t>
            </w:r>
            <w:r>
              <w:t xml:space="preserve"> </w:t>
            </w:r>
            <w:r>
              <w:t xml:space="preserve">— a venue that bought none runs 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Engagement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Marketing, 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Nothing that takes money depends on these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Control, WhiteLabel, Reporting, CrossCell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Provisioning, publishing, reporting, cross-region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Deploy order is tier order.</w:t>
      </w:r>
      <w:r>
        <w:t xml:space="preserve"> </w:t>
      </w:r>
      <w:r>
        <w:t xml:space="preserve">Catalogue before Order — a till pulls a bundle before it sells.</w:t>
      </w:r>
      <w:r>
        <w:t xml:space="preserve"> </w:t>
      </w:r>
      <w:r>
        <w:rPr>
          <w:bCs/>
          <w:b/>
        </w:rPr>
        <w:t xml:space="preserve">Access last of the four</w:t>
      </w:r>
      <w:r>
        <w:t xml:space="preserve">: it runs at the edge with a local cache and can lag safely.</w:t>
      </w:r>
    </w:p>
    <w:p>
      <w:pPr>
        <w:pStyle w:val="BodyText"/>
      </w:pPr>
      <w:r>
        <w:rPr>
          <w:bCs/>
          <w:b/>
        </w:rPr>
        <w:t xml:space="preserve">Four services can be down without stopping a sale</w:t>
      </w:r>
      <w:r>
        <w:t xml:space="preserve">: Marketing, AI, Reporting, CrossCell.</w:t>
      </w:r>
      <w:r>
        <w:t xml:space="preserve"> </w:t>
      </w: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bCs/>
          <w:b/>
        </w:rPr>
        <w:t xml:space="preserve">deliberate property, and one that should be tested rather than assumed.</w:t>
      </w:r>
    </w:p>
    <w:bookmarkEnd w:id="29"/>
    <w:bookmarkStart w:id="30" w:name="the-stores"/>
    <w:p>
      <w:pPr>
        <w:pStyle w:val="Heading2"/>
      </w:pPr>
      <w:r>
        <w:t xml:space="preserve">The stores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93"/>
        <w:gridCol w:w="1205"/>
        <w:gridCol w:w="48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cell, 26 schemas inside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Sessions, resolution caches, idempotency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postgres-analytical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and AI.</w:t>
            </w:r>
            <w:r>
              <w:t xml:space="preserve"> </w:t>
            </w:r>
            <w:r>
              <w:rPr>
                <w:bCs/>
                <w:b/>
              </w:rPr>
              <w:t xml:space="preserve">Never the transactional primary</w:t>
            </w:r>
            <w:r>
              <w:t xml:space="preserve"> </w:t>
            </w:r>
            <w:r>
              <w:t xml:space="preserve">(ADR-0016)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qdrant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Vector search — the 12 August compliance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Computed, never stored</w:t>
            </w:r>
          </w:p>
        </w:tc>
      </w:tr>
    </w:tbl>
    <w:p>
      <w:pPr>
        <w:pStyle w:val="BodyText"/>
      </w:pPr>
      <w:r>
        <w:rPr>
          <w:bCs/>
          <w:b/>
        </w:rPr>
        <w:t xml:space="preserve">Redis is losable without consequence.</w:t>
      </w:r>
      <w:r>
        <w:t xml:space="preserve"> </w:t>
      </w:r>
      <w:r>
        <w:t xml:space="preserve">Nothing treats a cache entry as truth — a flush costs</w:t>
      </w:r>
      <w:r>
        <w:t xml:space="preserve"> </w:t>
      </w:r>
      <w:r>
        <w:t xml:space="preserve">latency, not correctness.</w:t>
      </w:r>
      <w:r>
        <w:t xml:space="preserve"> </w:t>
      </w:r>
      <w:r>
        <w:rPr>
          <w:bCs/>
          <w:b/>
        </w:rPr>
        <w:t xml:space="preserve">Size it for the hot path.</w:t>
      </w:r>
    </w:p>
    <w:p>
      <w:pPr>
        <w:pStyle w:val="BodyText"/>
      </w:pPr>
      <w:r>
        <w:rPr>
          <w:rStyle w:val="VerbatimChar"/>
          <w:bCs/>
          <w:b/>
        </w:rPr>
        <w:t xml:space="preserve">derived</w:t>
      </w:r>
      <w:r>
        <w:rPr>
          <w:bCs/>
          <w:b/>
        </w:rPr>
        <w:t xml:space="preserve"> </w:t>
      </w:r>
      <w:r>
        <w:rPr>
          <w:bCs/>
          <w:b/>
        </w:rPr>
        <w:t xml:space="preserve">is not a store.</w:t>
      </w:r>
      <w:r>
        <w:t xml:space="preserve"> </w:t>
      </w:r>
      <w:r>
        <w:rPr>
          <w:rStyle w:val="VerbatimChar"/>
        </w:rPr>
        <w:t xml:space="preserve">inventory.stock_level</w:t>
      </w:r>
      <w:r>
        <w:t xml:space="preserve"> </w:t>
      </w:r>
      <w:r>
        <w:t xml:space="preserve">is computed from movements, and</w:t>
      </w:r>
      <w:r>
        <w:t xml:space="preserve"> </w:t>
      </w:r>
      <w:r>
        <w:rPr>
          <w:rStyle w:val="VerbatimChar"/>
        </w:rPr>
        <w:t xml:space="preserve">check-package</w:t>
      </w:r>
      <w:r>
        <w:t xml:space="preserve"> </w:t>
      </w:r>
      <w:r>
        <w:t xml:space="preserve">refuses any write to it: a stored level and a movement ledger that disagree is a</w:t>
      </w:r>
      <w:r>
        <w:t xml:space="preserve"> </w:t>
      </w:r>
      <w:r>
        <w:t xml:space="preserve">stock count nobody can reconcile.</w:t>
      </w:r>
    </w:p>
    <w:bookmarkEnd w:id="30"/>
    <w:bookmarkStart w:id="31" w:name="a-cell-is-a-jurisdiction"/>
    <w:p>
      <w:pPr>
        <w:pStyle w:val="Heading2"/>
      </w:pPr>
      <w:r>
        <w:t xml:space="preserve">A cell is a jurisdiction</w:t>
      </w:r>
    </w:p>
    <w:p>
      <w:pPr>
        <w:pStyle w:val="FirstParagraph"/>
      </w:pPr>
      <w:r>
        <w:rPr>
          <w:bCs/>
          <w:b/>
        </w:rPr>
        <w:t xml:space="preserve">One cell per jurisdiction</w:t>
      </w:r>
      <w:r>
        <w:t xml:space="preserve"> </w:t>
      </w:r>
      <w:r>
        <w:t xml:space="preserve">(ADR-0001) — a deployment and a legal boundary at once.</w:t>
      </w:r>
      <w:r>
        <w:t xml:space="preserve"> </w:t>
      </w:r>
      <w:r>
        <w:rPr>
          <w:bCs/>
          <w:b/>
        </w:rPr>
        <w:t xml:space="preserve">UAE data</w:t>
      </w:r>
      <w:r>
        <w:rPr>
          <w:bCs/>
          <w:b/>
        </w:rPr>
        <w:t xml:space="preserve"> </w:t>
      </w:r>
      <w:r>
        <w:rPr>
          <w:bCs/>
          <w:b/>
        </w:rPr>
        <w:t xml:space="preserve">residency is required.</w:t>
      </w:r>
    </w:p>
    <w:p>
      <w:pPr>
        <w:pStyle w:val="BodyText"/>
      </w:pPr>
      <w:r>
        <w:rPr>
          <w:bCs/>
          <w:b/>
        </w:rPr>
        <w:t xml:space="preserve">Only CrossCellService reaches another region</w:t>
      </w:r>
      <w:r>
        <w:t xml:space="preserve">, and it moves a pseudonymous guest link rather than</w:t>
      </w:r>
      <w:r>
        <w:t xml:space="preserve"> </w:t>
      </w:r>
      <w:r>
        <w:t xml:space="preserve">a guest (ADR-0010) — which is what lets a membership work in another country without moving personal</w:t>
      </w:r>
      <w:r>
        <w:t xml:space="preserve"> </w:t>
      </w:r>
      <w:r>
        <w:t xml:space="preserve">data.</w:t>
      </w:r>
    </w:p>
    <w:p>
      <w:pPr>
        <w:pStyle w:val="BodyText"/>
      </w:pPr>
      <w:r>
        <w:rPr>
          <w:bCs/>
          <w:b/>
        </w:rPr>
        <w:t xml:space="preserve">A cell is one jurisdiction, not one currency.</w:t>
      </w:r>
      <w:r>
        <w:t xml:space="preserve"> </w:t>
      </w:r>
      <w:r>
        <w:t xml:space="preserve">A GCC cell could hold AED and SAR; a UAE cell holds</w:t>
      </w:r>
      <w:r>
        <w:t xml:space="preserve"> </w:t>
      </w:r>
      <w:r>
        <w:t xml:space="preserve">Dubai and Abu Dhabi with different fiscal calendars.</w:t>
      </w:r>
      <w:r>
        <w:t xml:space="preserve"> </w:t>
      </w:r>
      <w:r>
        <w:rPr>
          <w:bCs/>
          <w:b/>
        </w:rPr>
        <w:t xml:space="preserve">Do not collapse the two.</w:t>
      </w:r>
    </w:p>
    <w:bookmarkEnd w:id="31"/>
    <w:bookmarkStart w:id="32" w:name="tenancy-is-a-partition-key"/>
    <w:p>
      <w:pPr>
        <w:pStyle w:val="Heading2"/>
      </w:pPr>
      <w:r>
        <w:t xml:space="preserve">Tenancy is a partition key</w:t>
      </w:r>
    </w:p>
    <w:p>
      <w:pPr>
        <w:pStyle w:val="FirstParagraph"/>
      </w:pPr>
      <w:r>
        <w:rPr>
          <w:bCs/>
          <w:b/>
        </w:rPr>
        <w:t xml:space="preserve">Not one database per tenant</w:t>
      </w:r>
      <w:r>
        <w:t xml:space="preserve"> </w:t>
      </w:r>
      <w:r>
        <w:t xml:space="preserve">(ADR-0005). An operator with eleven venues is one tenant; four</w:t>
      </w:r>
      <w:r>
        <w:t xml:space="preserve"> </w:t>
      </w:r>
      <w:r>
        <w:t xml:space="preserve">hundred tenants would be four hundred databases to migrate, back up and monitor.</w:t>
      </w:r>
    </w:p>
    <w:p>
      <w:pPr>
        <w:pStyle w:val="BodyText"/>
      </w:pPr>
      <w:r>
        <w:rPr>
          <w:bCs/>
          <w:b/>
        </w:rPr>
        <w:t xml:space="preserve">Partitioning is by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scope_path</w:t>
      </w:r>
      <w:r>
        <w:t xml:space="preserve">, an ltree column that is prefix-comparable —</w:t>
      </w:r>
      <w:r>
        <w:t xml:space="preserve"> </w:t>
      </w:r>
      <w:r>
        <w:rPr>
          <w:rStyle w:val="VerbatimChar"/>
        </w:rPr>
        <w:t xml:space="preserve">uae.dubai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uae.dubai.marina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CF-161 reopens this. Read Part 4 before building against it.</w:t>
      </w:r>
    </w:p>
    <w:bookmarkEnd w:id="32"/>
    <w:bookmarkStart w:id="33" w:name="X012f2e8261fd62810cebbd5446b85fc242783c7"/>
    <w:p>
      <w:pPr>
        <w:pStyle w:val="Heading2"/>
      </w:pPr>
      <w:r>
        <w:t xml:space="preserve">193 operations work offline, and it is the product</w:t>
      </w:r>
    </w:p>
    <w:p>
      <w:pPr>
        <w:pStyle w:val="FirstParagraph"/>
      </w:pPr>
      <w:r>
        <w:rPr>
          <w:bCs/>
          <w:b/>
        </w:rPr>
        <w:t xml:space="preserve">A till trades from a local journal</w:t>
      </w:r>
      <w:r>
        <w:t xml:space="preserve"> </w:t>
      </w:r>
      <w:r>
        <w:t xml:space="preserve">(ADR-0013) and reconciles on sync.</w:t>
      </w:r>
      <w:r>
        <w:t xml:space="preserve"> </w:t>
      </w:r>
      <w:r>
        <w:rPr>
          <w:bCs/>
          <w:b/>
        </w:rPr>
        <w:t xml:space="preserve">A gate admits from a</w:t>
      </w:r>
      <w:r>
        <w:rPr>
          <w:bCs/>
          <w:b/>
        </w:rPr>
        <w:t xml:space="preserve"> </w:t>
      </w:r>
      <w:r>
        <w:rPr>
          <w:bCs/>
          <w:b/>
        </w:rPr>
        <w:t xml:space="preserve">package pulled before the session</w:t>
      </w:r>
      <w:r>
        <w:t xml:space="preserve"> </w:t>
      </w:r>
      <w:r>
        <w:t xml:space="preserve">— a scanner that fetches at first scan has already queued.</w:t>
      </w:r>
    </w:p>
    <w:p>
      <w:pPr>
        <w:pStyle w:val="BodyText"/>
      </w:pPr>
      <w:r>
        <w:rPr>
          <w:bCs/>
          <w:b/>
        </w:rPr>
        <w:t xml:space="preserve">A venue with no network still sells and still admits.</w:t>
      </w:r>
    </w:p>
    <w:p>
      <w:pPr>
        <w:pStyle w:val="BodyText"/>
      </w:pPr>
      <w:r>
        <w:rPr>
          <w:bCs/>
          <w:b/>
        </w:rPr>
        <w:t xml:space="preserve">Your rollout strategy has to handle devices unreachable for hours that reconcile when they</w:t>
      </w:r>
      <w:r>
        <w:rPr>
          <w:bCs/>
          <w:b/>
        </w:rPr>
        <w:t xml:space="preserve"> </w:t>
      </w:r>
      <w:r>
        <w:rPr>
          <w:bCs/>
          <w:b/>
        </w:rPr>
        <w:t xml:space="preserve">return.</w:t>
      </w:r>
      <w:r>
        <w:t xml:space="preserve"> </w:t>
      </w:r>
      <w:r>
        <w:rPr>
          <w:rStyle w:val="VerbatimChar"/>
        </w:rPr>
        <w:t xml:space="preserve">syncOrders</w:t>
      </w:r>
      <w:r>
        <w:t xml:space="preserve"> </w:t>
      </w:r>
      <w:r>
        <w:t xml:space="preserve">carries a device id and a monotonic sequence rather than an idempotency</w:t>
      </w:r>
      <w:r>
        <w:t xml:space="preserve"> </w:t>
      </w:r>
      <w:r>
        <w:t xml:space="preserve">header, because a batch replay needs ordering and not just deduplication.</w:t>
      </w:r>
    </w:p>
    <w:bookmarkEnd w:id="33"/>
    <w:bookmarkStart w:id="34" w:name="X4de2a6c569d3dfd99aa1bb1f106e0fdd5460fa1"/>
    <w:p>
      <w:pPr>
        <w:pStyle w:val="Heading2"/>
      </w:pPr>
      <w:r>
        <w:t xml:space="preserve">Load is spiky and only one service has the spike</w:t>
      </w:r>
    </w:p>
    <w:p>
      <w:pPr>
        <w:pStyle w:val="FirstParagraph"/>
      </w:pPr>
      <w:r>
        <w:rPr>
          <w:bCs/>
          <w:b/>
        </w:rPr>
        <w:t xml:space="preserve">Saturday evening is ten times Tuesday morning</w:t>
      </w:r>
      <w:r>
        <w:t xml:space="preserve">, and that shape belongs to Order alone.</w:t>
      </w:r>
    </w:p>
    <w:p>
      <w:pPr>
        <w:pStyle w:val="BodyText"/>
      </w:pPr>
      <w:r>
        <w:rPr>
          <w:bCs/>
          <w:b/>
        </w:rPr>
        <w:t xml:space="preserve">Access is high-rate and flat</w:t>
      </w:r>
      <w:r>
        <w:t xml:space="preserve"> </w:t>
      </w:r>
      <w:r>
        <w:t xml:space="preserve">— forty scans a minute per lane, sub-300ms, edge-cached, offline-</w:t>
      </w:r>
      <w:r>
        <w:t xml:space="preserve"> </w:t>
      </w:r>
      <w:r>
        <w:t xml:space="preserve">capable.</w:t>
      </w:r>
      <w:r>
        <w:t xml:space="preserve"> </w:t>
      </w:r>
      <w:r>
        <w:rPr>
          <w:bCs/>
          <w:b/>
        </w:rPr>
        <w:t xml:space="preserve">F&amp;B is two sharp peaks a day.</w:t>
      </w:r>
      <w:r>
        <w:t xml:space="preserve"> </w:t>
      </w:r>
      <w:r>
        <w:rPr>
          <w:bCs/>
          <w:b/>
        </w:rPr>
        <w:t xml:space="preserve">Ledger is batch and correctness-over-availability</w:t>
      </w:r>
      <w:r>
        <w:t xml:space="preserve">:</w:t>
      </w:r>
      <w:r>
        <w:t xml:space="preserve"> </w:t>
      </w:r>
      <w:r>
        <w:t xml:space="preserve">briefly unavailable is recoverable, briefly wrong is not.</w:t>
      </w:r>
    </w:p>
    <w:bookmarkEnd w:id="34"/>
    <w:bookmarkStart w:id="35" w:name="configuration-reaches-devices"/>
    <w:p>
      <w:pPr>
        <w:pStyle w:val="Heading2"/>
      </w:pPr>
      <w:r>
        <w:t xml:space="preserve">Configuration reaches devices</w:t>
      </w:r>
    </w:p>
    <w:p>
      <w:pPr>
        <w:pStyle w:val="FirstParagraph"/>
      </w:pPr>
      <w:r>
        <w:rPr>
          <w:rStyle w:val="VerbatimChar"/>
        </w:rPr>
        <w:t xml:space="preserve">ConfigurationProfile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ProfileDeployment</w:t>
      </w:r>
      <w:r>
        <w:t xml:space="preserve"> </w:t>
      </w:r>
      <w:r>
        <w:t xml:space="preserve">are state machines, not flags.</w:t>
      </w:r>
      <w:r>
        <w:t xml:space="preserve"> </w:t>
      </w:r>
      <w:r>
        <w:rPr>
          <w:rStyle w:val="VerbatimChar"/>
          <w:bCs/>
          <w:b/>
        </w:rPr>
        <w:t xml:space="preserve">deploying</w:t>
      </w:r>
      <w:r>
        <w:rPr>
          <w:bCs/>
          <w:b/>
        </w:rPr>
        <w:t xml:space="preserve"> </w:t>
      </w:r>
      <w:r>
        <w:rPr>
          <w:bCs/>
          <w:b/>
        </w:rPr>
        <w:t xml:space="preserve">is a real</w:t>
      </w:r>
      <w:r>
        <w:rPr>
          <w:bCs/>
          <w:b/>
        </w:rPr>
        <w:t xml:space="preserve"> </w:t>
      </w:r>
      <w:r>
        <w:rPr>
          <w:bCs/>
          <w:b/>
        </w:rPr>
        <w:t xml:space="preserve">state</w:t>
      </w:r>
      <w:r>
        <w:t xml:space="preserve"> </w:t>
      </w:r>
      <w:r>
        <w:t xml:space="preserve">— a fleet on two profiles is a venue where two tills disagree about a price — and</w:t>
      </w:r>
      <w:r>
        <w:t xml:space="preserve"> </w:t>
      </w:r>
      <w:r>
        <w:rPr>
          <w:rStyle w:val="VerbatimChar"/>
          <w:bCs/>
          <w:b/>
        </w:rPr>
        <w:t xml:space="preserve">partiallyFailed</w:t>
      </w:r>
      <w:r>
        <w:rPr>
          <w:bCs/>
          <w:b/>
        </w:rPr>
        <w:t xml:space="preserve"> </w:t>
      </w:r>
      <w:r>
        <w:rPr>
          <w:bCs/>
          <w:b/>
        </w:rPr>
        <w:t xml:space="preserve">is deliberately not terminal.</w:t>
      </w:r>
    </w:p>
    <w:p>
      <w:pPr>
        <w:pStyle w:val="BodyText"/>
      </w:pPr>
      <w:r>
        <w:rPr>
          <w:bCs/>
          <w:b/>
        </w:rPr>
        <w:t xml:space="preserve">You are inheriting a rollout model</w:t>
      </w:r>
      <w:r>
        <w:t xml:space="preserve"> </w:t>
      </w:r>
      <w:r>
        <w:t xml:space="preserve">expecting a target set, per-device acknowledgement, a named</w:t>
      </w:r>
      <w:r>
        <w:t xml:space="preserve"> </w:t>
      </w:r>
      <w:r>
        <w:t xml:space="preserve">list of failures rather than a count, and a rollback that reverts the devices that took it and</w:t>
      </w:r>
      <w:r>
        <w:t xml:space="preserve"> </w:t>
      </w:r>
      <w:r>
        <w:t xml:space="preserve">leaves the ones that did not.</w:t>
      </w:r>
    </w:p>
    <w:bookmarkEnd w:id="35"/>
    <w:bookmarkEnd w:id="36"/>
    <w:bookmarkStart w:id="40" w:name="part-4-the-three-open-decisions"/>
    <w:p>
      <w:pPr>
        <w:pStyle w:val="Heading1"/>
      </w:pPr>
      <w:r>
        <w:t xml:space="preserve">Part 4 · The three open decisions</w:t>
      </w:r>
    </w:p>
    <w:bookmarkStart w:id="37" w:name="cf-161-one-database-or-sixteen"/>
    <w:p>
      <w:pPr>
        <w:pStyle w:val="Heading2"/>
      </w:pPr>
      <w:r>
        <w:t xml:space="preserve">🔴 CF-161 — one database or sixteen</w:t>
      </w:r>
    </w:p>
    <w:p>
      <w:pPr>
        <w:pStyle w:val="FirstParagraph"/>
      </w:pPr>
      <w:r>
        <w:rPr>
          <w:bCs/>
          <w:b/>
        </w:rPr>
        <w:t xml:space="preserve">Dinesh’s argument is asymmetric and correct on its own terms</w:t>
      </w:r>
      <w:r>
        <w:t xml:space="preserve">: splitting later is harder than</w:t>
      </w:r>
      <w:r>
        <w:t xml:space="preserve"> </w:t>
      </w:r>
      <w:r>
        <w:t xml:space="preserve">merging later.</w:t>
      </w:r>
    </w:p>
    <w:p>
      <w:pPr>
        <w:pStyle w:val="BodyText"/>
      </w:pPr>
      <w:r>
        <w:rPr>
          <w:bCs/>
          <w:b/>
        </w:rPr>
        <w:t xml:space="preserve">The counter is operational cost</w:t>
      </w:r>
      <w:r>
        <w:t xml:space="preserve"> </w:t>
      </w:r>
      <w:r>
        <w:t xml:space="preserve">— sixteen databases to migrate, back up, monitor and</w:t>
      </w:r>
      <w:r>
        <w:t xml:space="preserve"> </w:t>
      </w:r>
      <w:r>
        <w:t xml:space="preserve">connection-pool</w:t>
      </w:r>
      <w:r>
        <w:t xml:space="preserve"> </w:t>
      </w:r>
      <w:r>
        <w:rPr>
          <w:bCs/>
          <w:b/>
        </w:rPr>
        <w:t xml:space="preserve">before a single table is written</w:t>
      </w:r>
      <w:r>
        <w:t xml:space="preserve">, at 0% build.</w:t>
      </w:r>
    </w:p>
    <w:p>
      <w:pPr>
        <w:pStyle w:val="BodyText"/>
      </w:pPr>
      <w:r>
        <w:rPr>
          <w:bCs/>
          <w:b/>
        </w:rPr>
        <w:t xml:space="preserve">The scale figures from the same meeting point three ways:</w:t>
      </w:r>
    </w:p>
    <w:p>
      <w:pPr>
        <w:numPr>
          <w:ilvl w:val="0"/>
          <w:numId w:val="1003"/>
        </w:numPr>
        <w:pStyle w:val="Compact"/>
      </w:pPr>
      <w:r>
        <w:t xml:space="preserve">100–200 tenants centralised -&gt; schemas in one database</w:t>
      </w:r>
    </w:p>
    <w:p>
      <w:pPr>
        <w:numPr>
          <w:ilvl w:val="0"/>
          <w:numId w:val="1003"/>
        </w:numPr>
        <w:pStyle w:val="Compact"/>
      </w:pPr>
      <w:r>
        <w:t xml:space="preserve">Independent large tenants on their own infrastructure -&gt; whatever deploys simplest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Flash sales at 30,000 concurrent -&gt; neither</w:t>
      </w:r>
    </w:p>
    <w:p>
      <w:pPr>
        <w:pStyle w:val="FirstParagraph"/>
      </w:pPr>
      <w:r>
        <w:rPr>
          <w:bCs/>
          <w:b/>
        </w:rPr>
        <w:t xml:space="preserve">Open, and it blocks the DDL.</w:t>
      </w:r>
      <w:r>
        <w:t xml:space="preserve"> </w:t>
      </w:r>
      <w:r>
        <w:t xml:space="preserve">Writing migrations against an undecided topology means writing them</w:t>
      </w:r>
      <w:r>
        <w:t xml:space="preserve"> </w:t>
      </w:r>
      <w:r>
        <w:t xml:space="preserve">twice.</w:t>
      </w:r>
    </w:p>
    <w:bookmarkEnd w:id="37"/>
    <w:bookmarkStart w:id="38" w:name="cf-162-three-scenarios-one-modelled"/>
    <w:p>
      <w:pPr>
        <w:pStyle w:val="Heading2"/>
      </w:pPr>
      <w:r>
        <w:t xml:space="preserve">🔴 CF-162 — three scenarios, one modelled</w:t>
      </w:r>
    </w:p>
    <w:p>
      <w:pPr>
        <w:pStyle w:val="FirstParagraph"/>
      </w:pPr>
      <w:r>
        <w:rPr>
          <w:bCs/>
          <w:b/>
        </w:rPr>
        <w:t xml:space="preserve">(a) and (b) fit the cell model. (c) does not.</w:t>
      </w:r>
    </w:p>
    <w:p>
      <w:pPr>
        <w:pStyle w:val="BodyText"/>
      </w:pPr>
      <w:r>
        <w:t xml:space="preserve">A short-lived environment for one flash sale, tens of thousands concurrent within hours, then gone.</w:t>
      </w:r>
      <w:r>
        <w:t xml:space="preserve"> </w:t>
      </w:r>
      <w:r>
        <w:rPr>
          <w:bCs/>
          <w:b/>
        </w:rPr>
        <w:t xml:space="preserve">No tenancy of its own, reads a catalogue it does not own, and its orders have to land in the</w:t>
      </w:r>
      <w:r>
        <w:rPr>
          <w:bCs/>
          <w:b/>
        </w:rPr>
        <w:t xml:space="preserve"> </w:t>
      </w:r>
      <w:r>
        <w:rPr>
          <w:bCs/>
          <w:b/>
        </w:rPr>
        <w:t xml:space="preserve">permanent platform afterwards.</w:t>
      </w:r>
    </w:p>
    <w:p>
      <w:pPr>
        <w:pStyle w:val="BodyText"/>
      </w:pPr>
      <w:r>
        <w:rPr>
          <w:bCs/>
          <w:b/>
        </w:rPr>
        <w:t xml:space="preserve">The reconciliation path back has no design</w:t>
      </w:r>
      <w:r>
        <w:t xml:space="preserve"> </w:t>
      </w:r>
      <w:r>
        <w:t xml:space="preserve">— the same shape as offline sync, one layer up.</w:t>
      </w:r>
    </w:p>
    <w:bookmarkEnd w:id="38"/>
    <w:bookmarkStart w:id="39" w:name="cf-64-the-cloud-provider"/>
    <w:p>
      <w:pPr>
        <w:pStyle w:val="Heading2"/>
      </w:pPr>
      <w:r>
        <w:t xml:space="preserve">CF-64 — the cloud provider</w:t>
      </w:r>
    </w:p>
    <w:p>
      <w:pPr>
        <w:pStyle w:val="FirstParagraph"/>
      </w:pPr>
      <w:r>
        <w:rPr>
          <w:bCs/>
          <w:b/>
        </w:rPr>
        <w:t xml:space="preserve">AWS or Azure, pending DESC.</w:t>
      </w:r>
      <w:r>
        <w:t xml:space="preserve"> </w:t>
      </w:r>
      <w:r>
        <w:t xml:space="preserve">Owned by Dinesh and Qossai.</w:t>
      </w:r>
    </w:p>
    <w:p>
      <w:pPr>
        <w:pStyle w:val="BodyText"/>
      </w:pPr>
      <w:r>
        <w:rPr>
          <w:bCs/>
          <w:b/>
        </w:rPr>
        <w:t xml:space="preserve">Everything above is provider-neutral. Nothing below it can be</w:t>
      </w:r>
      <w:r>
        <w:t xml:space="preserve"> </w:t>
      </w:r>
      <w:r>
        <w:t xml:space="preserve">— managed Postgres, the Redis</w:t>
      </w:r>
      <w:r>
        <w:t xml:space="preserve"> </w:t>
      </w:r>
      <w:r>
        <w:t xml:space="preserve">tier, Qdrant hosting, the CDN, the secret store.</w:t>
      </w:r>
    </w:p>
    <w:p>
      <w:pPr>
        <w:pStyle w:val="BodyText"/>
      </w:pPr>
      <w:r>
        <w:rPr>
          <w:bCs/>
          <w:b/>
        </w:rPr>
        <w:t xml:space="preserve">CF-64 also carries RPO and RTO, which are stated nowhere else.</w:t>
      </w:r>
    </w:p>
    <w:bookmarkEnd w:id="39"/>
    <w:bookmarkEnd w:id="40"/>
    <w:bookmarkStart w:id="41" w:name="part-5-what-we-need-from-you"/>
    <w:p>
      <w:pPr>
        <w:pStyle w:val="Heading1"/>
      </w:pPr>
      <w:r>
        <w:t xml:space="preserve">Part 5 · What we need from you</w:t>
      </w:r>
    </w:p>
    <w:p>
      <w:pPr>
        <w:pStyle w:val="FirstParagraph"/>
      </w:pPr>
      <w:r>
        <w:rPr>
          <w:bCs/>
          <w:b/>
        </w:rPr>
        <w:t xml:space="preserve">Ordered by what unblocks the most.</w:t>
      </w:r>
    </w:p>
    <w:p>
      <w:pPr>
        <w:pStyle w:val="BodyText"/>
      </w:pPr>
      <w:r>
        <w:rPr>
          <w:bCs/>
          <w:b/>
        </w:rPr>
        <w:t xml:space="preserve">1 — A position on CF-161, with the cost of being wrong each way.</w:t>
      </w:r>
      <w:r>
        <w:t xml:space="preserve"> </w:t>
      </w:r>
      <w:r>
        <w:t xml:space="preserve">Not a preference.</w:t>
      </w:r>
      <w:r>
        <w:t xml:space="preserve"> </w:t>
      </w:r>
      <w:r>
        <w:rPr>
          <w:bCs/>
          <w:b/>
        </w:rPr>
        <w:t xml:space="preserve">What does it</w:t>
      </w:r>
      <w:r>
        <w:rPr>
          <w:bCs/>
          <w:b/>
        </w:rPr>
        <w:t xml:space="preserve"> </w:t>
      </w:r>
      <w:r>
        <w:rPr>
          <w:bCs/>
          <w:b/>
        </w:rPr>
        <w:t xml:space="preserve">cost to split a shared database in year two, and what does it cost to run sixteen from month one.</w:t>
      </w:r>
      <w:r>
        <w:t xml:space="preserve"> </w:t>
      </w:r>
      <w:r>
        <w:t xml:space="preserve">That number decides it and nobody has produced it.</w:t>
      </w:r>
    </w:p>
    <w:p>
      <w:pPr>
        <w:pStyle w:val="BodyText"/>
      </w:pPr>
      <w:r>
        <w:rPr>
          <w:bCs/>
          <w:b/>
        </w:rPr>
        <w:t xml:space="preserve">2 — The three deployment scenarios</w:t>
      </w:r>
      <w:r>
        <w:t xml:space="preserve">, each with a diagram, auto-scaling behaviour and failure</w:t>
      </w:r>
      <w:r>
        <w:t xml:space="preserve"> </w:t>
      </w:r>
      <w:r>
        <w:t xml:space="preserve">handling.</w:t>
      </w:r>
      <w:r>
        <w:t xml:space="preserve"> </w:t>
      </w:r>
      <w:r>
        <w:rPr>
          <w:bCs/>
          <w:b/>
        </w:rPr>
        <w:t xml:space="preserve">Scenario (c) has no precedent here</w:t>
      </w:r>
      <w:r>
        <w:t xml:space="preserve"> </w:t>
      </w:r>
      <w:r>
        <w:t xml:space="preserve">— and the hard half is not standing it up, it is</w:t>
      </w:r>
      <w:r>
        <w:t xml:space="preserve"> </w:t>
      </w:r>
      <w:r>
        <w:t xml:space="preserve">reconciling its orders back.</w:t>
      </w:r>
    </w:p>
    <w:p>
      <w:pPr>
        <w:pStyle w:val="BodyText"/>
      </w:pPr>
      <w:r>
        <w:rPr>
          <w:bCs/>
          <w:b/>
        </w:rPr>
        <w:t xml:space="preserve">3 — A cost model at three scale levels, AWS and Azure.</w:t>
      </w:r>
      <w:r>
        <w:t xml:space="preserve"> </w:t>
      </w:r>
      <w:r>
        <w:t xml:space="preserve">Requested 24 August.</w:t>
      </w:r>
      <w:r>
        <w:t xml:space="preserve"> </w:t>
      </w:r>
      <w:r>
        <w:rPr>
          <w:bCs/>
          <w:b/>
        </w:rPr>
        <w:t xml:space="preserve">Dinesh’s point</w:t>
      </w:r>
      <w:r>
        <w:rPr>
          <w:bCs/>
          <w:b/>
        </w:rPr>
        <w:t xml:space="preserve"> </w:t>
      </w:r>
      <w:r>
        <w:rPr>
          <w:bCs/>
          <w:b/>
        </w:rPr>
        <w:t xml:space="preserve">stands: firm user estimates are needed</w:t>
      </w:r>
      <w:r>
        <w:t xml:space="preserve">, and the only concrete numbers anyone has are 2,000–3,000</w:t>
      </w:r>
      <w:r>
        <w:t xml:space="preserve"> </w:t>
      </w:r>
      <w:r>
        <w:t xml:space="preserve">typical and 30,000 at a concert.</w:t>
      </w:r>
    </w:p>
    <w:p>
      <w:pPr>
        <w:pStyle w:val="BodyText"/>
      </w:pPr>
      <w:r>
        <w:rPr>
          <w:bCs/>
          <w:b/>
        </w:rPr>
        <w:t xml:space="preserve">4 — RPO and RTO per tier.</w:t>
      </w:r>
      <w:r>
        <w:t xml:space="preserve"> </w:t>
      </w:r>
      <w:r>
        <w:t xml:space="preserve">Ledger and Order do not tolerate the same loss and</w:t>
      </w:r>
      <w:r>
        <w:t xml:space="preserve"> </w:t>
      </w:r>
      <w:r>
        <w:rPr>
          <w:bCs/>
          <w:b/>
        </w:rPr>
        <w:t xml:space="preserve">nothing states</w:t>
      </w:r>
      <w:r>
        <w:rPr>
          <w:bCs/>
          <w:b/>
        </w:rPr>
        <w:t xml:space="preserve"> </w:t>
      </w:r>
      <w:r>
        <w:rPr>
          <w:bCs/>
          <w:b/>
        </w:rPr>
        <w:t xml:space="preserve">either.</w:t>
      </w:r>
    </w:p>
    <w:p>
      <w:pPr>
        <w:pStyle w:val="BodyText"/>
      </w:pPr>
      <w:r>
        <w:rPr>
          <w:bCs/>
          <w:b/>
        </w:rPr>
        <w:t xml:space="preserve">5 — The component list for the Dubai Compliance Authority.</w:t>
      </w:r>
      <w:r>
        <w:t xml:space="preserve"> </w:t>
      </w:r>
      <w:r>
        <w:t xml:space="preserve">Every AWS/Azure service planned,</w:t>
      </w:r>
      <w:r>
        <w:t xml:space="preserve"> </w:t>
      </w:r>
      <w:r>
        <w:t xml:space="preserve">Qdrant included. Allam needed it in August.</w:t>
      </w:r>
    </w:p>
    <w:p>
      <w:pPr>
        <w:pStyle w:val="BodyText"/>
      </w:pPr>
      <w:r>
        <w:rPr>
          <w:bCs/>
          <w:b/>
        </w:rPr>
        <w:t xml:space="preserve">6 — Whether the rollout model in Part 3 is buildable as described</w:t>
      </w:r>
      <w:r>
        <w:t xml:space="preserve">, or whether per-device</w:t>
      </w:r>
      <w:r>
        <w:t xml:space="preserve"> </w:t>
      </w:r>
      <w:r>
        <w:t xml:space="preserve">acknowledgement and</w:t>
      </w:r>
      <w:r>
        <w:t xml:space="preserve"> </w:t>
      </w:r>
      <w:r>
        <w:rPr>
          <w:rStyle w:val="VerbatimChar"/>
        </w:rPr>
        <w:t xml:space="preserve">partiallyFailed</w:t>
      </w:r>
      <w:r>
        <w:t xml:space="preserve"> </w:t>
      </w:r>
      <w:r>
        <w:t xml:space="preserve">are more than the platform should own.</w:t>
      </w:r>
    </w:p>
    <w:bookmarkEnd w:id="41"/>
    <w:bookmarkStart w:id="43" w:name="part-6-where-to-read"/>
    <w:p>
      <w:pPr>
        <w:pStyle w:val="Heading1"/>
      </w:pPr>
      <w:r>
        <w:t xml:space="preserve">Part 6 · Where to read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879"/>
        <w:gridCol w:w="4040"/>
      </w:tblGrid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diagrams/hld/00-platform.yaml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platform — actors, surfaces, services, stores, externals,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diagrams/hld/02-services.yaml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Sixteen services, deploy order, 34 cross-service write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docs/adr/0028-service-decomposition.md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sixteen, and the four non-obvious decisions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docs/adr/0001-cells-and-jurisdictions.md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cell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docs/adr/0013-local-first-point-of-sale.md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a till trades offline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docs/adr/0016-read-write-separation.md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replica rule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handoff/TICVAI_Services_and_Data_Segregation.xlsx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Services, schemas, cross-service writes, deploy order, hierarchy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docs/registers/conflicts.md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CF-161, CF-162, CF-64 in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sources/mom/TICVAI_MoM_31Jul2026__1_.docx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Read this one.</w:t>
            </w:r>
            <w:r>
              <w:t xml:space="preserve"> </w:t>
            </w:r>
            <w:r>
              <w:t xml:space="preserve">Bahrain, and the non-functional session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sources/mom/TICVAI_MoM_2026-08-24_Infra_Cost_Ticketing.docx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database and costing workshop</w:t>
            </w:r>
          </w:p>
        </w:tc>
      </w:tr>
    </w:tbl>
    <w:p>
      <w:pPr>
        <w:pStyle w:val="BodyText"/>
      </w:pPr>
      <w:r>
        <w:rPr>
          <w:bCs/>
          <w:b/>
        </w:rPr>
        <w:t xml:space="preserve">Diagrams are derived, never hand-edited.</w:t>
      </w:r>
      <w:r>
        <w:t xml:space="preserve"> </w:t>
      </w:r>
      <w:r>
        <w:rPr>
          <w:rStyle w:val="VerbatimChar"/>
        </w:rPr>
        <w:t xml:space="preserve">check-package</w:t>
      </w:r>
      <w:r>
        <w:t xml:space="preserve"> </w:t>
      </w:r>
      <w:r>
        <w:t xml:space="preserve">fails a package whose diagrams are older</w:t>
      </w:r>
      <w:r>
        <w:t xml:space="preserve"> </w:t>
      </w:r>
      <w:r>
        <w:t xml:space="preserve">than their source.</w:t>
      </w:r>
    </w:p>
    <w:bookmarkStart w:id="42" w:name="one-thing-worth-saying-plainly"/>
    <w:p>
      <w:pPr>
        <w:pStyle w:val="Heading2"/>
      </w:pPr>
      <w:r>
        <w:t xml:space="preserve">One thing worth saying plainly</w:t>
      </w:r>
    </w:p>
    <w:p>
      <w:pPr>
        <w:pStyle w:val="FirstParagraph"/>
      </w:pPr>
      <w:r>
        <w:rPr>
          <w:bCs/>
          <w:b/>
        </w:rPr>
        <w:t xml:space="preserve">The client has been asking for infrastructure costing and deployment scenarios since 24 August and</w:t>
      </w:r>
      <w:r>
        <w:rPr>
          <w:bCs/>
          <w:b/>
        </w:rPr>
        <w:t xml:space="preserve"> </w:t>
      </w:r>
      <w:r>
        <w:rPr>
          <w:bCs/>
          <w:b/>
        </w:rPr>
        <w:t xml:space="preserve">has not had them.</w:t>
      </w:r>
      <w:r>
        <w:t xml:space="preserve"> </w:t>
      </w:r>
      <w:r>
        <w:t xml:space="preserve">Two of the three questions in Part 4 have been open for days, and</w:t>
      </w:r>
      <w:r>
        <w:t xml:space="preserve"> </w:t>
      </w:r>
      <w:r>
        <w:rPr>
          <w:bCs/>
          <w:b/>
        </w:rPr>
        <w:t xml:space="preserve">the entire</w:t>
      </w:r>
      <w:r>
        <w:rPr>
          <w:bCs/>
          <w:b/>
        </w:rPr>
        <w:t xml:space="preserve"> </w:t>
      </w:r>
      <w:r>
        <w:rPr>
          <w:bCs/>
          <w:b/>
        </w:rPr>
        <w:t xml:space="preserve">build sits behind them.</w:t>
      </w:r>
    </w:p>
    <w:p>
      <w:pPr>
        <w:pStyle w:val="BodyText"/>
      </w:pPr>
      <w:r>
        <w:rPr>
          <w:bCs/>
          <w:b/>
        </w:rPr>
        <w:t xml:space="preserve">Nothing else in this package is blocked. This is.</w:t>
      </w:r>
    </w:p>
    <w:bookmarkEnd w:id="42"/>
    <w:bookmarkEnd w:id="43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2026-08-26T14:21:24Z</dcterms:created>
  <dcterms:modified xsi:type="dcterms:W3CDTF">2026-08-26T14:21:24Z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