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9648"/>
      </w:tblGrid>
      <w:tr>
        <w:tc>
          <w:tcPr>
            <w:tcW w:type="dxa" w:w="9648"/>
            <w:shd w:val="clear" w:fill="1F3864"/>
          </w:tcPr>
          <w:p>
            <w:pPr>
              <w:spacing w:after="20" w:before="20"/>
            </w:pPr>
            <w:r/>
            <w:r>
              <w:rPr>
                <w:b/>
                <w:i w:val="0"/>
                <w:color w:val="FFFFFF"/>
                <w:sz w:val="19"/>
              </w:rPr>
              <w:t xml:space="preserve">Chapter 5 AI </w:t>
            </w:r>
            <w:r>
              <w:rPr>
                <w:b/>
                <w:i w:val="0"/>
                <w:color w:val="FFFFFF"/>
                <w:sz w:val="19"/>
              </w:rPr>
              <w:t>&amp;</w:t>
            </w:r>
            <w:r>
              <w:rPr>
                <w:b/>
                <w:i w:val="0"/>
                <w:color w:val="FFFFFF"/>
                <w:sz w:val="19"/>
              </w:rPr>
              <w:t xml:space="preserve"> Intelligence Layer</w:t>
            </w:r>
          </w:p>
        </w:tc>
      </w:tr>
    </w:tbl>
    <w:p>
      <w:pPr>
        <w:spacing w:after="40"/>
      </w:pPr>
    </w:p>
    <w:p>
      <w:pPr>
        <w:pStyle w:val="Heading1"/>
        <w:spacing w:before="280" w:after="120"/>
      </w:pPr>
      <w:r>
        <w:rPr>
          <w:b/>
          <w:color w:val="1F3864"/>
          <w:sz w:val="36"/>
        </w:rPr>
        <w:t>5. AI &amp; Intelligence Layer</w:t>
      </w:r>
    </w:p>
    <w:p>
      <w:pPr>
        <w:spacing w:after="80"/>
      </w:pPr>
      <w:r>
        <w:rPr>
          <w:i/>
          <w:color w:val="555555"/>
          <w:sz w:val="18"/>
        </w:rPr>
        <w:t>Figure 5.0 — Three-Tier AI Architecture: Tier 1 Fully Sovereign, Tier 2 Client Decision, Tier 3 Future Roadmap</w:t>
      </w:r>
    </w:p>
    <w:p>
      <w:pPr>
        <w:pStyle w:val="Heading2"/>
        <w:spacing w:before="200" w:after="80"/>
      </w:pPr>
      <w:r>
        <w:rPr>
          <w:b/>
          <w:color w:val="2E75B6"/>
          <w:sz w:val="28"/>
        </w:rPr>
        <w:t>5.1 Overview — Three Tiers, One Honest Picture</w:t>
      </w:r>
    </w:p>
    <w:p>
      <w:pPr>
        <w:spacing w:after="120" w:line="259" w:lineRule="auto"/>
      </w:pPr>
      <w:r>
        <w:rPr>
          <w:i/>
          <w:color w:val="555555"/>
        </w:rPr>
        <w:t>The AI capabilities in this proposal are organised into three tiers. Each tier has a different delivery status, a different UAE data sovereignty profile, and a different commercial relationship. Setting this out clearly upfront avoids the ambiguity that characterises most vendor AI proposals.</w:t>
      </w:r>
    </w:p>
    <w:p>
      <w:pPr>
        <w:spacing w:after="120" w:line="259" w:lineRule="auto"/>
      </w:pPr>
      <w:r>
        <w:rPr>
          <w:b w:val="0"/>
          <w:i w:val="0"/>
        </w:rPr>
        <w:t>The Q&amp;A confirmed three Phase 1 mandatory AI capabilities: AI Configuration Assistant, AI Reporting Assistant, and basic analytics insights. All three are committed Phase 1 deliverables covered in Tier 1 and Tier 2 below. The RFP evaluation criteria for AI (15% weight) additionally references demand forecasting, dynamic pricing, fraud detection, recommendation engines, and AI-assisted system configuration — all of which are addressed in this chapter, with delivery positioning clearly stated for each.</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1F3864"/>
          </w:tcPr>
          <w:p>
            <w:pPr>
              <w:spacing w:after="20" w:before="20"/>
            </w:pPr>
            <w:r/>
            <w:r>
              <w:rPr>
                <w:b/>
                <w:i w:val="0"/>
                <w:color w:val="FFFFFF"/>
                <w:sz w:val="19"/>
              </w:rPr>
              <w:t>Tier</w:t>
            </w:r>
          </w:p>
        </w:tc>
        <w:tc>
          <w:tcPr>
            <w:tcW w:type="dxa" w:w="2412"/>
            <w:shd w:val="clear" w:fill="1F3864"/>
          </w:tcPr>
          <w:p>
            <w:pPr>
              <w:spacing w:after="20" w:before="20"/>
            </w:pPr>
            <w:r/>
            <w:r>
              <w:rPr>
                <w:b/>
                <w:i w:val="0"/>
                <w:color w:val="FFFFFF"/>
                <w:sz w:val="19"/>
              </w:rPr>
              <w:t>UAE Profile</w:t>
            </w:r>
          </w:p>
        </w:tc>
        <w:tc>
          <w:tcPr>
            <w:tcW w:type="dxa" w:w="2412"/>
            <w:shd w:val="clear" w:fill="1F3864"/>
          </w:tcPr>
          <w:p>
            <w:pPr>
              <w:spacing w:after="20" w:before="20"/>
            </w:pPr>
            <w:r/>
            <w:r>
              <w:rPr>
                <w:b/>
                <w:i w:val="0"/>
                <w:color w:val="FFFFFF"/>
                <w:sz w:val="19"/>
              </w:rPr>
              <w:t>Status</w:t>
            </w:r>
          </w:p>
        </w:tc>
        <w:tc>
          <w:tcPr>
            <w:tcW w:type="dxa" w:w="2412"/>
            <w:shd w:val="clear" w:fill="1F3864"/>
          </w:tcPr>
          <w:p>
            <w:pPr>
              <w:spacing w:after="20" w:before="20"/>
            </w:pPr>
            <w:r/>
            <w:r>
              <w:rPr>
                <w:b/>
                <w:i w:val="0"/>
                <w:color w:val="FFFFFF"/>
                <w:sz w:val="19"/>
              </w:rPr>
              <w:t>Capabilities</w:t>
            </w:r>
          </w:p>
        </w:tc>
      </w:tr>
      <w:tr>
        <w:tc>
          <w:tcPr>
            <w:tcW w:type="dxa" w:w="2412"/>
          </w:tcPr>
          <w:p>
            <w:pPr>
              <w:spacing w:after="20" w:before="20"/>
            </w:pPr>
            <w:r/>
            <w:r>
              <w:rPr>
                <w:b w:val="0"/>
                <w:i w:val="0"/>
                <w:sz w:val="19"/>
              </w:rPr>
              <w:t>Tier 1</w:t>
            </w:r>
          </w:p>
        </w:tc>
        <w:tc>
          <w:tcPr>
            <w:tcW w:type="dxa" w:w="2412"/>
          </w:tcPr>
          <w:p>
            <w:pPr>
              <w:spacing w:after="20" w:before="20"/>
            </w:pPr>
            <w:r/>
            <w:r>
              <w:rPr>
                <w:b w:val="0"/>
                <w:i w:val="0"/>
                <w:sz w:val="19"/>
              </w:rPr>
              <w:t>Fully Sovereign — No Data Leaves UAE</w:t>
            </w:r>
          </w:p>
        </w:tc>
        <w:tc>
          <w:tcPr>
            <w:tcW w:type="dxa" w:w="2412"/>
          </w:tcPr>
          <w:p>
            <w:pPr>
              <w:spacing w:after="20" w:before="20"/>
            </w:pPr>
            <w:r/>
            <w:r>
              <w:rPr>
                <w:b w:val="0"/>
                <w:i w:val="0"/>
                <w:sz w:val="19"/>
              </w:rPr>
              <w:t>Phase 1 — Committed</w:t>
            </w:r>
          </w:p>
        </w:tc>
        <w:tc>
          <w:tcPr>
            <w:tcW w:type="dxa" w:w="2412"/>
          </w:tcPr>
          <w:p>
            <w:pPr>
              <w:spacing w:after="20" w:before="20"/>
            </w:pPr>
            <w:r/>
            <w:r>
              <w:rPr>
                <w:b w:val="0"/>
                <w:i w:val="0"/>
                <w:sz w:val="19"/>
              </w:rPr>
              <w:t>BI Dashboards, Search &amp; Discovery, System Telemetry, Digital Asset Management, Support chatbot retrieval layer. All data stays within platform infrastructure. No external AI API involved.</w:t>
            </w:r>
          </w:p>
        </w:tc>
      </w:tr>
      <w:tr>
        <w:tc>
          <w:tcPr>
            <w:tcW w:type="dxa" w:w="2412"/>
            <w:shd w:val="clear" w:fill="EEF3F8"/>
          </w:tcPr>
          <w:p>
            <w:pPr>
              <w:spacing w:after="20" w:before="20"/>
            </w:pPr>
            <w:r/>
            <w:r>
              <w:rPr>
                <w:b w:val="0"/>
                <w:i w:val="0"/>
                <w:sz w:val="19"/>
              </w:rPr>
              <w:t>Tier 2</w:t>
            </w:r>
          </w:p>
        </w:tc>
        <w:tc>
          <w:tcPr>
            <w:tcW w:type="dxa" w:w="2412"/>
            <w:shd w:val="clear" w:fill="EEF3F8"/>
          </w:tcPr>
          <w:p>
            <w:pPr>
              <w:spacing w:after="20" w:before="20"/>
            </w:pPr>
            <w:r/>
            <w:r>
              <w:rPr>
                <w:b w:val="0"/>
                <w:i w:val="0"/>
                <w:sz w:val="19"/>
              </w:rPr>
              <w:t>LLM-Powered Assistants — Client Decision Required on Deployment Model</w:t>
            </w:r>
          </w:p>
        </w:tc>
        <w:tc>
          <w:tcPr>
            <w:tcW w:type="dxa" w:w="2412"/>
            <w:shd w:val="clear" w:fill="EEF3F8"/>
          </w:tcPr>
          <w:p>
            <w:pPr>
              <w:spacing w:after="20" w:before="20"/>
            </w:pPr>
            <w:r/>
            <w:r>
              <w:rPr>
                <w:b w:val="0"/>
                <w:i w:val="0"/>
                <w:sz w:val="19"/>
              </w:rPr>
              <w:t>Phase 1 — Committed</w:t>
            </w:r>
          </w:p>
        </w:tc>
        <w:tc>
          <w:tcPr>
            <w:tcW w:type="dxa" w:w="2412"/>
            <w:shd w:val="clear" w:fill="EEF3F8"/>
          </w:tcPr>
          <w:p>
            <w:pPr>
              <w:spacing w:after="20" w:before="20"/>
            </w:pPr>
            <w:r/>
            <w:r>
              <w:rPr>
                <w:b w:val="0"/>
                <w:i w:val="0"/>
                <w:sz w:val="19"/>
              </w:rPr>
              <w:t>Configuration Assistant, Reporting Assistant, Support chatbot narrative layer. Three deployment options with different UAE sovereignty profiles. Client confirms preferred option before development begins. Working assumption: Option A (Cloud API + PII masking + DPA).</w:t>
            </w:r>
          </w:p>
        </w:tc>
      </w:tr>
      <w:tr>
        <w:tc>
          <w:tcPr>
            <w:tcW w:type="dxa" w:w="2412"/>
          </w:tcPr>
          <w:p>
            <w:pPr>
              <w:spacing w:after="20" w:before="20"/>
            </w:pPr>
            <w:r/>
            <w:r>
              <w:rPr>
                <w:b w:val="0"/>
                <w:i w:val="0"/>
                <w:sz w:val="19"/>
              </w:rPr>
              <w:t>Tier 3</w:t>
            </w:r>
          </w:p>
        </w:tc>
        <w:tc>
          <w:tcPr>
            <w:tcW w:type="dxa" w:w="2412"/>
          </w:tcPr>
          <w:p>
            <w:pPr>
              <w:spacing w:after="20" w:before="20"/>
            </w:pPr>
            <w:r/>
            <w:r>
              <w:rPr>
                <w:b w:val="0"/>
                <w:i w:val="0"/>
                <w:sz w:val="19"/>
              </w:rPr>
              <w:t>On-Platform ML — Recommended Future Capabilities</w:t>
            </w:r>
          </w:p>
        </w:tc>
        <w:tc>
          <w:tcPr>
            <w:tcW w:type="dxa" w:w="2412"/>
          </w:tcPr>
          <w:p>
            <w:pPr>
              <w:spacing w:after="20" w:before="20"/>
            </w:pPr>
            <w:r/>
            <w:r>
              <w:rPr>
                <w:b w:val="0"/>
                <w:i w:val="0"/>
                <w:sz w:val="19"/>
              </w:rPr>
              <w:t>Client-commissioned when data is ready</w:t>
            </w:r>
          </w:p>
        </w:tc>
        <w:tc>
          <w:tcPr>
            <w:tcW w:type="dxa" w:w="2412"/>
          </w:tcPr>
          <w:p>
            <w:pPr>
              <w:spacing w:after="20" w:before="20"/>
            </w:pPr>
            <w:r/>
            <w:r>
              <w:rPr>
                <w:b w:val="0"/>
                <w:i w:val="0"/>
                <w:sz w:val="19"/>
              </w:rPr>
              <w:t>Demand Forecasting, Recommendation Engine, ML Fraud Detection, ML Price Optimisation. Runs entirely within UAE infrastructure. No data leaves. Requires 6 to 12 months of live Phase 1 data before training. Not committed scope — client activates when ready.</w:t>
            </w:r>
          </w:p>
        </w:tc>
      </w:tr>
    </w:tbl>
    <w:p>
      <w:pPr>
        <w:spacing w:after="40"/>
      </w:pPr>
    </w:p>
    <w:p>
      <w:pPr>
        <w:spacing w:after="120" w:line="259" w:lineRule="auto"/>
      </w:pPr>
      <w:r>
        <w:rPr>
          <w:b w:val="0"/>
          <w:i w:val="0"/>
        </w:rPr>
        <w:t>The Phase 1 data pipeline — the Kafka infrastructure collecting every operational event from day one — is in scope regardless of which Tier 3 ML capabilities the client eventually commissions. It has standalone value for the BI layer. Its secondary value is that when the client is ready for Tier 3, months of rich training data will already be collected. No separate data collection exercise is required.</w:t>
      </w:r>
    </w:p>
    <w:tbl>
      <w:tblPr>
        <w:tblStyle w:val="TableGrid"/>
        <w:tblW w:type="auto" w:w="0"/>
        <w:jc w:val="center"/>
        <w:tblLook w:firstColumn="1" w:firstRow="1" w:lastColumn="0" w:lastRow="0" w:noHBand="0" w:noVBand="1" w:val="04A0"/>
      </w:tblPr>
      <w:tblGrid>
        <w:gridCol w:w="9648"/>
      </w:tblGrid>
      <w:tr>
        <w:tc>
          <w:tcPr>
            <w:tcW w:type="dxa" w:w="9648"/>
            <w:shd w:val="clear" w:fill="1F3864"/>
          </w:tcPr>
          <w:p>
            <w:pPr>
              <w:spacing w:after="20" w:before="20"/>
            </w:pPr>
            <w:r/>
            <w:r>
              <w:rPr>
                <w:b/>
                <w:i w:val="0"/>
                <w:color w:val="FFFFFF"/>
                <w:sz w:val="19"/>
              </w:rPr>
              <w:t>Tier 1 — Phase 1 Committed Delivery</w:t>
            </w:r>
            <w:r>
              <w:rPr>
                <w:b/>
                <w:i w:val="0"/>
                <w:color w:val="FFFFFF"/>
                <w:sz w:val="19"/>
              </w:rPr>
              <w:t xml:space="preserve"> </w:t>
            </w:r>
            <w:r>
              <w:rPr>
                <w:b/>
                <w:i w:val="0"/>
                <w:color w:val="FFFFFF"/>
                <w:sz w:val="19"/>
              </w:rPr>
              <w:t>Fully Sovereign Platform Intelligence</w:t>
            </w:r>
            <w:r>
              <w:rPr>
                <w:b/>
                <w:i w:val="0"/>
                <w:color w:val="FFFFFF"/>
                <w:sz w:val="19"/>
              </w:rPr>
              <w:t xml:space="preserve"> </w:t>
            </w:r>
            <w:r>
              <w:rPr>
                <w:b/>
                <w:i/>
                <w:color w:val="FFFFFF"/>
                <w:sz w:val="19"/>
              </w:rPr>
              <w:t>All processing within UAE infrastructure · No external AI API · No data leaves UAE</w:t>
            </w:r>
          </w:p>
        </w:tc>
      </w:tr>
    </w:tbl>
    <w:p>
      <w:pPr>
        <w:spacing w:after="40"/>
      </w:pPr>
    </w:p>
    <w:p>
      <w:pPr>
        <w:pStyle w:val="Heading2"/>
        <w:spacing w:before="200" w:after="80"/>
      </w:pPr>
      <w:r>
        <w:rPr>
          <w:b/>
          <w:color w:val="2E75B6"/>
          <w:sz w:val="28"/>
        </w:rPr>
        <w:t>5.2 Business Intelligence Dashboards &amp; Basic Analytics Insights</w:t>
      </w:r>
    </w:p>
    <w:p>
      <w:pPr>
        <w:spacing w:after="120" w:line="259" w:lineRule="auto"/>
      </w:pPr>
      <w:r>
        <w:rPr>
          <w:i/>
          <w:color w:val="555555"/>
        </w:rPr>
        <w:t>Business Intelligence Dashboards — Capability Overview</w:t>
      </w:r>
    </w:p>
    <w:p>
      <w:pPr>
        <w:spacing w:after="120" w:line="259" w:lineRule="auto"/>
      </w:pPr>
      <w:r>
        <w:rPr>
          <w:b w:val="0"/>
          <w:i w:val="0"/>
        </w:rPr>
        <w:t>This section delivers the third Q&amp;A mandatory Phase 1 AI capability — “basic analytics insights” — alongside the six pre-built dashboards that provide structured operational visibility. Basic analytics insights refers to the proactive insight layer built into the dashboards: surfacing anomalies, trends, and actionable patterns automatically, without the manager having to ask. Where standard dashboards show what is happening, the proactive insight layer identifies what is unusual or worth acting on.</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864"/>
          </w:tcPr>
          <w:p>
            <w:pPr>
              <w:spacing w:after="20" w:before="20"/>
            </w:pPr>
            <w:r/>
            <w:r>
              <w:rPr>
                <w:b/>
                <w:i w:val="0"/>
                <w:color w:val="FFFFFF"/>
                <w:sz w:val="19"/>
              </w:rPr>
              <w:t>Dashboard</w:t>
            </w:r>
          </w:p>
        </w:tc>
        <w:tc>
          <w:tcPr>
            <w:tcW w:type="dxa" w:w="3216"/>
            <w:shd w:val="clear" w:fill="1F3864"/>
          </w:tcPr>
          <w:p>
            <w:pPr>
              <w:spacing w:after="20" w:before="20"/>
            </w:pPr>
            <w:r/>
            <w:r>
              <w:rPr>
                <w:b/>
                <w:i w:val="0"/>
                <w:color w:val="FFFFFF"/>
                <w:sz w:val="19"/>
              </w:rPr>
              <w:t>Audience</w:t>
            </w:r>
          </w:p>
        </w:tc>
        <w:tc>
          <w:tcPr>
            <w:tcW w:type="dxa" w:w="3216"/>
            <w:shd w:val="clear" w:fill="1F3864"/>
          </w:tcPr>
          <w:p>
            <w:pPr>
              <w:spacing w:after="20" w:before="20"/>
            </w:pPr>
            <w:r/>
            <w:r>
              <w:rPr>
                <w:b/>
                <w:i w:val="0"/>
                <w:color w:val="FFFFFF"/>
                <w:sz w:val="19"/>
              </w:rPr>
              <w:t>Key Metrics</w:t>
            </w:r>
          </w:p>
        </w:tc>
      </w:tr>
      <w:tr>
        <w:tc>
          <w:tcPr>
            <w:tcW w:type="dxa" w:w="3216"/>
          </w:tcPr>
          <w:p>
            <w:pPr>
              <w:spacing w:after="20" w:before="20"/>
            </w:pPr>
            <w:r/>
            <w:r>
              <w:rPr>
                <w:b w:val="0"/>
                <w:i w:val="0"/>
                <w:sz w:val="19"/>
              </w:rPr>
              <w:t>Revenue Performance</w:t>
            </w:r>
          </w:p>
        </w:tc>
        <w:tc>
          <w:tcPr>
            <w:tcW w:type="dxa" w:w="3216"/>
          </w:tcPr>
          <w:p>
            <w:pPr>
              <w:spacing w:after="20" w:before="20"/>
            </w:pPr>
            <w:r/>
            <w:r>
              <w:rPr>
                <w:b w:val="0"/>
                <w:i w:val="0"/>
                <w:sz w:val="19"/>
              </w:rPr>
              <w:t>Finance, Management</w:t>
            </w:r>
          </w:p>
        </w:tc>
        <w:tc>
          <w:tcPr>
            <w:tcW w:type="dxa" w:w="3216"/>
          </w:tcPr>
          <w:p>
            <w:pPr>
              <w:spacing w:after="20" w:before="20"/>
            </w:pPr>
            <w:r/>
            <w:r>
              <w:rPr>
                <w:b w:val="0"/>
                <w:i w:val="0"/>
                <w:sz w:val="19"/>
              </w:rPr>
              <w:t>Revenue by channel, product, payment method; refund rate; settlement status; revenue vs forecast</w:t>
            </w:r>
          </w:p>
        </w:tc>
      </w:tr>
      <w:tr>
        <w:tc>
          <w:tcPr>
            <w:tcW w:type="dxa" w:w="3216"/>
            <w:shd w:val="clear" w:fill="EEF3F8"/>
          </w:tcPr>
          <w:p>
            <w:pPr>
              <w:spacing w:after="20" w:before="20"/>
            </w:pPr>
            <w:r/>
            <w:r>
              <w:rPr>
                <w:b w:val="0"/>
                <w:i w:val="0"/>
                <w:sz w:val="19"/>
              </w:rPr>
              <w:t>Ticket Sales</w:t>
            </w:r>
          </w:p>
        </w:tc>
        <w:tc>
          <w:tcPr>
            <w:tcW w:type="dxa" w:w="3216"/>
            <w:shd w:val="clear" w:fill="EEF3F8"/>
          </w:tcPr>
          <w:p>
            <w:pPr>
              <w:spacing w:after="20" w:before="20"/>
            </w:pPr>
            <w:r/>
            <w:r>
              <w:rPr>
                <w:b w:val="0"/>
                <w:i w:val="0"/>
                <w:sz w:val="19"/>
              </w:rPr>
              <w:t>Operations, Sales</w:t>
            </w:r>
          </w:p>
        </w:tc>
        <w:tc>
          <w:tcPr>
            <w:tcW w:type="dxa" w:w="3216"/>
            <w:shd w:val="clear" w:fill="EEF3F8"/>
          </w:tcPr>
          <w:p>
            <w:pPr>
              <w:spacing w:after="20" w:before="20"/>
            </w:pPr>
            <w:r/>
            <w:r>
              <w:rPr>
                <w:b w:val="0"/>
                <w:i w:val="0"/>
                <w:sz w:val="19"/>
              </w:rPr>
              <w:t>Tickets sold by type; advance vs day-of; capacity utilisation per slot; sell-through rate</w:t>
            </w:r>
          </w:p>
        </w:tc>
      </w:tr>
      <w:tr>
        <w:tc>
          <w:tcPr>
            <w:tcW w:type="dxa" w:w="3216"/>
          </w:tcPr>
          <w:p>
            <w:pPr>
              <w:spacing w:after="20" w:before="20"/>
            </w:pPr>
            <w:r/>
            <w:r>
              <w:rPr>
                <w:b w:val="0"/>
                <w:i w:val="0"/>
                <w:sz w:val="19"/>
              </w:rPr>
              <w:t>Attendance &amp; Footfall</w:t>
            </w:r>
          </w:p>
        </w:tc>
        <w:tc>
          <w:tcPr>
            <w:tcW w:type="dxa" w:w="3216"/>
          </w:tcPr>
          <w:p>
            <w:pPr>
              <w:spacing w:after="20" w:before="20"/>
            </w:pPr>
            <w:r/>
            <w:r>
              <w:rPr>
                <w:b w:val="0"/>
                <w:i w:val="0"/>
                <w:sz w:val="19"/>
              </w:rPr>
              <w:t>Operations</w:t>
            </w:r>
          </w:p>
        </w:tc>
        <w:tc>
          <w:tcPr>
            <w:tcW w:type="dxa" w:w="3216"/>
          </w:tcPr>
          <w:p>
            <w:pPr>
              <w:spacing w:after="20" w:before="20"/>
            </w:pPr>
            <w:r/>
            <w:r>
              <w:rPr>
                <w:b w:val="0"/>
                <w:i w:val="0"/>
                <w:sz w:val="19"/>
              </w:rPr>
              <w:t>Real-time live attendance; peak hour analysis; queue wait times; entry gate throughput</w:t>
            </w:r>
          </w:p>
        </w:tc>
      </w:tr>
      <w:tr>
        <w:tc>
          <w:tcPr>
            <w:tcW w:type="dxa" w:w="3216"/>
            <w:shd w:val="clear" w:fill="EEF3F8"/>
          </w:tcPr>
          <w:p>
            <w:pPr>
              <w:spacing w:after="20" w:before="20"/>
            </w:pPr>
            <w:r/>
            <w:r>
              <w:rPr>
                <w:b w:val="0"/>
                <w:i w:val="0"/>
                <w:sz w:val="19"/>
              </w:rPr>
              <w:t>Customer Behaviour</w:t>
            </w:r>
          </w:p>
        </w:tc>
        <w:tc>
          <w:tcPr>
            <w:tcW w:type="dxa" w:w="3216"/>
            <w:shd w:val="clear" w:fill="EEF3F8"/>
          </w:tcPr>
          <w:p>
            <w:pPr>
              <w:spacing w:after="20" w:before="20"/>
            </w:pPr>
            <w:r/>
            <w:r>
              <w:rPr>
                <w:b w:val="0"/>
                <w:i w:val="0"/>
                <w:sz w:val="19"/>
              </w:rPr>
              <w:t>Marketing</w:t>
            </w:r>
          </w:p>
        </w:tc>
        <w:tc>
          <w:tcPr>
            <w:tcW w:type="dxa" w:w="3216"/>
            <w:shd w:val="clear" w:fill="EEF3F8"/>
          </w:tcPr>
          <w:p>
            <w:pPr>
              <w:spacing w:after="20" w:before="20"/>
            </w:pPr>
            <w:r/>
            <w:r>
              <w:rPr>
                <w:b w:val="0"/>
                <w:i w:val="0"/>
                <w:sz w:val="19"/>
              </w:rPr>
              <w:t>New vs returning visitors; purchase channel; basket size; upsell conversion; loyalty uptake</w:t>
            </w:r>
          </w:p>
        </w:tc>
      </w:tr>
      <w:tr>
        <w:tc>
          <w:tcPr>
            <w:tcW w:type="dxa" w:w="3216"/>
          </w:tcPr>
          <w:p>
            <w:pPr>
              <w:spacing w:after="20" w:before="20"/>
            </w:pPr>
            <w:r/>
            <w:r>
              <w:rPr>
                <w:b w:val="0"/>
                <w:i w:val="0"/>
                <w:sz w:val="19"/>
              </w:rPr>
              <w:t>Operations Command Center</w:t>
            </w:r>
          </w:p>
        </w:tc>
        <w:tc>
          <w:tcPr>
            <w:tcW w:type="dxa" w:w="3216"/>
          </w:tcPr>
          <w:p>
            <w:pPr>
              <w:spacing w:after="20" w:before="20"/>
            </w:pPr>
            <w:r/>
            <w:r>
              <w:rPr>
                <w:b w:val="0"/>
                <w:i w:val="0"/>
                <w:sz w:val="19"/>
              </w:rPr>
              <w:t>All operational roles</w:t>
            </w:r>
          </w:p>
        </w:tc>
        <w:tc>
          <w:tcPr>
            <w:tcW w:type="dxa" w:w="3216"/>
          </w:tcPr>
          <w:p>
            <w:pPr>
              <w:spacing w:after="20" w:before="20"/>
            </w:pPr>
            <w:r/>
            <w:r>
              <w:rPr>
                <w:b w:val="0"/>
                <w:i w:val="0"/>
                <w:sz w:val="19"/>
              </w:rPr>
              <w:t>Live venue status; queues; staff deployment; active incidents; system health</w:t>
            </w:r>
          </w:p>
        </w:tc>
      </w:tr>
      <w:tr>
        <w:tc>
          <w:tcPr>
            <w:tcW w:type="dxa" w:w="3216"/>
            <w:shd w:val="clear" w:fill="EEF3F8"/>
          </w:tcPr>
          <w:p>
            <w:pPr>
              <w:spacing w:after="20" w:before="20"/>
            </w:pPr>
            <w:r/>
            <w:r>
              <w:rPr>
                <w:b w:val="0"/>
                <w:i w:val="0"/>
                <w:sz w:val="19"/>
              </w:rPr>
              <w:t>Financial Reconciliation</w:t>
            </w:r>
          </w:p>
        </w:tc>
        <w:tc>
          <w:tcPr>
            <w:tcW w:type="dxa" w:w="3216"/>
            <w:shd w:val="clear" w:fill="EEF3F8"/>
          </w:tcPr>
          <w:p>
            <w:pPr>
              <w:spacing w:after="20" w:before="20"/>
            </w:pPr>
            <w:r/>
            <w:r>
              <w:rPr>
                <w:b w:val="0"/>
                <w:i w:val="0"/>
                <w:sz w:val="19"/>
              </w:rPr>
              <w:t>Finance</w:t>
            </w:r>
          </w:p>
        </w:tc>
        <w:tc>
          <w:tcPr>
            <w:tcW w:type="dxa" w:w="3216"/>
            <w:shd w:val="clear" w:fill="EEF3F8"/>
          </w:tcPr>
          <w:p>
            <w:pPr>
              <w:spacing w:after="20" w:before="20"/>
            </w:pPr>
            <w:r/>
            <w:r>
              <w:rPr>
                <w:b w:val="0"/>
                <w:i w:val="0"/>
                <w:sz w:val="19"/>
              </w:rPr>
              <w:t>Settlement status; reconciliation exceptions; chargeback pipeline; deferred revenue</w:t>
            </w:r>
          </w:p>
        </w:tc>
      </w:tr>
    </w:tbl>
    <w:p>
      <w:pPr>
        <w:spacing w:after="40"/>
      </w:pPr>
    </w:p>
    <w:p>
      <w:pPr>
        <w:spacing w:after="120" w:line="259" w:lineRule="auto"/>
      </w:pPr>
      <w:r>
        <w:rPr>
          <w:b w:val="0"/>
          <w:i w:val="0"/>
        </w:rPr>
        <w:t>The self-service report builder exposes a governed semantic layer — business-term dimensions and measures, not raw database columns. A marketing manager builds a segment analysis without knowing the schema. All reports are schedulable, shareable, and exportable to PDF, Excel, and CSV.</w:t>
      </w:r>
    </w:p>
    <w:p>
      <w:pPr>
        <w:spacing w:after="120" w:line="259" w:lineRule="auto"/>
      </w:pPr>
      <w:r>
        <w:rPr>
          <w:b w:val="0"/>
          <w:i w:val="0"/>
        </w:rPr>
        <w:t>These dashboards are native to the platform — they read directly from the platform’s own data in real time, rather than depending on an external business-intelligence product. This is a deliberate choice with a direct commercial benefit: the client is not required to license a third-party tool such as Power BI per user, and there is no external sync or refresh window that would leave a dashboard showing stale figures. Everything the client needs to see operational and financial performance lives inside TAIS, is real-time, and is fully customisable by the client’s own team. Where a client nonetheless wants to use an external BI tool, the analytics layer can still feed it; it is simply not a requirement.</w:t>
      </w:r>
    </w:p>
    <w:p>
      <w:pPr>
        <w:pStyle w:val="Heading2"/>
        <w:spacing w:before="200" w:after="80"/>
      </w:pPr>
      <w:r>
        <w:rPr>
          <w:b/>
          <w:color w:val="2E75B6"/>
          <w:sz w:val="28"/>
        </w:rPr>
        <w:t>5.3 Search &amp; Discovery</w:t>
      </w:r>
    </w:p>
    <w:p>
      <w:pPr>
        <w:spacing w:after="120" w:line="259" w:lineRule="auto"/>
      </w:pPr>
      <w:r>
        <w:rPr>
          <w:b w:val="0"/>
          <w:i w:val="0"/>
        </w:rPr>
        <w:t>Semantic search powers product discovery in the guest storefront and knowledge base retrieval in the support chatbot. The 5-stage RAG pipeline — pre-filter, hybrid BM25 plus vector search, Reciprocal Rank Fusion, cross-encoder re-ranking, context injection — ensures search quality and latency remain consistent as the knowledge base grows. Arabic-aware tokenisation makes search equally effective in both languages. All retrieval runs within the platform infrastructure. No data leaves UAE.</w:t>
      </w:r>
    </w:p>
    <w:p>
      <w:pPr>
        <w:spacing w:after="80"/>
      </w:pPr>
      <w:r>
        <w:rPr>
          <w:i/>
          <w:color w:val="555555"/>
          <w:sz w:val="18"/>
        </w:rPr>
        <w:t>Figure 5.3 — 5-Stage RAG Pipeline: Pre-Filter, Hybrid Search, Fusion, Re-rank, Generate</w:t>
      </w:r>
    </w:p>
    <w:p>
      <w:pPr>
        <w:pStyle w:val="Heading2"/>
        <w:spacing w:before="200" w:after="80"/>
      </w:pPr>
      <w:r>
        <w:rPr>
          <w:b/>
          <w:color w:val="2E75B6"/>
          <w:sz w:val="28"/>
        </w:rPr>
        <w:t>5.4 System Telemetry &amp; Health Analytics</w:t>
      </w:r>
    </w:p>
    <w:p>
      <w:pPr>
        <w:spacing w:after="120" w:line="259" w:lineRule="auto"/>
      </w:pPr>
      <w:r>
        <w:rPr>
          <w:b w:val="0"/>
          <w:i w:val="0"/>
        </w:rPr>
        <w:t>Six Grafana dashboards built on Prometheus and OpenTelemetry provide continuous visibility into platform health. All telemetry is collected and stored within the platform’s Kubernetes cluster. Alert routing goes to the client’s configured on-call destination (PagerDuty, Slack, OpsGenie, or any webhook). Distributed traces span every microservice call, identifying latency bottlenecks. Six pre-built dashboards: platform overview, API gateway, database health, business metrics, infrastructure, and security anomalies. All dashboards are delivered as version-controlled Grafana JSON.</w:t>
      </w:r>
    </w:p>
    <w:p>
      <w:pPr>
        <w:pStyle w:val="Heading2"/>
        <w:spacing w:before="200" w:after="80"/>
      </w:pPr>
      <w:r>
        <w:rPr>
          <w:b/>
          <w:color w:val="2E75B6"/>
          <w:sz w:val="28"/>
        </w:rPr>
        <w:t>5.5 Digital Asset Management</w:t>
      </w:r>
    </w:p>
    <w:p>
      <w:pPr>
        <w:spacing w:after="120" w:line="259" w:lineRule="auto"/>
      </w:pPr>
      <w:r>
        <w:rPr>
          <w:b w:val="0"/>
          <w:i w:val="0"/>
        </w:rPr>
        <w:t>A purpose-built media library within the admin platform manages all venue digital content — attraction images, videos, branding assets, F&amp;B media, waiver PDFs, and CMS content. Assets stored in object storage with CDN delivery, metadata tagging, RBAC, version control, usage tracking, and expiry management. All asset processing and serving runs within UAE infrastructure.</w:t>
      </w:r>
    </w:p>
    <w:p>
      <w:pPr>
        <w:pStyle w:val="Heading2"/>
        <w:spacing w:before="200" w:after="80"/>
      </w:pPr>
      <w:r>
        <w:rPr>
          <w:b/>
          <w:color w:val="2E75B6"/>
          <w:sz w:val="28"/>
        </w:rPr>
        <w:t>5.6 Customer Support — Retrieval Layer</w:t>
      </w:r>
    </w:p>
    <w:p>
      <w:pPr>
        <w:spacing w:after="120" w:line="259" w:lineRule="auto"/>
      </w:pPr>
      <w:r>
        <w:rPr>
          <w:i/>
          <w:color w:val="555555"/>
        </w:rPr>
        <w:t>Customer Support Automation — Capability Overview</w:t>
      </w:r>
    </w:p>
    <w:p>
      <w:pPr>
        <w:spacing w:after="120" w:line="259" w:lineRule="auto"/>
      </w:pPr>
      <w:r>
        <w:rPr>
          <w:b w:val="0"/>
          <w:i w:val="0"/>
        </w:rPr>
        <w:t>The retrieval and classification layers of the customer support chatbot run entirely within the platform. Intent classification against pre-defined categories, document retrieval from the knowledge base via the RAG pipeline, and structured data lookups (booking status, ticket validity, opening hours) — all fully sovereign. When a guest asks about their booking, the system classifies the intent and queries the platform database. When a guest asks about refund policy, the RAG pipeline retrieves the relevant policy document. Both paths are Tier 1 regardless of which LLM option the client selects.</w:t>
      </w:r>
    </w:p>
    <w:tbl>
      <w:tblPr>
        <w:tblStyle w:val="TableGrid"/>
        <w:tblW w:type="auto" w:w="0"/>
        <w:jc w:val="center"/>
        <w:tblLook w:firstColumn="1" w:firstRow="1" w:lastColumn="0" w:lastRow="0" w:noHBand="0" w:noVBand="1" w:val="04A0"/>
      </w:tblPr>
      <w:tblGrid>
        <w:gridCol w:w="9648"/>
      </w:tblGrid>
      <w:tr>
        <w:tc>
          <w:tcPr>
            <w:tcW w:type="dxa" w:w="9648"/>
            <w:shd w:val="clear" w:fill="1F3864"/>
          </w:tcPr>
          <w:p>
            <w:pPr>
              <w:spacing w:after="20" w:before="20"/>
            </w:pPr>
            <w:r/>
            <w:r>
              <w:rPr>
                <w:b/>
                <w:i w:val="0"/>
                <w:color w:val="FFFFFF"/>
                <w:sz w:val="19"/>
              </w:rPr>
              <w:t>The LLM narrative layer is Tier 2</w:t>
            </w:r>
            <w:r>
              <w:rPr>
                <w:b/>
                <w:i w:val="0"/>
                <w:color w:val="FFFFFF"/>
                <w:sz w:val="19"/>
              </w:rPr>
              <w:t xml:space="preserve"> Generating a fluent natural language response from retrieved results requires an LLM. This is the component that determines the UAE data profile. See Section 5.8. The retrieval and classification layers described here are always Tier 1.</w:t>
            </w:r>
          </w:p>
        </w:tc>
      </w:tr>
    </w:tbl>
    <w:p>
      <w:pPr>
        <w:spacing w:after="40"/>
      </w:pPr>
    </w:p>
    <w:tbl>
      <w:tblPr>
        <w:tblStyle w:val="TableGrid"/>
        <w:tblW w:type="auto" w:w="0"/>
        <w:jc w:val="center"/>
        <w:tblLook w:firstColumn="1" w:firstRow="1" w:lastColumn="0" w:lastRow="0" w:noHBand="0" w:noVBand="1" w:val="04A0"/>
      </w:tblPr>
      <w:tblGrid>
        <w:gridCol w:w="9648"/>
      </w:tblGrid>
      <w:tr>
        <w:tc>
          <w:tcPr>
            <w:tcW w:type="dxa" w:w="9648"/>
            <w:shd w:val="clear" w:fill="1F3864"/>
          </w:tcPr>
          <w:p>
            <w:pPr>
              <w:spacing w:after="20" w:before="20"/>
            </w:pPr>
            <w:r/>
            <w:r>
              <w:rPr>
                <w:b/>
                <w:i w:val="0"/>
                <w:color w:val="FFFFFF"/>
                <w:sz w:val="19"/>
              </w:rPr>
              <w:t>Tier 2 — Phase 1 Committed Delivery</w:t>
            </w:r>
            <w:r>
              <w:rPr>
                <w:b/>
                <w:i w:val="0"/>
                <w:color w:val="FFFFFF"/>
                <w:sz w:val="19"/>
              </w:rPr>
              <w:t xml:space="preserve"> </w:t>
            </w:r>
            <w:r>
              <w:rPr>
                <w:b/>
                <w:i w:val="0"/>
                <w:color w:val="FFFFFF"/>
                <w:sz w:val="19"/>
              </w:rPr>
              <w:t>LLM-Powered Assistants — Client Decision Required</w:t>
            </w:r>
            <w:r>
              <w:rPr>
                <w:b/>
                <w:i w:val="0"/>
                <w:color w:val="FFFFFF"/>
                <w:sz w:val="19"/>
              </w:rPr>
              <w:t xml:space="preserve"> </w:t>
            </w:r>
            <w:r>
              <w:rPr>
                <w:b/>
                <w:i/>
                <w:color w:val="FFFFFF"/>
                <w:sz w:val="19"/>
              </w:rPr>
              <w:t>Three deployment options with different UAE data sovereignty profiles · Architecture supports all three without rebuild</w:t>
            </w:r>
          </w:p>
        </w:tc>
      </w:tr>
    </w:tbl>
    <w:p>
      <w:pPr>
        <w:spacing w:after="40"/>
      </w:pPr>
    </w:p>
    <w:p>
      <w:pPr>
        <w:pStyle w:val="Heading2"/>
        <w:spacing w:before="200" w:after="80"/>
      </w:pPr>
      <w:r>
        <w:rPr>
          <w:b/>
          <w:color w:val="2E75B6"/>
          <w:sz w:val="28"/>
        </w:rPr>
        <w:t>5.7 LLM Deployment Options — Pending Client Confirmation</w:t>
      </w:r>
    </w:p>
    <w:p>
      <w:pPr>
        <w:spacing w:after="120" w:line="259" w:lineRule="auto"/>
      </w:pPr>
      <w:r>
        <w:rPr>
          <w:i/>
          <w:color w:val="555555"/>
        </w:rPr>
        <w:t>The Configuration Assistant, Reporting Assistant, and the narrative layer of the Customer Support chatbot require a Large Language Model. The architecture is built around an LLM abstraction layer — the underlying model is a configuration setting. Three deployment options are available with different UAE data sovereignty profiles.</w:t>
      </w:r>
    </w:p>
    <w:p>
      <w:pPr>
        <w:spacing w:after="120" w:line="259" w:lineRule="auto"/>
      </w:pPr>
      <w:r>
        <w:rPr>
          <w:b w:val="0"/>
          <w:i w:val="0"/>
        </w:rPr>
        <w:t>We present all three options with an honest description of what each means for UAE data policy. We recommend the client’s legal and compliance team reviews this section and confirms a preferred option before development planning begins. Whichever option is selected, no architectural rebuild is required — the change is a configuration update (Option A to B) or an infrastructure provisioning step (B to C). All Phase 1 planning, architecture, and costing currently assumes Option A as the working assumption.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1F3864"/>
          </w:tcPr>
          <w:p>
            <w:pPr>
              <w:spacing w:after="20" w:before="20"/>
            </w:pPr>
            <w:r/>
            <w:r>
              <w:rPr>
                <w:b/>
                <w:i w:val="0"/>
                <w:color w:val="FFFFFF"/>
                <w:sz w:val="19"/>
              </w:rPr>
              <w:t>Option</w:t>
            </w:r>
          </w:p>
        </w:tc>
        <w:tc>
          <w:tcPr>
            <w:tcW w:type="dxa" w:w="2412"/>
            <w:shd w:val="clear" w:fill="1F3864"/>
          </w:tcPr>
          <w:p>
            <w:pPr>
              <w:spacing w:after="20" w:before="20"/>
            </w:pPr>
            <w:r/>
            <w:r>
              <w:rPr>
                <w:b/>
                <w:i w:val="0"/>
                <w:color w:val="FFFFFF"/>
                <w:sz w:val="19"/>
              </w:rPr>
              <w:t>Implementation</w:t>
            </w:r>
          </w:p>
        </w:tc>
        <w:tc>
          <w:tcPr>
            <w:tcW w:type="dxa" w:w="2412"/>
            <w:shd w:val="clear" w:fill="1F3864"/>
          </w:tcPr>
          <w:p>
            <w:pPr>
              <w:spacing w:after="20" w:before="20"/>
            </w:pPr>
            <w:r/>
            <w:r>
              <w:rPr>
                <w:b/>
                <w:i w:val="0"/>
                <w:color w:val="FFFFFF"/>
                <w:sz w:val="19"/>
              </w:rPr>
              <w:t>UAE Data Profile</w:t>
            </w:r>
          </w:p>
        </w:tc>
        <w:tc>
          <w:tcPr>
            <w:tcW w:type="dxa" w:w="2412"/>
            <w:shd w:val="clear" w:fill="1F3864"/>
          </w:tcPr>
          <w:p>
            <w:pPr>
              <w:spacing w:after="20" w:before="20"/>
            </w:pPr>
            <w:r/>
            <w:r>
              <w:rPr>
                <w:b/>
                <w:i w:val="0"/>
                <w:color w:val="FFFFFF"/>
                <w:sz w:val="19"/>
              </w:rPr>
              <w:t>Status</w:t>
            </w:r>
          </w:p>
        </w:tc>
      </w:tr>
      <w:tr>
        <w:tc>
          <w:tcPr>
            <w:tcW w:type="dxa" w:w="2412"/>
          </w:tcPr>
          <w:p>
            <w:pPr>
              <w:spacing w:after="20" w:before="20"/>
            </w:pPr>
            <w:r/>
            <w:r>
              <w:rPr>
                <w:b w:val="0"/>
                <w:i w:val="0"/>
                <w:sz w:val="19"/>
              </w:rPr>
              <w:t>Option A Cloud API</w:t>
            </w:r>
          </w:p>
        </w:tc>
        <w:tc>
          <w:tcPr>
            <w:tcW w:type="dxa" w:w="2412"/>
          </w:tcPr>
          <w:p>
            <w:pPr>
              <w:spacing w:after="20" w:before="20"/>
            </w:pPr>
            <w:r/>
            <w:r>
              <w:rPr>
                <w:b w:val="0"/>
                <w:i w:val="0"/>
                <w:sz w:val="19"/>
              </w:rPr>
              <w:t>OpenAI API (GPT-4o) PII masking at tool boundary in code Data Processing Addendum (DPA) with OpenAI executed before go-live No additional infrastructure</w:t>
            </w:r>
          </w:p>
        </w:tc>
        <w:tc>
          <w:tcPr>
            <w:tcW w:type="dxa" w:w="2412"/>
          </w:tcPr>
          <w:p>
            <w:pPr>
              <w:spacing w:after="20" w:before="20"/>
            </w:pPr>
            <w:r/>
            <w:r>
              <w:rPr>
                <w:b w:val="0"/>
                <w:i w:val="0"/>
                <w:sz w:val="19"/>
              </w:rPr>
              <w:t>Prompts go to OpenAI (US-based servers by default) PII stripped before any transmission DPA provides PDPL Article 23 contractual safeguard Suitable for most entertainment venue operators</w:t>
            </w:r>
          </w:p>
        </w:tc>
        <w:tc>
          <w:tcPr>
            <w:tcW w:type="dxa" w:w="2412"/>
          </w:tcPr>
          <w:p>
            <w:pPr>
              <w:spacing w:after="20" w:before="20"/>
            </w:pPr>
            <w:r/>
            <w:r>
              <w:rPr>
                <w:b w:val="0"/>
                <w:i w:val="0"/>
                <w:sz w:val="19"/>
              </w:rPr>
              <w:t>WORKING ASSUMPTION for planning Client confirms or selects alternative at kickoff</w:t>
            </w:r>
          </w:p>
        </w:tc>
      </w:tr>
      <w:tr>
        <w:tc>
          <w:tcPr>
            <w:tcW w:type="dxa" w:w="2412"/>
            <w:shd w:val="clear" w:fill="EEF3F8"/>
          </w:tcPr>
          <w:p>
            <w:pPr>
              <w:spacing w:after="20" w:before="20"/>
            </w:pPr>
            <w:r/>
            <w:r>
              <w:rPr>
                <w:b w:val="0"/>
                <w:i w:val="0"/>
                <w:sz w:val="19"/>
              </w:rPr>
              <w:t>Option B OpenAI UAE Residency</w:t>
            </w:r>
          </w:p>
        </w:tc>
        <w:tc>
          <w:tcPr>
            <w:tcW w:type="dxa" w:w="2412"/>
            <w:shd w:val="clear" w:fill="EEF3F8"/>
          </w:tcPr>
          <w:p>
            <w:pPr>
              <w:spacing w:after="20" w:before="20"/>
            </w:pPr>
            <w:r/>
            <w:r>
              <w:rPr>
                <w:b w:val="0"/>
                <w:i w:val="0"/>
                <w:sz w:val="19"/>
              </w:rPr>
              <w:t>Same OpenAI API Data stored at rest in UAE-based Azure datacentres Requires OpenAI enterprise approval (facilitated by Softlabs Group)</w:t>
            </w:r>
          </w:p>
        </w:tc>
        <w:tc>
          <w:tcPr>
            <w:tcW w:type="dxa" w:w="2412"/>
            <w:shd w:val="clear" w:fill="EEF3F8"/>
          </w:tcPr>
          <w:p>
            <w:pPr>
              <w:spacing w:after="20" w:before="20"/>
            </w:pPr>
            <w:r/>
            <w:r>
              <w:rPr>
                <w:b w:val="0"/>
                <w:i w:val="0"/>
                <w:sz w:val="19"/>
              </w:rPr>
              <w:t>Data at rest: UAE Model inference may temporarily transit US infrastructure Stronger storage posture than Option A</w:t>
            </w:r>
          </w:p>
        </w:tc>
        <w:tc>
          <w:tcPr>
            <w:tcW w:type="dxa" w:w="2412"/>
            <w:shd w:val="clear" w:fill="EEF3F8"/>
          </w:tcPr>
          <w:p>
            <w:pPr>
              <w:spacing w:after="20" w:before="20"/>
            </w:pPr>
            <w:r/>
            <w:r>
              <w:rPr>
                <w:b w:val="0"/>
                <w:i w:val="0"/>
                <w:sz w:val="19"/>
              </w:rPr>
              <w:t>Activate if client legal team requires UAE data storage Additional approval step before activation</w:t>
            </w:r>
          </w:p>
        </w:tc>
      </w:tr>
      <w:tr>
        <w:tc>
          <w:tcPr>
            <w:tcW w:type="dxa" w:w="2412"/>
          </w:tcPr>
          <w:p>
            <w:pPr>
              <w:spacing w:after="20" w:before="20"/>
            </w:pPr>
            <w:r/>
            <w:r>
              <w:rPr>
                <w:b w:val="0"/>
                <w:i w:val="0"/>
                <w:sz w:val="19"/>
              </w:rPr>
              <w:t>Option C Self-Hosted LLM</w:t>
            </w:r>
          </w:p>
        </w:tc>
        <w:tc>
          <w:tcPr>
            <w:tcW w:type="dxa" w:w="2412"/>
          </w:tcPr>
          <w:p>
            <w:pPr>
              <w:spacing w:after="20" w:before="20"/>
            </w:pPr>
            <w:r/>
            <w:r>
              <w:rPr>
                <w:b w:val="0"/>
                <w:i w:val="0"/>
                <w:sz w:val="19"/>
              </w:rPr>
              <w:t>Open-source LLM (e.g. Llama 3, Mistral) deployed on UAE infrastructure Client provisions GPU servers Softlabs Group delivers deployment config and integration wiring</w:t>
            </w:r>
          </w:p>
        </w:tc>
        <w:tc>
          <w:tcPr>
            <w:tcW w:type="dxa" w:w="2412"/>
          </w:tcPr>
          <w:p>
            <w:pPr>
              <w:spacing w:after="20" w:before="20"/>
            </w:pPr>
            <w:r/>
            <w:r>
              <w:rPr>
                <w:b w:val="0"/>
                <w:i w:val="0"/>
                <w:sz w:val="19"/>
              </w:rPr>
              <w:t>Fully sovereign No data leaves UAE at any stage Inference entirely within client’s UAE infrastructure</w:t>
            </w:r>
          </w:p>
        </w:tc>
        <w:tc>
          <w:tcPr>
            <w:tcW w:type="dxa" w:w="2412"/>
          </w:tcPr>
          <w:p>
            <w:pPr>
              <w:spacing w:after="20" w:before="20"/>
            </w:pPr>
            <w:r/>
            <w:r>
              <w:rPr>
                <w:b w:val="0"/>
                <w:i w:val="0"/>
                <w:sz w:val="19"/>
              </w:rPr>
              <w:t>Select if strict UAE-only policy required Client responsibility: GPU hardware procurement and operation Future engagement scope — not in current phases</w:t>
            </w:r>
          </w:p>
        </w:tc>
      </w:tr>
    </w:tbl>
    <w:p>
      <w:pPr>
        <w:spacing w:after="40"/>
      </w:pPr>
    </w:p>
    <w:tbl>
      <w:tblPr>
        <w:tblStyle w:val="TableGrid"/>
        <w:tblW w:type="auto" w:w="0"/>
        <w:jc w:val="center"/>
        <w:tblLook w:firstColumn="1" w:firstRow="1" w:lastColumn="0" w:lastRow="0" w:noHBand="0" w:noVBand="1" w:val="04A0"/>
      </w:tblPr>
      <w:tblGrid>
        <w:gridCol w:w="9648"/>
      </w:tblGrid>
      <w:tr>
        <w:tc>
          <w:tcPr>
            <w:tcW w:type="dxa" w:w="9648"/>
            <w:shd w:val="clear" w:fill="1F3864"/>
          </w:tcPr>
          <w:p>
            <w:pPr>
              <w:spacing w:after="20" w:before="20"/>
            </w:pPr>
            <w:r/>
            <w:r>
              <w:rPr>
                <w:b/>
                <w:i w:val="0"/>
                <w:color w:val="FFFFFF"/>
                <w:sz w:val="19"/>
              </w:rPr>
              <w:t>Working assumption: Option A — pending client confirmation at kickoff</w:t>
            </w:r>
            <w:r>
              <w:rPr>
                <w:b/>
                <w:i w:val="0"/>
                <w:color w:val="FFFFFF"/>
                <w:sz w:val="19"/>
              </w:rPr>
              <w:t xml:space="preserve"> All Phase 1 planning, architecture, and commercial costing is based on Option A. If the client selects Option B or C, the AI architecture does not change. Option B requires an additional OpenAI enterprise approval step which Softlabs Group will facilitate. Option C requires the client to provision GPU infrastructure; Softlabs Group delivers the model serving configuration, deployment scripts, and integration wiring as part of that future engagement.</w:t>
            </w:r>
          </w:p>
        </w:tc>
      </w:tr>
    </w:tbl>
    <w:p>
      <w:pPr>
        <w:spacing w:after="40"/>
      </w:pPr>
    </w:p>
    <w:p>
      <w:pPr>
        <w:pStyle w:val="Heading3"/>
        <w:spacing w:before="160" w:after="60"/>
      </w:pPr>
      <w:r>
        <w:rPr>
          <w:b/>
          <w:color w:val="2E75B6"/>
          <w:sz w:val="23"/>
        </w:rPr>
        <w:t>What Goes to the LLM — Full Inventory</w:t>
      </w:r>
    </w:p>
    <w:p>
      <w:pPr>
        <w:spacing w:after="120" w:line="259" w:lineRule="auto"/>
      </w:pPr>
      <w:r>
        <w:rPr>
          <w:b w:val="0"/>
          <w:i w:val="0"/>
        </w:rPr>
        <w:t>The following is the complete inventory of what flows from the platform to the LLM in each use case. This matters for the UAE compliance assessment regardless of which option is selected.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1F3864"/>
          </w:tcPr>
          <w:p>
            <w:pPr>
              <w:spacing w:after="20" w:before="20"/>
            </w:pPr>
            <w:r/>
            <w:r>
              <w:rPr>
                <w:b/>
                <w:i w:val="0"/>
                <w:color w:val="FFFFFF"/>
                <w:sz w:val="19"/>
              </w:rPr>
              <w:t>Data Type</w:t>
            </w:r>
          </w:p>
        </w:tc>
        <w:tc>
          <w:tcPr>
            <w:tcW w:type="dxa" w:w="2412"/>
            <w:shd w:val="clear" w:fill="1F3864"/>
          </w:tcPr>
          <w:p>
            <w:pPr>
              <w:spacing w:after="20" w:before="20"/>
            </w:pPr>
            <w:r/>
            <w:r>
              <w:rPr>
                <w:b/>
                <w:i w:val="0"/>
                <w:color w:val="FFFFFF"/>
                <w:sz w:val="19"/>
              </w:rPr>
              <w:t>Use Case</w:t>
            </w:r>
          </w:p>
        </w:tc>
        <w:tc>
          <w:tcPr>
            <w:tcW w:type="dxa" w:w="2412"/>
            <w:shd w:val="clear" w:fill="1F3864"/>
          </w:tcPr>
          <w:p>
            <w:pPr>
              <w:spacing w:after="20" w:before="20"/>
            </w:pPr>
            <w:r/>
            <w:r>
              <w:rPr>
                <w:b/>
                <w:i w:val="0"/>
                <w:color w:val="FFFFFF"/>
                <w:sz w:val="19"/>
              </w:rPr>
              <w:t>Nature</w:t>
            </w:r>
          </w:p>
        </w:tc>
        <w:tc>
          <w:tcPr>
            <w:tcW w:type="dxa" w:w="2412"/>
            <w:shd w:val="clear" w:fill="1F3864"/>
          </w:tcPr>
          <w:p>
            <w:pPr>
              <w:spacing w:after="20" w:before="20"/>
            </w:pPr>
            <w:r/>
            <w:r>
              <w:rPr>
                <w:b/>
                <w:i w:val="0"/>
                <w:color w:val="FFFFFF"/>
                <w:sz w:val="19"/>
              </w:rPr>
              <w:t>Transmitted to LLM?</w:t>
            </w:r>
          </w:p>
        </w:tc>
      </w:tr>
      <w:tr>
        <w:tc>
          <w:tcPr>
            <w:tcW w:type="dxa" w:w="2412"/>
          </w:tcPr>
          <w:p>
            <w:pPr>
              <w:spacing w:after="20" w:before="20"/>
            </w:pPr>
            <w:r/>
            <w:r>
              <w:rPr>
                <w:b w:val="0"/>
                <w:i w:val="0"/>
                <w:sz w:val="19"/>
              </w:rPr>
              <w:t>Admin-typed instruction text</w:t>
            </w:r>
          </w:p>
        </w:tc>
        <w:tc>
          <w:tcPr>
            <w:tcW w:type="dxa" w:w="2412"/>
          </w:tcPr>
          <w:p>
            <w:pPr>
              <w:spacing w:after="20" w:before="20"/>
            </w:pPr>
            <w:r/>
            <w:r>
              <w:rPr>
                <w:b w:val="0"/>
                <w:i w:val="0"/>
                <w:sz w:val="19"/>
              </w:rPr>
              <w:t>Config Assistant</w:t>
            </w:r>
          </w:p>
        </w:tc>
        <w:tc>
          <w:tcPr>
            <w:tcW w:type="dxa" w:w="2412"/>
          </w:tcPr>
          <w:p>
            <w:pPr>
              <w:spacing w:after="20" w:before="20"/>
            </w:pPr>
            <w:r/>
            <w:r>
              <w:rPr>
                <w:b w:val="0"/>
                <w:i w:val="0"/>
                <w:sz w:val="19"/>
              </w:rPr>
              <w:t>What the admin writes. May contain product names and configuration values. No guest personal data.</w:t>
            </w:r>
          </w:p>
        </w:tc>
        <w:tc>
          <w:tcPr>
            <w:tcW w:type="dxa" w:w="2412"/>
          </w:tcPr>
          <w:p>
            <w:pPr>
              <w:spacing w:after="20" w:before="20"/>
            </w:pPr>
            <w:r/>
            <w:r>
              <w:rPr>
                <w:b w:val="0"/>
                <w:i w:val="0"/>
                <w:sz w:val="19"/>
              </w:rPr>
              <w:t>Always sent</w:t>
            </w:r>
          </w:p>
        </w:tc>
      </w:tr>
      <w:tr>
        <w:tc>
          <w:tcPr>
            <w:tcW w:type="dxa" w:w="2412"/>
            <w:shd w:val="clear" w:fill="EEF3F8"/>
          </w:tcPr>
          <w:p>
            <w:pPr>
              <w:spacing w:after="20" w:before="20"/>
            </w:pPr>
            <w:r/>
            <w:r>
              <w:rPr>
                <w:b w:val="0"/>
                <w:i w:val="0"/>
                <w:sz w:val="19"/>
              </w:rPr>
              <w:t>Config schema context</w:t>
            </w:r>
          </w:p>
        </w:tc>
        <w:tc>
          <w:tcPr>
            <w:tcW w:type="dxa" w:w="2412"/>
            <w:shd w:val="clear" w:fill="EEF3F8"/>
          </w:tcPr>
          <w:p>
            <w:pPr>
              <w:spacing w:after="20" w:before="20"/>
            </w:pPr>
            <w:r/>
            <w:r>
              <w:rPr>
                <w:b w:val="0"/>
                <w:i w:val="0"/>
                <w:sz w:val="19"/>
              </w:rPr>
              <w:t>Config Assistant</w:t>
            </w:r>
          </w:p>
        </w:tc>
        <w:tc>
          <w:tcPr>
            <w:tcW w:type="dxa" w:w="2412"/>
            <w:shd w:val="clear" w:fill="EEF3F8"/>
          </w:tcPr>
          <w:p>
            <w:pPr>
              <w:spacing w:after="20" w:before="20"/>
            </w:pPr>
            <w:r/>
            <w:r>
              <w:rPr>
                <w:b w:val="0"/>
                <w:i w:val="0"/>
                <w:sz w:val="19"/>
              </w:rPr>
              <w:t>Product types available, pricing rule field structure, promotion parameters. Structural metadata — no guest data.</w:t>
            </w:r>
          </w:p>
        </w:tc>
        <w:tc>
          <w:tcPr>
            <w:tcW w:type="dxa" w:w="2412"/>
            <w:shd w:val="clear" w:fill="EEF3F8"/>
          </w:tcPr>
          <w:p>
            <w:pPr>
              <w:spacing w:after="20" w:before="20"/>
            </w:pPr>
            <w:r/>
            <w:r>
              <w:rPr>
                <w:b w:val="0"/>
                <w:i w:val="0"/>
                <w:sz w:val="19"/>
              </w:rPr>
              <w:t>Always sent</w:t>
            </w:r>
          </w:p>
        </w:tc>
      </w:tr>
      <w:tr>
        <w:tc>
          <w:tcPr>
            <w:tcW w:type="dxa" w:w="2412"/>
          </w:tcPr>
          <w:p>
            <w:pPr>
              <w:spacing w:after="20" w:before="20"/>
            </w:pPr>
            <w:r/>
            <w:r>
              <w:rPr>
                <w:b w:val="0"/>
                <w:i w:val="0"/>
                <w:sz w:val="19"/>
              </w:rPr>
              <w:t>Aggregated analytics results</w:t>
            </w:r>
          </w:p>
        </w:tc>
        <w:tc>
          <w:tcPr>
            <w:tcW w:type="dxa" w:w="2412"/>
          </w:tcPr>
          <w:p>
            <w:pPr>
              <w:spacing w:after="20" w:before="20"/>
            </w:pPr>
            <w:r/>
            <w:r>
              <w:rPr>
                <w:b w:val="0"/>
                <w:i w:val="0"/>
                <w:sz w:val="19"/>
              </w:rPr>
              <w:t>Reporting Assistant</w:t>
            </w:r>
          </w:p>
        </w:tc>
        <w:tc>
          <w:tcPr>
            <w:tcW w:type="dxa" w:w="2412"/>
          </w:tcPr>
          <w:p>
            <w:pPr>
              <w:spacing w:after="20" w:before="20"/>
            </w:pPr>
            <w:r/>
            <w:r>
              <w:rPr>
                <w:b w:val="0"/>
                <w:i w:val="0"/>
                <w:sz w:val="19"/>
              </w:rPr>
              <w:t>Revenue totals, ticket counts, attendance figures — statistical aggregates with no individual guest linked.</w:t>
            </w:r>
          </w:p>
        </w:tc>
        <w:tc>
          <w:tcPr>
            <w:tcW w:type="dxa" w:w="2412"/>
          </w:tcPr>
          <w:p>
            <w:pPr>
              <w:spacing w:after="20" w:before="20"/>
            </w:pPr>
            <w:r/>
            <w:r>
              <w:rPr>
                <w:b w:val="0"/>
                <w:i w:val="0"/>
                <w:sz w:val="19"/>
              </w:rPr>
              <w:t>Always sent (aggregated only)</w:t>
            </w:r>
          </w:p>
        </w:tc>
      </w:tr>
      <w:tr>
        <w:tc>
          <w:tcPr>
            <w:tcW w:type="dxa" w:w="2412"/>
            <w:shd w:val="clear" w:fill="EEF3F8"/>
          </w:tcPr>
          <w:p>
            <w:pPr>
              <w:spacing w:after="20" w:before="20"/>
            </w:pPr>
            <w:r/>
            <w:r>
              <w:rPr>
                <w:b w:val="0"/>
                <w:i w:val="0"/>
                <w:sz w:val="19"/>
              </w:rPr>
              <w:t>Policy and FAQ document chunks</w:t>
            </w:r>
          </w:p>
        </w:tc>
        <w:tc>
          <w:tcPr>
            <w:tcW w:type="dxa" w:w="2412"/>
            <w:shd w:val="clear" w:fill="EEF3F8"/>
          </w:tcPr>
          <w:p>
            <w:pPr>
              <w:spacing w:after="20" w:before="20"/>
            </w:pPr>
            <w:r/>
            <w:r>
              <w:rPr>
                <w:b w:val="0"/>
                <w:i w:val="0"/>
                <w:sz w:val="19"/>
              </w:rPr>
              <w:t>Reporting + Support</w:t>
            </w:r>
          </w:p>
        </w:tc>
        <w:tc>
          <w:tcPr>
            <w:tcW w:type="dxa" w:w="2412"/>
            <w:shd w:val="clear" w:fill="EEF3F8"/>
          </w:tcPr>
          <w:p>
            <w:pPr>
              <w:spacing w:after="20" w:before="20"/>
            </w:pPr>
            <w:r/>
            <w:r>
              <w:rPr>
                <w:b w:val="0"/>
                <w:i w:val="0"/>
                <w:sz w:val="19"/>
              </w:rPr>
              <w:t>Venue policy text, FAQs, operating procedures. Venue documents — no guest personal data.</w:t>
            </w:r>
          </w:p>
        </w:tc>
        <w:tc>
          <w:tcPr>
            <w:tcW w:type="dxa" w:w="2412"/>
            <w:shd w:val="clear" w:fill="EEF3F8"/>
          </w:tcPr>
          <w:p>
            <w:pPr>
              <w:spacing w:after="20" w:before="20"/>
            </w:pPr>
            <w:r/>
            <w:r>
              <w:rPr>
                <w:b w:val="0"/>
                <w:i w:val="0"/>
                <w:sz w:val="19"/>
              </w:rPr>
              <w:t>Always sent</w:t>
            </w:r>
          </w:p>
        </w:tc>
      </w:tr>
      <w:tr>
        <w:tc>
          <w:tcPr>
            <w:tcW w:type="dxa" w:w="2412"/>
          </w:tcPr>
          <w:p>
            <w:pPr>
              <w:spacing w:after="20" w:before="20"/>
            </w:pPr>
            <w:r/>
            <w:r>
              <w:rPr>
                <w:b w:val="0"/>
                <w:i w:val="0"/>
                <w:sz w:val="19"/>
              </w:rPr>
              <w:t>Guest-typed message</w:t>
            </w:r>
          </w:p>
        </w:tc>
        <w:tc>
          <w:tcPr>
            <w:tcW w:type="dxa" w:w="2412"/>
          </w:tcPr>
          <w:p>
            <w:pPr>
              <w:spacing w:after="20" w:before="20"/>
            </w:pPr>
            <w:r/>
            <w:r>
              <w:rPr>
                <w:b w:val="0"/>
                <w:i w:val="0"/>
                <w:sz w:val="19"/>
              </w:rPr>
              <w:t>Support chatbot</w:t>
            </w:r>
          </w:p>
        </w:tc>
        <w:tc>
          <w:tcPr>
            <w:tcW w:type="dxa" w:w="2412"/>
          </w:tcPr>
          <w:p>
            <w:pPr>
              <w:spacing w:after="20" w:before="20"/>
            </w:pPr>
            <w:r/>
            <w:r>
              <w:rPr>
                <w:b w:val="0"/>
                <w:i w:val="0"/>
                <w:sz w:val="19"/>
              </w:rPr>
              <w:t>What the guest writes in the chat. May contain self-disclosed information (their own name). Cannot be masked — the platform did not generate it.</w:t>
            </w:r>
          </w:p>
        </w:tc>
        <w:tc>
          <w:tcPr>
            <w:tcW w:type="dxa" w:w="2412"/>
          </w:tcPr>
          <w:p>
            <w:pPr>
              <w:spacing w:after="20" w:before="20"/>
            </w:pPr>
            <w:r/>
            <w:r>
              <w:rPr>
                <w:b w:val="0"/>
                <w:i w:val="0"/>
                <w:sz w:val="19"/>
              </w:rPr>
              <w:t>Sent — cannot control content</w:t>
            </w:r>
          </w:p>
        </w:tc>
      </w:tr>
      <w:tr>
        <w:tc>
          <w:tcPr>
            <w:tcW w:type="dxa" w:w="2412"/>
            <w:shd w:val="clear" w:fill="EEF3F8"/>
          </w:tcPr>
          <w:p>
            <w:pPr>
              <w:spacing w:after="20" w:before="20"/>
            </w:pPr>
            <w:r/>
            <w:r>
              <w:rPr>
                <w:b w:val="0"/>
                <w:i w:val="0"/>
                <w:sz w:val="19"/>
              </w:rPr>
              <w:t>Booking status result</w:t>
            </w:r>
          </w:p>
        </w:tc>
        <w:tc>
          <w:tcPr>
            <w:tcW w:type="dxa" w:w="2412"/>
            <w:shd w:val="clear" w:fill="EEF3F8"/>
          </w:tcPr>
          <w:p>
            <w:pPr>
              <w:spacing w:after="20" w:before="20"/>
            </w:pPr>
            <w:r/>
            <w:r>
              <w:rPr>
                <w:b w:val="0"/>
                <w:i w:val="0"/>
                <w:sz w:val="19"/>
              </w:rPr>
              <w:t>Support chatbot</w:t>
            </w:r>
          </w:p>
        </w:tc>
        <w:tc>
          <w:tcPr>
            <w:tcW w:type="dxa" w:w="2412"/>
            <w:shd w:val="clear" w:fill="EEF3F8"/>
          </w:tcPr>
          <w:p>
            <w:pPr>
              <w:spacing w:after="20" w:before="20"/>
            </w:pPr>
            <w:r/>
            <w:r>
              <w:rPr>
                <w:b w:val="0"/>
                <w:i w:val="0"/>
                <w:sz w:val="19"/>
              </w:rPr>
              <w:t>Status, date, ticket count — personal identifiers stripped before LLM sees result.</w:t>
            </w:r>
          </w:p>
        </w:tc>
        <w:tc>
          <w:tcPr>
            <w:tcW w:type="dxa" w:w="2412"/>
            <w:shd w:val="clear" w:fill="EEF3F8"/>
          </w:tcPr>
          <w:p>
            <w:pPr>
              <w:spacing w:after="20" w:before="20"/>
            </w:pPr>
            <w:r/>
            <w:r>
              <w:rPr>
                <w:b w:val="0"/>
                <w:i w:val="0"/>
                <w:sz w:val="19"/>
              </w:rPr>
              <w:t>Sent with PII stripped</w:t>
            </w:r>
          </w:p>
        </w:tc>
      </w:tr>
      <w:tr>
        <w:tc>
          <w:tcPr>
            <w:tcW w:type="dxa" w:w="2412"/>
          </w:tcPr>
          <w:p>
            <w:pPr>
              <w:spacing w:after="20" w:before="20"/>
            </w:pPr>
            <w:r/>
            <w:r>
              <w:rPr>
                <w:b w:val="0"/>
                <w:i w:val="0"/>
                <w:sz w:val="19"/>
              </w:rPr>
              <w:t>Guest names and email addresses</w:t>
            </w:r>
          </w:p>
        </w:tc>
        <w:tc>
          <w:tcPr>
            <w:tcW w:type="dxa" w:w="2412"/>
          </w:tcPr>
          <w:p>
            <w:pPr>
              <w:spacing w:after="20" w:before="20"/>
            </w:pPr>
            <w:r/>
            <w:r>
              <w:rPr>
                <w:b w:val="0"/>
                <w:i w:val="0"/>
                <w:sz w:val="19"/>
              </w:rPr>
              <w:t>All</w:t>
            </w:r>
          </w:p>
        </w:tc>
        <w:tc>
          <w:tcPr>
            <w:tcW w:type="dxa" w:w="2412"/>
          </w:tcPr>
          <w:p>
            <w:pPr>
              <w:spacing w:after="20" w:before="20"/>
            </w:pPr>
            <w:r/>
            <w:r>
              <w:rPr>
                <w:b w:val="0"/>
                <w:i w:val="0"/>
                <w:sz w:val="19"/>
              </w:rPr>
              <w:t>Personal identifiers under PDPL Article 1.</w:t>
            </w:r>
          </w:p>
        </w:tc>
        <w:tc>
          <w:tcPr>
            <w:tcW w:type="dxa" w:w="2412"/>
          </w:tcPr>
          <w:p>
            <w:pPr>
              <w:spacing w:after="20" w:before="20"/>
            </w:pPr>
            <w:r/>
            <w:r>
              <w:rPr>
                <w:b w:val="0"/>
                <w:i w:val="0"/>
                <w:sz w:val="19"/>
              </w:rPr>
              <w:t>Never sent — masked in code</w:t>
            </w:r>
          </w:p>
        </w:tc>
      </w:tr>
      <w:tr>
        <w:tc>
          <w:tcPr>
            <w:tcW w:type="dxa" w:w="2412"/>
            <w:shd w:val="clear" w:fill="EEF3F8"/>
          </w:tcPr>
          <w:p>
            <w:pPr>
              <w:spacing w:after="20" w:before="20"/>
            </w:pPr>
            <w:r/>
            <w:r>
              <w:rPr>
                <w:b w:val="0"/>
                <w:i w:val="0"/>
                <w:sz w:val="19"/>
              </w:rPr>
              <w:t>Payment data or card tokens</w:t>
            </w:r>
          </w:p>
        </w:tc>
        <w:tc>
          <w:tcPr>
            <w:tcW w:type="dxa" w:w="2412"/>
            <w:shd w:val="clear" w:fill="EEF3F8"/>
          </w:tcPr>
          <w:p>
            <w:pPr>
              <w:spacing w:after="20" w:before="20"/>
            </w:pPr>
            <w:r/>
            <w:r>
              <w:rPr>
                <w:b w:val="0"/>
                <w:i w:val="0"/>
                <w:sz w:val="19"/>
              </w:rPr>
              <w:t>All</w:t>
            </w:r>
          </w:p>
        </w:tc>
        <w:tc>
          <w:tcPr>
            <w:tcW w:type="dxa" w:w="2412"/>
            <w:shd w:val="clear" w:fill="EEF3F8"/>
          </w:tcPr>
          <w:p>
            <w:pPr>
              <w:spacing w:after="20" w:before="20"/>
            </w:pPr>
            <w:r/>
            <w:r>
              <w:rPr>
                <w:b w:val="0"/>
                <w:i w:val="0"/>
                <w:sz w:val="19"/>
              </w:rPr>
              <w:t>Financial data — UAE Central Bank localisation rule.</w:t>
            </w:r>
          </w:p>
        </w:tc>
        <w:tc>
          <w:tcPr>
            <w:tcW w:type="dxa" w:w="2412"/>
            <w:shd w:val="clear" w:fill="EEF3F8"/>
          </w:tcPr>
          <w:p>
            <w:pPr>
              <w:spacing w:after="20" w:before="20"/>
            </w:pPr>
            <w:r/>
            <w:r>
              <w:rPr>
                <w:b w:val="0"/>
                <w:i w:val="0"/>
                <w:sz w:val="19"/>
              </w:rPr>
              <w:t>Never sent — Stripe handles entirely</w:t>
            </w:r>
          </w:p>
        </w:tc>
      </w:tr>
      <w:tr>
        <w:tc>
          <w:tcPr>
            <w:tcW w:type="dxa" w:w="2412"/>
          </w:tcPr>
          <w:p>
            <w:pPr>
              <w:spacing w:after="20" w:before="20"/>
            </w:pPr>
            <w:r/>
            <w:r>
              <w:rPr>
                <w:b w:val="0"/>
                <w:i w:val="0"/>
                <w:sz w:val="19"/>
              </w:rPr>
              <w:t>Raw booking records linked to named guest</w:t>
            </w:r>
          </w:p>
        </w:tc>
        <w:tc>
          <w:tcPr>
            <w:tcW w:type="dxa" w:w="2412"/>
          </w:tcPr>
          <w:p>
            <w:pPr>
              <w:spacing w:after="20" w:before="20"/>
            </w:pPr>
            <w:r/>
            <w:r>
              <w:rPr>
                <w:b w:val="0"/>
                <w:i w:val="0"/>
                <w:sz w:val="19"/>
              </w:rPr>
              <w:t>All</w:t>
            </w:r>
          </w:p>
        </w:tc>
        <w:tc>
          <w:tcPr>
            <w:tcW w:type="dxa" w:w="2412"/>
          </w:tcPr>
          <w:p>
            <w:pPr>
              <w:spacing w:after="20" w:before="20"/>
            </w:pPr>
            <w:r/>
            <w:r>
              <w:rPr>
                <w:b w:val="0"/>
                <w:i w:val="0"/>
                <w:sz w:val="19"/>
              </w:rPr>
              <w:t>Personal data linking transaction to identity.</w:t>
            </w:r>
          </w:p>
        </w:tc>
        <w:tc>
          <w:tcPr>
            <w:tcW w:type="dxa" w:w="2412"/>
          </w:tcPr>
          <w:p>
            <w:pPr>
              <w:spacing w:after="20" w:before="20"/>
            </w:pPr>
            <w:r/>
            <w:r>
              <w:rPr>
                <w:b w:val="0"/>
                <w:i w:val="0"/>
                <w:sz w:val="19"/>
              </w:rPr>
              <w:t>Never sent — masked in code</w:t>
            </w:r>
          </w:p>
        </w:tc>
      </w:tr>
    </w:tbl>
    <w:p>
      <w:pPr>
        <w:spacing w:after="40"/>
      </w:pPr>
    </w:p>
    <w:p>
      <w:pPr>
        <w:spacing w:after="120" w:line="259" w:lineRule="auto"/>
      </w:pPr>
      <w:r>
        <w:rPr>
          <w:b w:val="0"/>
          <w:i w:val="0"/>
        </w:rPr>
        <w:t>The guest-typed message in the support chatbot is the one category the platform cannot control. If a guest writes “Hi I am Ahmed and my booking is wrong”, that name is in the conversation. Under Option A or B, this is acknowledged as a residual data exposure. Under Option C (self-hosted), this concern is fully resolved as no data leaves UAE infrastructure.</w:t>
      </w:r>
    </w:p>
    <w:p>
      <w:pPr>
        <w:pStyle w:val="Heading2"/>
        <w:spacing w:before="200" w:after="80"/>
      </w:pPr>
      <w:r>
        <w:rPr>
          <w:b/>
          <w:color w:val="2E75B6"/>
          <w:sz w:val="28"/>
        </w:rPr>
        <w:t>5.8 AI Configuration Assistant</w:t>
      </w:r>
    </w:p>
    <w:p>
      <w:pPr>
        <w:spacing w:after="120" w:line="259" w:lineRule="auto"/>
      </w:pPr>
      <w:r>
        <w:rPr>
          <w:i/>
          <w:color w:val="555555"/>
        </w:rPr>
        <w:t>AI Configuration Assistant — Capability Overview</w:t>
      </w:r>
    </w:p>
    <w:p>
      <w:pPr>
        <w:spacing w:after="120" w:line="259" w:lineRule="auto"/>
      </w:pPr>
      <w:r>
        <w:rPr>
          <w:b w:val="0"/>
          <w:i w:val="0"/>
        </w:rPr>
        <w:t>The Configuration Assistant replaces form-filling and menu navigation with natural language for venue administrators. A manager types “Create a family bundle with 2 adults and 2 children at a 15% discount, valid on weekends and UAE public holidays, limited to 200 redemptions per month” and the assistant interprets the instruction, maps it to platform entities, shows a structured preview for approval, and executes only after the manager confirms.</w:t>
      </w:r>
    </w:p>
    <w:p>
      <w:pPr>
        <w:spacing w:after="120" w:line="259" w:lineRule="auto"/>
      </w:pPr>
      <w:r>
        <w:rPr>
          <w:b w:val="0"/>
          <w:i w:val="0"/>
        </w:rPr>
        <w:t>Structured output is enforced through function calling — the model always returns validated JSON mapped directly to a platform API call, never free-form text requiring parsing. Every configuration change made via the assistant goes through the same approval workflow and audit trail as an equivalent manual change. The assistant respects the authenticated admin’s RBAC permissions and cannot perform actions the admin themselves could not perform through the standard interface.</w:t>
      </w:r>
    </w:p>
    <w:p>
      <w:pPr>
        <w:spacing w:after="80"/>
      </w:pPr>
      <w:r>
        <w:rPr>
          <w:i/>
          <w:color w:val="555555"/>
          <w:sz w:val="18"/>
        </w:rPr>
        <w:t>Figure 5.4 — Config Assistant: Six-Step Flow from Natural Language to Audited Platform Config</w:t>
      </w:r>
    </w:p>
    <w:p>
      <w:pPr>
        <w:pStyle w:val="Heading2"/>
        <w:spacing w:before="200" w:after="80"/>
      </w:pPr>
      <w:r>
        <w:rPr>
          <w:b/>
          <w:color w:val="2E75B6"/>
          <w:sz w:val="28"/>
        </w:rPr>
        <w:t>5.9 AI Reporting Assistant</w:t>
      </w:r>
    </w:p>
    <w:p>
      <w:pPr>
        <w:spacing w:after="120" w:line="259" w:lineRule="auto"/>
      </w:pPr>
      <w:r>
        <w:rPr>
          <w:i/>
          <w:color w:val="555555"/>
        </w:rPr>
        <w:t>AI Reporting Assistant — Capability Overview</w:t>
      </w:r>
    </w:p>
    <w:p>
      <w:pPr>
        <w:spacing w:after="120" w:line="259" w:lineRule="auto"/>
      </w:pPr>
      <w:r>
        <w:rPr>
          <w:b w:val="0"/>
          <w:i w:val="0"/>
        </w:rPr>
        <w:t>The Reporting Assistant gives every venue manager the ability to interrogate operational data in natural language — no SQL, no report builder navigation, no waiting for the analytics team. The text-to-SQL pipeline translates questions into validated SQL against the read-only analytics replica. The tenant_id filter is injected at the tool function level in code, not by the LLM — the LLM cannot instruct the tool to remove it.</w:t>
      </w:r>
    </w:p>
    <w:p>
      <w:pPr>
        <w:spacing w:after="120" w:line="259" w:lineRule="auto"/>
      </w:pPr>
      <w:r>
        <w:rPr>
          <w:b w:val="0"/>
          <w:i w:val="0"/>
        </w:rPr>
        <w:t>Results return to the LLM for narrative generation. Charts are suggested based on data shape and rendered client-side. Follow-up questions are handled in the same conversation context. Results are saveable as named reports and schedulable for email delivery. The analytics replica is read-only and isolated from the operational database — a complex analytical query cannot degrade production performance.</w:t>
      </w:r>
    </w:p>
    <w:p>
      <w:pPr>
        <w:spacing w:after="120" w:line="259" w:lineRule="auto"/>
      </w:pPr>
      <w:r>
        <w:rPr>
          <w:b w:val="0"/>
          <w:i w:val="0"/>
        </w:rPr>
        <w:t>The Reporting Assistant surfaces proactive insights without being asked. Where standard dashboards show what is happening, the proactive insight layer identifies what is unusual or actionable: “Ticket sales on Tuesday evenings are 40% below the weekly average — this pattern has been consistent for eight weeks and correlates with a competing venue’s Tuesday promotion.”</w:t>
      </w:r>
    </w:p>
    <w:p>
      <w:pPr>
        <w:spacing w:after="80"/>
      </w:pPr>
      <w:r>
        <w:rPr>
          <w:i/>
          <w:color w:val="555555"/>
          <w:sz w:val="18"/>
        </w:rPr>
        <w:t>Figure 5.5 — Reporting Assistant: NL Question to Validated SQL to Narrative Answer</w:t>
      </w:r>
    </w:p>
    <w:p>
      <w:pPr>
        <w:pStyle w:val="Heading2"/>
        <w:spacing w:before="200" w:after="80"/>
      </w:pPr>
      <w:r>
        <w:rPr>
          <w:b/>
          <w:color w:val="2E75B6"/>
          <w:sz w:val="28"/>
        </w:rPr>
        <w:t>5.10 Phase 1 Data Pipeline — Foundation for Tier 3 ML</w:t>
      </w:r>
    </w:p>
    <w:p>
      <w:pPr>
        <w:spacing w:after="120" w:line="259" w:lineRule="auto"/>
      </w:pPr>
      <w:r>
        <w:rPr>
          <w:i/>
          <w:color w:val="555555"/>
        </w:rPr>
        <w:t>The data pipeline is the most strategically important Phase 1 infrastructure decision. Every Tier 3 ML model requires historical production data to train on, and that data must be collected from the first day of platform operation.</w:t>
      </w:r>
    </w:p>
    <w:p>
      <w:pPr>
        <w:spacing w:after="120" w:line="259" w:lineRule="auto"/>
      </w:pPr>
      <w:r>
        <w:rPr>
          <w:b w:val="0"/>
          <w:i w:val="0"/>
        </w:rPr>
        <w:t>The Kafka event stream already exists as the platform’s inter-service communication backbone. The data pipeline subscribes to that stream and persists every event — enriched, sessionised, and aggregated — into the analytics data warehouse. No separate data collection layer. No additional instrumentation. No performance overhead. The pipeline is passive. Its primary purpose is the BI layer; enabling future ML is a consequence of good architecture, not additional scope.</w:t>
      </w:r>
    </w:p>
    <w:p>
      <w:pPr>
        <w:spacing w:after="80"/>
      </w:pPr>
      <w:r>
        <w:rPr>
          <w:i/>
          <w:color w:val="555555"/>
          <w:sz w:val="18"/>
        </w:rPr>
        <w:t>Figure 5.2 — Data Pipeline: Phase 1 Kafka Infrastructure Enables Future ML Models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864"/>
          </w:tcPr>
          <w:p>
            <w:pPr>
              <w:spacing w:after="20" w:before="20"/>
            </w:pPr>
            <w:r/>
            <w:r>
              <w:rPr>
                <w:b/>
                <w:i w:val="0"/>
                <w:color w:val="FFFFFF"/>
                <w:sz w:val="19"/>
              </w:rPr>
              <w:t>Data Stream</w:t>
            </w:r>
          </w:p>
        </w:tc>
        <w:tc>
          <w:tcPr>
            <w:tcW w:type="dxa" w:w="3216"/>
            <w:shd w:val="clear" w:fill="1F3864"/>
          </w:tcPr>
          <w:p>
            <w:pPr>
              <w:spacing w:after="20" w:before="20"/>
            </w:pPr>
            <w:r/>
            <w:r>
              <w:rPr>
                <w:b/>
                <w:i w:val="0"/>
                <w:color w:val="FFFFFF"/>
                <w:sz w:val="19"/>
              </w:rPr>
              <w:t>Detail Collected</w:t>
            </w:r>
          </w:p>
        </w:tc>
        <w:tc>
          <w:tcPr>
            <w:tcW w:type="dxa" w:w="3216"/>
            <w:shd w:val="clear" w:fill="1F3864"/>
          </w:tcPr>
          <w:p>
            <w:pPr>
              <w:spacing w:after="20" w:before="20"/>
            </w:pPr>
            <w:r/>
            <w:r>
              <w:rPr>
                <w:b/>
                <w:i w:val="0"/>
                <w:color w:val="FFFFFF"/>
                <w:sz w:val="19"/>
              </w:rPr>
              <w:t>Feeds Future ML Model</w:t>
            </w:r>
          </w:p>
        </w:tc>
      </w:tr>
      <w:tr>
        <w:tc>
          <w:tcPr>
            <w:tcW w:type="dxa" w:w="3216"/>
          </w:tcPr>
          <w:p>
            <w:pPr>
              <w:spacing w:after="20" w:before="20"/>
            </w:pPr>
            <w:r/>
            <w:r>
              <w:rPr>
                <w:b w:val="0"/>
                <w:i w:val="0"/>
                <w:sz w:val="19"/>
              </w:rPr>
              <w:t>Ticket sales events</w:t>
            </w:r>
          </w:p>
        </w:tc>
        <w:tc>
          <w:tcPr>
            <w:tcW w:type="dxa" w:w="3216"/>
          </w:tcPr>
          <w:p>
            <w:pPr>
              <w:spacing w:after="20" w:before="20"/>
            </w:pPr>
            <w:r/>
            <w:r>
              <w:rPr>
                <w:b w:val="0"/>
                <w:i w:val="0"/>
                <w:sz w:val="19"/>
              </w:rPr>
              <w:t>Type, channel, price, days in advance, promo applied</w:t>
            </w:r>
          </w:p>
        </w:tc>
        <w:tc>
          <w:tcPr>
            <w:tcW w:type="dxa" w:w="3216"/>
          </w:tcPr>
          <w:p>
            <w:pPr>
              <w:spacing w:after="20" w:before="20"/>
            </w:pPr>
            <w:r/>
            <w:r>
              <w:rPr>
                <w:b w:val="0"/>
                <w:i w:val="0"/>
                <w:sz w:val="19"/>
              </w:rPr>
              <w:t>Demand Forecasting, ML Pricing</w:t>
            </w:r>
          </w:p>
        </w:tc>
      </w:tr>
      <w:tr>
        <w:tc>
          <w:tcPr>
            <w:tcW w:type="dxa" w:w="3216"/>
            <w:shd w:val="clear" w:fill="EEF3F8"/>
          </w:tcPr>
          <w:p>
            <w:pPr>
              <w:spacing w:after="20" w:before="20"/>
            </w:pPr>
            <w:r/>
            <w:r>
              <w:rPr>
                <w:b w:val="0"/>
                <w:i w:val="0"/>
                <w:sz w:val="19"/>
              </w:rPr>
              <w:t>Browsing events</w:t>
            </w:r>
          </w:p>
        </w:tc>
        <w:tc>
          <w:tcPr>
            <w:tcW w:type="dxa" w:w="3216"/>
            <w:shd w:val="clear" w:fill="EEF3F8"/>
          </w:tcPr>
          <w:p>
            <w:pPr>
              <w:spacing w:after="20" w:before="20"/>
            </w:pPr>
            <w:r/>
            <w:r>
              <w:rPr>
                <w:b w:val="0"/>
                <w:i w:val="0"/>
                <w:sz w:val="19"/>
              </w:rPr>
              <w:t>Pages viewed, dwell time, cart additions, abandonments</w:t>
            </w:r>
          </w:p>
        </w:tc>
        <w:tc>
          <w:tcPr>
            <w:tcW w:type="dxa" w:w="3216"/>
            <w:shd w:val="clear" w:fill="EEF3F8"/>
          </w:tcPr>
          <w:p>
            <w:pPr>
              <w:spacing w:after="20" w:before="20"/>
            </w:pPr>
            <w:r/>
            <w:r>
              <w:rPr>
                <w:b w:val="0"/>
                <w:i w:val="0"/>
                <w:sz w:val="19"/>
              </w:rPr>
              <w:t>Recommendation Engine</w:t>
            </w:r>
          </w:p>
        </w:tc>
      </w:tr>
      <w:tr>
        <w:tc>
          <w:tcPr>
            <w:tcW w:type="dxa" w:w="3216"/>
          </w:tcPr>
          <w:p>
            <w:pPr>
              <w:spacing w:after="20" w:before="20"/>
            </w:pPr>
            <w:r/>
            <w:r>
              <w:rPr>
                <w:b w:val="0"/>
                <w:i w:val="0"/>
                <w:sz w:val="19"/>
              </w:rPr>
              <w:t>Capacity utilisation</w:t>
            </w:r>
          </w:p>
        </w:tc>
        <w:tc>
          <w:tcPr>
            <w:tcW w:type="dxa" w:w="3216"/>
          </w:tcPr>
          <w:p>
            <w:pPr>
              <w:spacing w:after="20" w:before="20"/>
            </w:pPr>
            <w:r/>
            <w:r>
              <w:rPr>
                <w:b w:val="0"/>
                <w:i w:val="0"/>
                <w:sz w:val="19"/>
              </w:rPr>
              <w:t>Available vs sold per slot per hour</w:t>
            </w:r>
          </w:p>
        </w:tc>
        <w:tc>
          <w:tcPr>
            <w:tcW w:type="dxa" w:w="3216"/>
          </w:tcPr>
          <w:p>
            <w:pPr>
              <w:spacing w:after="20" w:before="20"/>
            </w:pPr>
            <w:r/>
            <w:r>
              <w:rPr>
                <w:b w:val="0"/>
                <w:i w:val="0"/>
                <w:sz w:val="19"/>
              </w:rPr>
              <w:t>Demand Forecasting, ML Pricing</w:t>
            </w:r>
          </w:p>
        </w:tc>
      </w:tr>
      <w:tr>
        <w:tc>
          <w:tcPr>
            <w:tcW w:type="dxa" w:w="3216"/>
            <w:shd w:val="clear" w:fill="EEF3F8"/>
          </w:tcPr>
          <w:p>
            <w:pPr>
              <w:spacing w:after="20" w:before="20"/>
            </w:pPr>
            <w:r/>
            <w:r>
              <w:rPr>
                <w:b w:val="0"/>
                <w:i w:val="0"/>
                <w:sz w:val="19"/>
              </w:rPr>
              <w:t>Payment outcomes</w:t>
            </w:r>
          </w:p>
        </w:tc>
        <w:tc>
          <w:tcPr>
            <w:tcW w:type="dxa" w:w="3216"/>
            <w:shd w:val="clear" w:fill="EEF3F8"/>
          </w:tcPr>
          <w:p>
            <w:pPr>
              <w:spacing w:after="20" w:before="20"/>
            </w:pPr>
            <w:r/>
            <w:r>
              <w:rPr>
                <w:b w:val="0"/>
                <w:i w:val="0"/>
                <w:sz w:val="19"/>
              </w:rPr>
              <w:t>Success, failure, method, retry count</w:t>
            </w:r>
          </w:p>
        </w:tc>
        <w:tc>
          <w:tcPr>
            <w:tcW w:type="dxa" w:w="3216"/>
            <w:shd w:val="clear" w:fill="EEF3F8"/>
          </w:tcPr>
          <w:p>
            <w:pPr>
              <w:spacing w:after="20" w:before="20"/>
            </w:pPr>
            <w:r/>
            <w:r>
              <w:rPr>
                <w:b w:val="0"/>
                <w:i w:val="0"/>
                <w:sz w:val="19"/>
              </w:rPr>
              <w:t>ML Fraud Detection</w:t>
            </w:r>
          </w:p>
        </w:tc>
      </w:tr>
      <w:tr>
        <w:tc>
          <w:tcPr>
            <w:tcW w:type="dxa" w:w="3216"/>
          </w:tcPr>
          <w:p>
            <w:pPr>
              <w:spacing w:after="20" w:before="20"/>
            </w:pPr>
            <w:r/>
            <w:r>
              <w:rPr>
                <w:b w:val="0"/>
                <w:i w:val="0"/>
                <w:sz w:val="19"/>
              </w:rPr>
              <w:t>Refund and chargeback events</w:t>
            </w:r>
          </w:p>
        </w:tc>
        <w:tc>
          <w:tcPr>
            <w:tcW w:type="dxa" w:w="3216"/>
          </w:tcPr>
          <w:p>
            <w:pPr>
              <w:spacing w:after="20" w:before="20"/>
            </w:pPr>
            <w:r/>
            <w:r>
              <w:rPr>
                <w:b w:val="0"/>
                <w:i w:val="0"/>
                <w:sz w:val="19"/>
              </w:rPr>
              <w:t>Trigger, amount, reason code, resolution time</w:t>
            </w:r>
          </w:p>
        </w:tc>
        <w:tc>
          <w:tcPr>
            <w:tcW w:type="dxa" w:w="3216"/>
          </w:tcPr>
          <w:p>
            <w:pPr>
              <w:spacing w:after="20" w:before="20"/>
            </w:pPr>
            <w:r/>
            <w:r>
              <w:rPr>
                <w:b w:val="0"/>
                <w:i w:val="0"/>
                <w:sz w:val="19"/>
              </w:rPr>
              <w:t>ML Fraud Detection</w:t>
            </w:r>
          </w:p>
        </w:tc>
      </w:tr>
      <w:tr>
        <w:tc>
          <w:tcPr>
            <w:tcW w:type="dxa" w:w="3216"/>
            <w:shd w:val="clear" w:fill="EEF3F8"/>
          </w:tcPr>
          <w:p>
            <w:pPr>
              <w:spacing w:after="20" w:before="20"/>
            </w:pPr>
            <w:r/>
            <w:r>
              <w:rPr>
                <w:b w:val="0"/>
                <w:i w:val="0"/>
                <w:sz w:val="19"/>
              </w:rPr>
              <w:t>Guest purchase sequences</w:t>
            </w:r>
          </w:p>
        </w:tc>
        <w:tc>
          <w:tcPr>
            <w:tcW w:type="dxa" w:w="3216"/>
            <w:shd w:val="clear" w:fill="EEF3F8"/>
          </w:tcPr>
          <w:p>
            <w:pPr>
              <w:spacing w:after="20" w:before="20"/>
            </w:pPr>
            <w:r/>
            <w:r>
              <w:rPr>
                <w:b w:val="0"/>
                <w:i w:val="0"/>
                <w:sz w:val="19"/>
              </w:rPr>
              <w:t>Ordered products per guest per visit</w:t>
            </w:r>
          </w:p>
        </w:tc>
        <w:tc>
          <w:tcPr>
            <w:tcW w:type="dxa" w:w="3216"/>
            <w:shd w:val="clear" w:fill="EEF3F8"/>
          </w:tcPr>
          <w:p>
            <w:pPr>
              <w:spacing w:after="20" w:before="20"/>
            </w:pPr>
            <w:r/>
            <w:r>
              <w:rPr>
                <w:b w:val="0"/>
                <w:i w:val="0"/>
                <w:sz w:val="19"/>
              </w:rPr>
              <w:t>Recommendation Engine</w:t>
            </w:r>
          </w:p>
        </w:tc>
      </w:tr>
      <w:tr>
        <w:tc>
          <w:tcPr>
            <w:tcW w:type="dxa" w:w="3216"/>
          </w:tcPr>
          <w:p>
            <w:pPr>
              <w:spacing w:after="20" w:before="20"/>
            </w:pPr>
            <w:r/>
            <w:r>
              <w:rPr>
                <w:b w:val="0"/>
                <w:i w:val="0"/>
                <w:sz w:val="19"/>
              </w:rPr>
              <w:t>Access control validations</w:t>
            </w:r>
          </w:p>
        </w:tc>
        <w:tc>
          <w:tcPr>
            <w:tcW w:type="dxa" w:w="3216"/>
          </w:tcPr>
          <w:p>
            <w:pPr>
              <w:spacing w:after="20" w:before="20"/>
            </w:pPr>
            <w:r/>
            <w:r>
              <w:rPr>
                <w:b w:val="0"/>
                <w:i w:val="0"/>
                <w:sz w:val="19"/>
              </w:rPr>
              <w:t>Gate, ticket type, valid or invalid flag</w:t>
            </w:r>
          </w:p>
        </w:tc>
        <w:tc>
          <w:tcPr>
            <w:tcW w:type="dxa" w:w="3216"/>
          </w:tcPr>
          <w:p>
            <w:pPr>
              <w:spacing w:after="20" w:before="20"/>
            </w:pPr>
            <w:r/>
            <w:r>
              <w:rPr>
                <w:b w:val="0"/>
                <w:i w:val="0"/>
                <w:sz w:val="19"/>
              </w:rPr>
              <w:t>Demand Forecasting</w:t>
            </w:r>
          </w:p>
        </w:tc>
      </w:tr>
      <w:tr>
        <w:tc>
          <w:tcPr>
            <w:tcW w:type="dxa" w:w="3216"/>
            <w:shd w:val="clear" w:fill="EEF3F8"/>
          </w:tcPr>
          <w:p>
            <w:pPr>
              <w:spacing w:after="20" w:before="20"/>
            </w:pPr>
            <w:r/>
            <w:r>
              <w:rPr>
                <w:b w:val="0"/>
                <w:i w:val="0"/>
                <w:sz w:val="19"/>
              </w:rPr>
              <w:t>Weather conditions</w:t>
            </w:r>
          </w:p>
        </w:tc>
        <w:tc>
          <w:tcPr>
            <w:tcW w:type="dxa" w:w="3216"/>
            <w:shd w:val="clear" w:fill="EEF3F8"/>
          </w:tcPr>
          <w:p>
            <w:pPr>
              <w:spacing w:after="20" w:before="20"/>
            </w:pPr>
            <w:r/>
            <w:r>
              <w:rPr>
                <w:b w:val="0"/>
                <w:i w:val="0"/>
                <w:sz w:val="19"/>
              </w:rPr>
              <w:t>Temperature, precipitation from external API</w:t>
            </w:r>
          </w:p>
        </w:tc>
        <w:tc>
          <w:tcPr>
            <w:tcW w:type="dxa" w:w="3216"/>
            <w:shd w:val="clear" w:fill="EEF3F8"/>
          </w:tcPr>
          <w:p>
            <w:pPr>
              <w:spacing w:after="20" w:before="20"/>
            </w:pPr>
            <w:r/>
            <w:r>
              <w:rPr>
                <w:b w:val="0"/>
                <w:i w:val="0"/>
                <w:sz w:val="19"/>
              </w:rPr>
              <w:t>Demand Forecasting, ML Pricing</w:t>
            </w:r>
          </w:p>
        </w:tc>
      </w:tr>
      <w:tr>
        <w:tc>
          <w:tcPr>
            <w:tcW w:type="dxa" w:w="3216"/>
          </w:tcPr>
          <w:p>
            <w:pPr>
              <w:spacing w:after="20" w:before="20"/>
            </w:pPr>
            <w:r/>
            <w:r>
              <w:rPr>
                <w:b w:val="0"/>
                <w:i w:val="0"/>
                <w:sz w:val="19"/>
              </w:rPr>
              <w:t>Public holidays and events</w:t>
            </w:r>
          </w:p>
        </w:tc>
        <w:tc>
          <w:tcPr>
            <w:tcW w:type="dxa" w:w="3216"/>
          </w:tcPr>
          <w:p>
            <w:pPr>
              <w:spacing w:after="20" w:before="20"/>
            </w:pPr>
            <w:r/>
            <w:r>
              <w:rPr>
                <w:b w:val="0"/>
                <w:i w:val="0"/>
                <w:sz w:val="19"/>
              </w:rPr>
              <w:t>UAE and school calendar</w:t>
            </w:r>
          </w:p>
        </w:tc>
        <w:tc>
          <w:tcPr>
            <w:tcW w:type="dxa" w:w="3216"/>
          </w:tcPr>
          <w:p>
            <w:pPr>
              <w:spacing w:after="20" w:before="20"/>
            </w:pPr>
            <w:r/>
            <w:r>
              <w:rPr>
                <w:b w:val="0"/>
                <w:i w:val="0"/>
                <w:sz w:val="19"/>
              </w:rPr>
              <w:t>Demand Forecasting, ML Pricing</w:t>
            </w:r>
          </w:p>
        </w:tc>
      </w:tr>
    </w:tbl>
    <w:p>
      <w:pPr>
        <w:spacing w:after="40"/>
      </w:pPr>
    </w:p>
    <w:tbl>
      <w:tblPr>
        <w:tblStyle w:val="TableGrid"/>
        <w:tblW w:type="auto" w:w="0"/>
        <w:jc w:val="center"/>
        <w:tblLook w:firstColumn="1" w:firstRow="1" w:lastColumn="0" w:lastRow="0" w:noHBand="0" w:noVBand="1" w:val="04A0"/>
      </w:tblPr>
      <w:tblGrid>
        <w:gridCol w:w="9648"/>
      </w:tblGrid>
      <w:tr>
        <w:tc>
          <w:tcPr>
            <w:tcW w:type="dxa" w:w="9648"/>
            <w:shd w:val="clear" w:fill="1F3864"/>
          </w:tcPr>
          <w:p>
            <w:pPr>
              <w:spacing w:after="20" w:before="20"/>
            </w:pPr>
            <w:r/>
            <w:r>
              <w:rPr>
                <w:b/>
                <w:i w:val="0"/>
                <w:color w:val="FFFFFF"/>
                <w:sz w:val="19"/>
              </w:rPr>
              <w:t>Tier 3 — Recommended Future ML Capabilities</w:t>
            </w:r>
            <w:r>
              <w:rPr>
                <w:b/>
                <w:i w:val="0"/>
                <w:color w:val="FFFFFF"/>
                <w:sz w:val="19"/>
              </w:rPr>
              <w:t xml:space="preserve"> </w:t>
            </w:r>
            <w:r>
              <w:rPr>
                <w:b/>
                <w:i w:val="0"/>
                <w:color w:val="FFFFFF"/>
                <w:sz w:val="19"/>
              </w:rPr>
              <w:t>Fully Sovereign — All Data Stays Within UAE Infrastructure</w:t>
            </w:r>
            <w:r>
              <w:rPr>
                <w:b/>
                <w:i w:val="0"/>
                <w:color w:val="FFFFFF"/>
                <w:sz w:val="19"/>
              </w:rPr>
              <w:t xml:space="preserve"> </w:t>
            </w:r>
            <w:r>
              <w:rPr>
                <w:b/>
                <w:i/>
                <w:color w:val="FFFFFF"/>
                <w:sz w:val="19"/>
              </w:rPr>
              <w:t>Client-commissioned when ready · 6 to 12 months of Phase 1 live data required before training · No data leaves UAE at any stage</w:t>
            </w:r>
          </w:p>
        </w:tc>
      </w:tr>
    </w:tbl>
    <w:p>
      <w:pPr>
        <w:spacing w:after="40"/>
      </w:pPr>
    </w:p>
    <w:p>
      <w:pPr>
        <w:pStyle w:val="Heading2"/>
        <w:spacing w:before="200" w:after="80"/>
      </w:pPr>
      <w:r>
        <w:rPr>
          <w:b/>
          <w:color w:val="2E75B6"/>
          <w:sz w:val="28"/>
        </w:rPr>
        <w:t>5.11 Tier 3 Overview — UAE Policy Position</w:t>
      </w:r>
    </w:p>
    <w:p>
      <w:pPr>
        <w:spacing w:after="120" w:line="259" w:lineRule="auto"/>
      </w:pPr>
      <w:r>
        <w:rPr>
          <w:b w:val="0"/>
          <w:i w:val="0"/>
        </w:rPr>
        <w:t>The four ML capabilities below are listed in the RFP Domain 9. They are presented as recommended future capabilities rather than committed Phase 1 or Phase 2 scope because they require live production data to train on — data that does not yet exist at contract signing.</w:t>
      </w:r>
    </w:p>
    <w:p>
      <w:pPr>
        <w:spacing w:after="120" w:line="259" w:lineRule="auto"/>
      </w:pPr>
      <w:r>
        <w:rPr>
          <w:b w:val="0"/>
          <w:i w:val="0"/>
        </w:rPr>
        <w:t>From a UAE data sovereignty perspective, Tier 3 is the cleanest tier in the entire AI layer. Every model trains on data stored inside the client’s UAE infrastructure, runs inference inside the client’s Kubernetes cluster in UAE, and produces predictions delivered to guests from within UAE. No data leaves the country at any stage. No external AI API is involved. The toolchain is entirely open-source and self-hosted: Python (scikit-learn, XGBoost, PyTorch), FastAPI, ONNX Runtime, and MLflow — all within the client’s control.</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1F3864"/>
          </w:tcPr>
          <w:p>
            <w:pPr>
              <w:spacing w:after="20" w:before="20"/>
            </w:pPr>
            <w:r/>
            <w:r>
              <w:rPr>
                <w:b/>
                <w:i w:val="0"/>
                <w:color w:val="FFFFFF"/>
                <w:sz w:val="19"/>
              </w:rPr>
              <w:t>Capability</w:t>
            </w:r>
          </w:p>
        </w:tc>
        <w:tc>
          <w:tcPr>
            <w:tcW w:type="dxa" w:w="2412"/>
            <w:shd w:val="clear" w:fill="1F3864"/>
          </w:tcPr>
          <w:p>
            <w:pPr>
              <w:spacing w:after="20" w:before="20"/>
            </w:pPr>
            <w:r/>
            <w:r>
              <w:rPr>
                <w:b/>
                <w:i w:val="0"/>
                <w:color w:val="FFFFFF"/>
                <w:sz w:val="19"/>
              </w:rPr>
              <w:t>Earliest Activation</w:t>
            </w:r>
          </w:p>
        </w:tc>
        <w:tc>
          <w:tcPr>
            <w:tcW w:type="dxa" w:w="2412"/>
            <w:shd w:val="clear" w:fill="1F3864"/>
          </w:tcPr>
          <w:p>
            <w:pPr>
              <w:spacing w:after="20" w:before="20"/>
            </w:pPr>
            <w:r/>
            <w:r>
              <w:rPr>
                <w:b/>
                <w:i w:val="0"/>
                <w:color w:val="FFFFFF"/>
                <w:sz w:val="19"/>
              </w:rPr>
              <w:t>What It Does</w:t>
            </w:r>
          </w:p>
        </w:tc>
        <w:tc>
          <w:tcPr>
            <w:tcW w:type="dxa" w:w="2412"/>
            <w:shd w:val="clear" w:fill="1F3864"/>
          </w:tcPr>
          <w:p>
            <w:pPr>
              <w:spacing w:after="20" w:before="20"/>
            </w:pPr>
            <w:r/>
            <w:r>
              <w:rPr>
                <w:b/>
                <w:i w:val="0"/>
                <w:color w:val="FFFFFF"/>
                <w:sz w:val="19"/>
              </w:rPr>
              <w:t>UAE Data Profile</w:t>
            </w:r>
          </w:p>
        </w:tc>
      </w:tr>
      <w:tr>
        <w:tc>
          <w:tcPr>
            <w:tcW w:type="dxa" w:w="2412"/>
          </w:tcPr>
          <w:p>
            <w:pPr>
              <w:spacing w:after="20" w:before="20"/>
            </w:pPr>
            <w:r/>
            <w:r>
              <w:rPr>
                <w:b w:val="0"/>
                <w:i w:val="0"/>
                <w:sz w:val="19"/>
              </w:rPr>
              <w:t>ML Demand Forecasting</w:t>
            </w:r>
          </w:p>
        </w:tc>
        <w:tc>
          <w:tcPr>
            <w:tcW w:type="dxa" w:w="2412"/>
          </w:tcPr>
          <w:p>
            <w:pPr>
              <w:spacing w:after="20" w:before="20"/>
            </w:pPr>
            <w:r/>
            <w:r>
              <w:rPr>
                <w:b w:val="0"/>
                <w:i w:val="0"/>
                <w:sz w:val="19"/>
              </w:rPr>
              <w:t>After 6+ months live data</w:t>
            </w:r>
          </w:p>
        </w:tc>
        <w:tc>
          <w:tcPr>
            <w:tcW w:type="dxa" w:w="2412"/>
          </w:tcPr>
          <w:p>
            <w:pPr>
              <w:spacing w:after="20" w:before="20"/>
            </w:pPr>
            <w:r/>
            <w:r>
              <w:rPr>
                <w:b w:val="0"/>
                <w:i w:val="0"/>
                <w:sz w:val="19"/>
              </w:rPr>
              <w:t>Time-series model per venue; 90-day rolling forecast with confidence intervals; feeds Dynamic Pricing and Operations Command Center</w:t>
            </w:r>
          </w:p>
        </w:tc>
        <w:tc>
          <w:tcPr>
            <w:tcW w:type="dxa" w:w="2412"/>
          </w:tcPr>
          <w:p>
            <w:pPr>
              <w:spacing w:after="20" w:before="20"/>
            </w:pPr>
            <w:r/>
            <w:r>
              <w:rPr>
                <w:b w:val="0"/>
                <w:i w:val="0"/>
                <w:sz w:val="19"/>
              </w:rPr>
              <w:t>All data in UAE — trains on the PostgreSQL analytics replica; serves from FastAPI within Kubernetes cluster</w:t>
            </w:r>
          </w:p>
        </w:tc>
      </w:tr>
      <w:tr>
        <w:tc>
          <w:tcPr>
            <w:tcW w:type="dxa" w:w="2412"/>
            <w:shd w:val="clear" w:fill="EEF3F8"/>
          </w:tcPr>
          <w:p>
            <w:pPr>
              <w:spacing w:after="20" w:before="20"/>
            </w:pPr>
            <w:r/>
            <w:r>
              <w:rPr>
                <w:b w:val="0"/>
                <w:i w:val="0"/>
                <w:sz w:val="19"/>
              </w:rPr>
              <w:t>ML Recommendation Engine</w:t>
            </w:r>
          </w:p>
        </w:tc>
        <w:tc>
          <w:tcPr>
            <w:tcW w:type="dxa" w:w="2412"/>
            <w:shd w:val="clear" w:fill="EEF3F8"/>
          </w:tcPr>
          <w:p>
            <w:pPr>
              <w:spacing w:after="20" w:before="20"/>
            </w:pPr>
            <w:r/>
            <w:r>
              <w:rPr>
                <w:b w:val="0"/>
                <w:i w:val="0"/>
                <w:sz w:val="19"/>
              </w:rPr>
              <w:t>After 6+ months purchase data</w:t>
            </w:r>
          </w:p>
        </w:tc>
        <w:tc>
          <w:tcPr>
            <w:tcW w:type="dxa" w:w="2412"/>
            <w:shd w:val="clear" w:fill="EEF3F8"/>
          </w:tcPr>
          <w:p>
            <w:pPr>
              <w:spacing w:after="20" w:before="20"/>
            </w:pPr>
            <w:r/>
            <w:r>
              <w:rPr>
                <w:b w:val="0"/>
                <w:i w:val="0"/>
                <w:sz w:val="19"/>
              </w:rPr>
              <w:t>Collaborative filtering; cross-sell, upsell, bundle, repeat-visit personalisation; segment rules handle cold-start</w:t>
            </w:r>
          </w:p>
        </w:tc>
        <w:tc>
          <w:tcPr>
            <w:tcW w:type="dxa" w:w="2412"/>
            <w:shd w:val="clear" w:fill="EEF3F8"/>
          </w:tcPr>
          <w:p>
            <w:pPr>
              <w:spacing w:after="20" w:before="20"/>
            </w:pPr>
            <w:r/>
            <w:r>
              <w:rPr>
                <w:b w:val="0"/>
                <w:i w:val="0"/>
                <w:sz w:val="19"/>
              </w:rPr>
              <w:t>All data in UAE — trains on guest purchase sequences in PostgreSQL; serves from FastAPI within Kubernetes cluster</w:t>
            </w:r>
          </w:p>
        </w:tc>
      </w:tr>
      <w:tr>
        <w:tc>
          <w:tcPr>
            <w:tcW w:type="dxa" w:w="2412"/>
          </w:tcPr>
          <w:p>
            <w:pPr>
              <w:spacing w:after="20" w:before="20"/>
            </w:pPr>
            <w:r/>
            <w:r>
              <w:rPr>
                <w:b w:val="0"/>
                <w:i w:val="0"/>
                <w:sz w:val="19"/>
              </w:rPr>
              <w:t>ML Fraud Anomaly Detection</w:t>
            </w:r>
          </w:p>
        </w:tc>
        <w:tc>
          <w:tcPr>
            <w:tcW w:type="dxa" w:w="2412"/>
          </w:tcPr>
          <w:p>
            <w:pPr>
              <w:spacing w:after="20" w:before="20"/>
            </w:pPr>
            <w:r/>
            <w:r>
              <w:rPr>
                <w:b w:val="0"/>
                <w:i w:val="0"/>
                <w:sz w:val="19"/>
              </w:rPr>
              <w:t>After 6+ months transaction history</w:t>
            </w:r>
          </w:p>
        </w:tc>
        <w:tc>
          <w:tcPr>
            <w:tcW w:type="dxa" w:w="2412"/>
          </w:tcPr>
          <w:p>
            <w:pPr>
              <w:spacing w:after="20" w:before="20"/>
            </w:pPr>
            <w:r/>
            <w:r>
              <w:rPr>
                <w:b w:val="0"/>
                <w:i w:val="0"/>
                <w:sz w:val="19"/>
              </w:rPr>
              <w:t>Async anomaly detection layered on top of real-time rules engine; flags complex patterns for security team review</w:t>
            </w:r>
          </w:p>
        </w:tc>
        <w:tc>
          <w:tcPr>
            <w:tcW w:type="dxa" w:w="2412"/>
          </w:tcPr>
          <w:p>
            <w:pPr>
              <w:spacing w:after="20" w:before="20"/>
            </w:pPr>
            <w:r/>
            <w:r>
              <w:rPr>
                <w:b w:val="0"/>
                <w:i w:val="0"/>
                <w:sz w:val="19"/>
              </w:rPr>
              <w:t>All data in UAE — trains on transaction history in PostgreSQL; runs inference asynchronously within cluster</w:t>
            </w:r>
          </w:p>
        </w:tc>
      </w:tr>
      <w:tr>
        <w:tc>
          <w:tcPr>
            <w:tcW w:type="dxa" w:w="2412"/>
            <w:shd w:val="clear" w:fill="EEF3F8"/>
          </w:tcPr>
          <w:p>
            <w:pPr>
              <w:spacing w:after="20" w:before="20"/>
            </w:pPr>
            <w:r/>
            <w:r>
              <w:rPr>
                <w:b w:val="0"/>
                <w:i w:val="0"/>
                <w:sz w:val="19"/>
              </w:rPr>
              <w:t>ML Price Optimisation</w:t>
            </w:r>
          </w:p>
        </w:tc>
        <w:tc>
          <w:tcPr>
            <w:tcW w:type="dxa" w:w="2412"/>
            <w:shd w:val="clear" w:fill="EEF3F8"/>
          </w:tcPr>
          <w:p>
            <w:pPr>
              <w:spacing w:after="20" w:before="20"/>
            </w:pPr>
            <w:r/>
            <w:r>
              <w:rPr>
                <w:b w:val="0"/>
                <w:i w:val="0"/>
                <w:sz w:val="19"/>
              </w:rPr>
              <w:t>After 12+ months price variation data</w:t>
            </w:r>
          </w:p>
        </w:tc>
        <w:tc>
          <w:tcPr>
            <w:tcW w:type="dxa" w:w="2412"/>
            <w:shd w:val="clear" w:fill="EEF3F8"/>
          </w:tcPr>
          <w:p>
            <w:pPr>
              <w:spacing w:after="20" w:before="20"/>
            </w:pPr>
            <w:r/>
            <w:r>
              <w:rPr>
                <w:b w:val="0"/>
                <w:i w:val="0"/>
                <w:sz w:val="19"/>
              </w:rPr>
              <w:t>Learns price elasticity from rule-based engine data; layered on top of existing rules; hard guardrails always maintained</w:t>
            </w:r>
          </w:p>
        </w:tc>
        <w:tc>
          <w:tcPr>
            <w:tcW w:type="dxa" w:w="2412"/>
            <w:shd w:val="clear" w:fill="EEF3F8"/>
          </w:tcPr>
          <w:p>
            <w:pPr>
              <w:spacing w:after="20" w:before="20"/>
            </w:pPr>
            <w:r/>
            <w:r>
              <w:rPr>
                <w:b w:val="0"/>
                <w:i w:val="0"/>
                <w:sz w:val="19"/>
              </w:rPr>
              <w:t>All data in UAE — trains on pricing history in PostgreSQL; serves pricing signals to rule engine within cluster</w:t>
            </w:r>
          </w:p>
        </w:tc>
      </w:tr>
    </w:tbl>
    <w:p>
      <w:pPr>
        <w:spacing w:after="40"/>
      </w:pPr>
    </w:p>
    <w:tbl>
      <w:tblPr>
        <w:tblStyle w:val="TableGrid"/>
        <w:tblW w:type="auto" w:w="0"/>
        <w:jc w:val="center"/>
        <w:tblLook w:firstColumn="1" w:firstRow="1" w:lastColumn="0" w:lastRow="0" w:noHBand="0" w:noVBand="1" w:val="04A0"/>
      </w:tblPr>
      <w:tblGrid>
        <w:gridCol w:w="9648"/>
      </w:tblGrid>
      <w:tr>
        <w:tc>
          <w:tcPr>
            <w:tcW w:type="dxa" w:w="9648"/>
            <w:shd w:val="clear" w:fill="1F3864"/>
          </w:tcPr>
          <w:p>
            <w:pPr>
              <w:spacing w:after="20" w:before="20"/>
            </w:pPr>
            <w:r/>
            <w:r>
              <w:rPr>
                <w:b/>
                <w:i w:val="0"/>
                <w:color w:val="FFFFFF"/>
                <w:sz w:val="19"/>
              </w:rPr>
              <w:t>How to commission a Tier 3 capability</w:t>
            </w:r>
            <w:r>
              <w:rPr>
                <w:b/>
                <w:i w:val="0"/>
                <w:color w:val="FFFFFF"/>
                <w:sz w:val="19"/>
              </w:rPr>
              <w:t xml:space="preserve"> The engagement when the client is ready: (1) data readiness assessment — confirm sufficient training data quality and volume; (2) model training and validation — Softlabs Group builds, trains, and back-tests against historical data; (3) integration and serving — model served via FastAPI within the existing cluster; (4) monitoring and retraining schedule — MLflow tracks performance, retraining on schedule or performance degradation. Phase 1 infrastructure is already in place. The engagement is model development and integration, not infrastructure build.</w:t>
            </w:r>
          </w:p>
        </w:tc>
      </w:tr>
    </w:tbl>
    <w:p>
      <w:pPr>
        <w:spacing w:after="40"/>
      </w:pPr>
    </w:p>
    <w:p>
      <w:pPr>
        <w:pStyle w:val="Heading2"/>
        <w:spacing w:before="200" w:after="80"/>
      </w:pPr>
      <w:r>
        <w:rPr>
          <w:b/>
          <w:color w:val="2E75B6"/>
          <w:sz w:val="28"/>
        </w:rPr>
        <w:t>5.12 ML Demand Forecasting</w:t>
      </w:r>
    </w:p>
    <w:p>
      <w:pPr>
        <w:spacing w:after="120" w:line="259" w:lineRule="auto"/>
      </w:pPr>
      <w:r>
        <w:rPr>
          <w:i/>
          <w:color w:val="555555"/>
        </w:rPr>
        <w:t>Demand Forecasting — Recommended Future Capability</w:t>
      </w:r>
    </w:p>
    <w:p>
      <w:pPr>
        <w:spacing w:after="120" w:line="259" w:lineRule="auto"/>
      </w:pPr>
      <w:r>
        <w:rPr>
          <w:b w:val="0"/>
          <w:i w:val="0"/>
        </w:rPr>
        <w:t>The Demand Forecasting model predicts visitor volumes and ticket sales for future dates at the venue and attraction level. Models are venue-specific — a water park and a museum have fundamentally different demand patterns and cannot share a model. The forecast horizon is 90 days, updated daily. Outputs include confidence intervals: “2,400 visitors, 80% confidence interval 1,900 to 2,900” is operationally more useful than a point estimate with no uncertainty range.</w:t>
      </w:r>
    </w:p>
    <w:p>
      <w:pPr>
        <w:spacing w:after="120" w:line="259" w:lineRule="auto"/>
      </w:pPr>
      <w:r>
        <w:rPr>
          <w:b w:val="0"/>
          <w:i w:val="0"/>
        </w:rPr>
        <w:t>Exogenous variables already collected in Phase 1 are incorporated: UAE public holiday and school calendar, daily weather forecasts, local events calendar, and active marketing campaign schedule. These variables are in the data pipeline from day one — no additional collection is required at activation. Forecast outputs feed the Dynamic Pricing Engine as a forward demand signal, the Operations Command Center for staffing, Procurement for F&amp;B and retail stock, and Marketing for campaign targeting in low-demand periods.</w:t>
      </w:r>
    </w:p>
    <w:p>
      <w:pPr>
        <w:pStyle w:val="Heading2"/>
        <w:spacing w:before="200" w:after="80"/>
      </w:pPr>
      <w:r>
        <w:rPr>
          <w:b/>
          <w:color w:val="2E75B6"/>
          <w:sz w:val="28"/>
        </w:rPr>
        <w:t>5.13 ML Recommendation Engine</w:t>
      </w:r>
    </w:p>
    <w:p>
      <w:pPr>
        <w:spacing w:after="120" w:line="259" w:lineRule="auto"/>
      </w:pPr>
      <w:r>
        <w:rPr>
          <w:i/>
          <w:color w:val="555555"/>
        </w:rPr>
        <w:t>Recommendation Engine — Recommended Future Capability</w:t>
      </w:r>
    </w:p>
    <w:p>
      <w:pPr>
        <w:spacing w:after="120" w:line="259" w:lineRule="auto"/>
      </w:pPr>
      <w:r>
        <w:rPr>
          <w:b w:val="0"/>
          <w:i w:val="0"/>
        </w:rPr>
        <w:t>The Recommendation Engine personalises the guest’s purchasing journey by surfacing relevant cross-sells, upsells, and experiences at the moment of highest purchase intent — during checkout, in the mobile app, and in post-purchase communications. Recommendations are real-time inventory-aware — sold-out experiences are never surfaced.</w:t>
      </w:r>
    </w:p>
    <w:tbl>
      <w:tblPr>
        <w:tblStyle w:val="TableGrid"/>
        <w:tblW w:type="auto" w:w="0"/>
        <w:jc w:val="center"/>
        <w:tblLook w:firstColumn="1" w:firstRow="1" w:lastColumn="0" w:lastRow="0" w:noHBand="0" w:noVBand="1" w:val="04A0"/>
      </w:tblPr>
      <w:tblGrid>
        <w:gridCol w:w="4824"/>
        <w:gridCol w:w="4824"/>
      </w:tblGrid>
      <w:tr>
        <w:tc>
          <w:tcPr>
            <w:tcW w:type="dxa" w:w="4824"/>
            <w:shd w:val="clear" w:fill="1F3864"/>
          </w:tcPr>
          <w:p>
            <w:pPr>
              <w:spacing w:after="20" w:before="20"/>
            </w:pPr>
            <w:r/>
            <w:r>
              <w:rPr>
                <w:b/>
                <w:i w:val="0"/>
                <w:color w:val="FFFFFF"/>
                <w:sz w:val="19"/>
              </w:rPr>
              <w:t>Type</w:t>
            </w:r>
          </w:p>
        </w:tc>
        <w:tc>
          <w:tcPr>
            <w:tcW w:type="dxa" w:w="4824"/>
            <w:shd w:val="clear" w:fill="1F3864"/>
          </w:tcPr>
          <w:p>
            <w:pPr>
              <w:spacing w:after="20" w:before="20"/>
            </w:pPr>
            <w:r/>
            <w:r>
              <w:rPr>
                <w:b/>
                <w:i w:val="0"/>
                <w:color w:val="FFFFFF"/>
                <w:sz w:val="19"/>
              </w:rPr>
              <w:t>Detail</w:t>
            </w:r>
          </w:p>
        </w:tc>
      </w:tr>
      <w:tr>
        <w:tc>
          <w:tcPr>
            <w:tcW w:type="dxa" w:w="4824"/>
          </w:tcPr>
          <w:p>
            <w:pPr>
              <w:spacing w:after="20" w:before="20"/>
            </w:pPr>
            <w:r/>
            <w:r>
              <w:rPr>
                <w:b w:val="0"/>
                <w:i w:val="0"/>
                <w:sz w:val="19"/>
              </w:rPr>
              <w:t>Cross-sell</w:t>
            </w:r>
          </w:p>
        </w:tc>
        <w:tc>
          <w:tcPr>
            <w:tcW w:type="dxa" w:w="4824"/>
          </w:tcPr>
          <w:p>
            <w:pPr>
              <w:spacing w:after="20" w:before="20"/>
            </w:pPr>
            <w:r/>
            <w:r>
              <w:rPr>
                <w:b w:val="0"/>
                <w:i w:val="0"/>
                <w:sz w:val="19"/>
              </w:rPr>
              <w:t>General admission buyer shown fast-track add-on at checkout — highest-conversion recommendation surface</w:t>
            </w:r>
          </w:p>
        </w:tc>
      </w:tr>
      <w:tr>
        <w:tc>
          <w:tcPr>
            <w:tcW w:type="dxa" w:w="4824"/>
            <w:shd w:val="clear" w:fill="EEF3F8"/>
          </w:tcPr>
          <w:p>
            <w:pPr>
              <w:spacing w:after="20" w:before="20"/>
            </w:pPr>
            <w:r/>
            <w:r>
              <w:rPr>
                <w:b w:val="0"/>
                <w:i w:val="0"/>
                <w:sz w:val="19"/>
              </w:rPr>
              <w:t>Upsell</w:t>
            </w:r>
          </w:p>
        </w:tc>
        <w:tc>
          <w:tcPr>
            <w:tcW w:type="dxa" w:w="4824"/>
            <w:shd w:val="clear" w:fill="EEF3F8"/>
          </w:tcPr>
          <w:p>
            <w:pPr>
              <w:spacing w:after="20" w:before="20"/>
            </w:pPr>
            <w:r/>
            <w:r>
              <w:rPr>
                <w:b w:val="0"/>
                <w:i w:val="0"/>
                <w:sz w:val="19"/>
              </w:rPr>
              <w:t>Standard ticket buyer shown VIP experience with price difference highlighted, not the full VIP price</w:t>
            </w:r>
          </w:p>
        </w:tc>
      </w:tr>
      <w:tr>
        <w:tc>
          <w:tcPr>
            <w:tcW w:type="dxa" w:w="4824"/>
          </w:tcPr>
          <w:p>
            <w:pPr>
              <w:spacing w:after="20" w:before="20"/>
            </w:pPr>
            <w:r/>
            <w:r>
              <w:rPr>
                <w:b w:val="0"/>
                <w:i w:val="0"/>
                <w:sz w:val="19"/>
              </w:rPr>
              <w:t>Bundle suggestion</w:t>
            </w:r>
          </w:p>
        </w:tc>
        <w:tc>
          <w:tcPr>
            <w:tcW w:type="dxa" w:w="4824"/>
          </w:tcPr>
          <w:p>
            <w:pPr>
              <w:spacing w:after="20" w:before="20"/>
            </w:pPr>
            <w:r/>
            <w:r>
              <w:rPr>
                <w:b w:val="0"/>
                <w:i w:val="0"/>
                <w:sz w:val="19"/>
              </w:rPr>
              <w:t>Two-adult two-child group shown family bundle with clear price comparison vs individual tickets</w:t>
            </w:r>
          </w:p>
        </w:tc>
      </w:tr>
      <w:tr>
        <w:tc>
          <w:tcPr>
            <w:tcW w:type="dxa" w:w="4824"/>
            <w:shd w:val="clear" w:fill="EEF3F8"/>
          </w:tcPr>
          <w:p>
            <w:pPr>
              <w:spacing w:after="20" w:before="20"/>
            </w:pPr>
            <w:r/>
            <w:r>
              <w:rPr>
                <w:b w:val="0"/>
                <w:i w:val="0"/>
                <w:sz w:val="19"/>
              </w:rPr>
              <w:t>Repeat visit</w:t>
            </w:r>
          </w:p>
        </w:tc>
        <w:tc>
          <w:tcPr>
            <w:tcW w:type="dxa" w:w="4824"/>
            <w:shd w:val="clear" w:fill="EEF3F8"/>
          </w:tcPr>
          <w:p>
            <w:pPr>
              <w:spacing w:after="20" w:before="20"/>
            </w:pPr>
            <w:r/>
            <w:r>
              <w:rPr>
                <w:b w:val="0"/>
                <w:i w:val="0"/>
                <w:sz w:val="19"/>
              </w:rPr>
              <w:t>Returning guest shown what has changed since their last visit — new attractions, events, seasonal experiences</w:t>
            </w:r>
          </w:p>
        </w:tc>
      </w:tr>
      <w:tr>
        <w:tc>
          <w:tcPr>
            <w:tcW w:type="dxa" w:w="4824"/>
          </w:tcPr>
          <w:p>
            <w:pPr>
              <w:spacing w:after="20" w:before="20"/>
            </w:pPr>
            <w:r/>
            <w:r>
              <w:rPr>
                <w:b w:val="0"/>
                <w:i w:val="0"/>
                <w:sz w:val="19"/>
              </w:rPr>
              <w:t>Behavioural</w:t>
            </w:r>
          </w:p>
        </w:tc>
        <w:tc>
          <w:tcPr>
            <w:tcW w:type="dxa" w:w="4824"/>
          </w:tcPr>
          <w:p>
            <w:pPr>
              <w:spacing w:after="20" w:before="20"/>
            </w:pPr>
            <w:r/>
            <w:r>
              <w:rPr>
                <w:b w:val="0"/>
                <w:i w:val="0"/>
                <w:sz w:val="19"/>
              </w:rPr>
              <w:t>Guest who browsed dining without purchasing shown F&amp;B pre-order options with venue menu items</w:t>
            </w:r>
          </w:p>
        </w:tc>
      </w:tr>
      <w:tr>
        <w:tc>
          <w:tcPr>
            <w:tcW w:type="dxa" w:w="4824"/>
            <w:shd w:val="clear" w:fill="EEF3F8"/>
          </w:tcPr>
          <w:p>
            <w:pPr>
              <w:spacing w:after="20" w:before="20"/>
            </w:pPr>
            <w:r/>
            <w:r>
              <w:rPr>
                <w:b w:val="0"/>
                <w:i w:val="0"/>
                <w:sz w:val="19"/>
              </w:rPr>
              <w:t>Segment-based</w:t>
            </w:r>
          </w:p>
        </w:tc>
        <w:tc>
          <w:tcPr>
            <w:tcW w:type="dxa" w:w="4824"/>
            <w:shd w:val="clear" w:fill="EEF3F8"/>
          </w:tcPr>
          <w:p>
            <w:pPr>
              <w:spacing w:after="20" w:before="20"/>
            </w:pPr>
            <w:r/>
            <w:r>
              <w:rPr>
                <w:b w:val="0"/>
                <w:i w:val="0"/>
                <w:sz w:val="19"/>
              </w:rPr>
              <w:t>Tourist guest shown multi-day pass; resident guest shown annual pass value messaging</w:t>
            </w:r>
          </w:p>
        </w:tc>
      </w:tr>
    </w:tbl>
    <w:p>
      <w:pPr>
        <w:spacing w:after="40"/>
      </w:pPr>
    </w:p>
    <w:p>
      <w:pPr>
        <w:spacing w:after="120" w:line="259" w:lineRule="auto"/>
      </w:pPr>
      <w:r>
        <w:rPr>
          <w:b w:val="0"/>
          <w:i w:val="0"/>
        </w:rPr>
        <w:t>Collaborative filtering is the baseline model — guests who bought similar products also bought these experiences. The cold-start problem for new guests is handled by segment-based rules until sufficient behavioural data accumulates. Neural collaborative filtering and sequential recommendation models (which capture the temporal order of choices across a visit) are available as further enhancements as data matures.</w:t>
      </w:r>
    </w:p>
    <w:p>
      <w:pPr>
        <w:pStyle w:val="Heading2"/>
        <w:spacing w:before="200" w:after="80"/>
      </w:pPr>
      <w:r>
        <w:rPr>
          <w:b/>
          <w:color w:val="2E75B6"/>
          <w:sz w:val="28"/>
        </w:rPr>
        <w:t>5.14 Rule-Based Dynamic Pricing Engine</w:t>
      </w:r>
    </w:p>
    <w:p>
      <w:pPr>
        <w:spacing w:after="120" w:line="259" w:lineRule="auto"/>
      </w:pPr>
      <w:r>
        <w:rPr>
          <w:i/>
          <w:color w:val="555555"/>
        </w:rPr>
        <w:t>Dynamic Pricing Engine — Capability Overview</w:t>
      </w:r>
    </w:p>
    <w:p>
      <w:pPr>
        <w:spacing w:after="120" w:line="259" w:lineRule="auto"/>
      </w:pPr>
      <w:r>
        <w:rPr>
          <w:b w:val="0"/>
          <w:i w:val="0"/>
        </w:rPr>
        <w:t>The Dynamic Pricing Engine adjusts ticket prices in real time based on configurable rules — demand signals, calendar events, customer segment, and channel. It operates within hard guardrails (floor price, ceiling price) set by venue administrators. Venue managers configure the rules; the engine executes them with no manual intervention required.</w:t>
      </w:r>
    </w:p>
    <w:p>
      <w:pPr>
        <w:spacing w:after="120" w:line="259" w:lineRule="auto"/>
      </w:pPr>
      <w:r>
        <w:rPr>
          <w:b w:val="0"/>
          <w:i w:val="0"/>
        </w:rPr>
        <w:t>The engine is rule-based — interpretable, auditable, and configurable without data science expertise. A rule might be: “When remaining capacity falls below 20%, increase price by 10% up to the ceiling.” The ML Price Optimisation layer (Tier 3) learns the optimal price from actual sales outcomes once sufficient price variation data has been accumulated, and layers on top of the rule engine without replacing it.</w:t>
      </w:r>
    </w:p>
    <w:tbl>
      <w:tblPr>
        <w:tblStyle w:val="TableGrid"/>
        <w:tblW w:type="auto" w:w="0"/>
        <w:jc w:val="center"/>
        <w:tblLook w:firstColumn="1" w:firstRow="1" w:lastColumn="0" w:lastRow="0" w:noHBand="0" w:noVBand="1" w:val="04A0"/>
      </w:tblPr>
      <w:tblGrid>
        <w:gridCol w:w="4824"/>
        <w:gridCol w:w="4824"/>
      </w:tblGrid>
      <w:tr>
        <w:tc>
          <w:tcPr>
            <w:tcW w:type="dxa" w:w="4824"/>
            <w:shd w:val="clear" w:fill="1F3864"/>
          </w:tcPr>
          <w:p>
            <w:pPr>
              <w:spacing w:after="20" w:before="20"/>
            </w:pPr>
            <w:r/>
            <w:r>
              <w:rPr>
                <w:b/>
                <w:i w:val="0"/>
                <w:color w:val="FFFFFF"/>
                <w:sz w:val="19"/>
              </w:rPr>
              <w:t>Variable Category</w:t>
            </w:r>
          </w:p>
        </w:tc>
        <w:tc>
          <w:tcPr>
            <w:tcW w:type="dxa" w:w="4824"/>
            <w:shd w:val="clear" w:fill="1F3864"/>
          </w:tcPr>
          <w:p>
            <w:pPr>
              <w:spacing w:after="20" w:before="20"/>
            </w:pPr>
            <w:r/>
            <w:r>
              <w:rPr>
                <w:b/>
                <w:i w:val="0"/>
                <w:color w:val="FFFFFF"/>
                <w:sz w:val="19"/>
              </w:rPr>
              <w:t>Detail</w:t>
            </w:r>
          </w:p>
        </w:tc>
      </w:tr>
      <w:tr>
        <w:tc>
          <w:tcPr>
            <w:tcW w:type="dxa" w:w="4824"/>
          </w:tcPr>
          <w:p>
            <w:pPr>
              <w:spacing w:after="20" w:before="20"/>
            </w:pPr>
            <w:r/>
            <w:r>
              <w:rPr>
                <w:b w:val="0"/>
                <w:i w:val="0"/>
                <w:sz w:val="19"/>
              </w:rPr>
              <w:t>Demand</w:t>
            </w:r>
          </w:p>
        </w:tc>
        <w:tc>
          <w:tcPr>
            <w:tcW w:type="dxa" w:w="4824"/>
          </w:tcPr>
          <w:p>
            <w:pPr>
              <w:spacing w:after="20" w:before="20"/>
            </w:pPr>
            <w:r/>
            <w:r>
              <w:rPr>
                <w:b w:val="0"/>
                <w:i w:val="0"/>
                <w:sz w:val="19"/>
              </w:rPr>
              <w:t>Current booking pace, remaining inventory, search volume or web traffic</w:t>
            </w:r>
          </w:p>
        </w:tc>
      </w:tr>
      <w:tr>
        <w:tc>
          <w:tcPr>
            <w:tcW w:type="dxa" w:w="4824"/>
            <w:shd w:val="clear" w:fill="EEF3F8"/>
          </w:tcPr>
          <w:p>
            <w:pPr>
              <w:spacing w:after="20" w:before="20"/>
            </w:pPr>
            <w:r/>
            <w:r>
              <w:rPr>
                <w:b w:val="0"/>
                <w:i w:val="0"/>
                <w:sz w:val="19"/>
              </w:rPr>
              <w:t>Time</w:t>
            </w:r>
          </w:p>
        </w:tc>
        <w:tc>
          <w:tcPr>
            <w:tcW w:type="dxa" w:w="4824"/>
            <w:shd w:val="clear" w:fill="EEF3F8"/>
          </w:tcPr>
          <w:p>
            <w:pPr>
              <w:spacing w:after="20" w:before="20"/>
            </w:pPr>
            <w:r/>
            <w:r>
              <w:rPr>
                <w:b w:val="0"/>
                <w:i w:val="0"/>
                <w:sz w:val="19"/>
              </w:rPr>
              <w:t>Days or hours to visit date, time of day, advance purchase window, peak vs off-peak</w:t>
            </w:r>
          </w:p>
        </w:tc>
      </w:tr>
      <w:tr>
        <w:tc>
          <w:tcPr>
            <w:tcW w:type="dxa" w:w="4824"/>
          </w:tcPr>
          <w:p>
            <w:pPr>
              <w:spacing w:after="20" w:before="20"/>
            </w:pPr>
            <w:r/>
            <w:r>
              <w:rPr>
                <w:b w:val="0"/>
                <w:i w:val="0"/>
                <w:sz w:val="19"/>
              </w:rPr>
              <w:t>Calendar</w:t>
            </w:r>
          </w:p>
        </w:tc>
        <w:tc>
          <w:tcPr>
            <w:tcW w:type="dxa" w:w="4824"/>
          </w:tcPr>
          <w:p>
            <w:pPr>
              <w:spacing w:after="20" w:before="20"/>
            </w:pPr>
            <w:r/>
            <w:r>
              <w:rPr>
                <w:b w:val="0"/>
                <w:i w:val="0"/>
                <w:sz w:val="19"/>
              </w:rPr>
              <w:t>Weekday vs weekend, Eid al-Fitr, Eid al-Adha, UAE National Day, school holidays, local events</w:t>
            </w:r>
          </w:p>
        </w:tc>
      </w:tr>
      <w:tr>
        <w:tc>
          <w:tcPr>
            <w:tcW w:type="dxa" w:w="4824"/>
            <w:shd w:val="clear" w:fill="EEF3F8"/>
          </w:tcPr>
          <w:p>
            <w:pPr>
              <w:spacing w:after="20" w:before="20"/>
            </w:pPr>
            <w:r/>
            <w:r>
              <w:rPr>
                <w:b w:val="0"/>
                <w:i w:val="0"/>
                <w:sz w:val="19"/>
              </w:rPr>
              <w:t>Customer segment</w:t>
            </w:r>
          </w:p>
        </w:tc>
        <w:tc>
          <w:tcPr>
            <w:tcW w:type="dxa" w:w="4824"/>
            <w:shd w:val="clear" w:fill="EEF3F8"/>
          </w:tcPr>
          <w:p>
            <w:pPr>
              <w:spacing w:after="20" w:before="20"/>
            </w:pPr>
            <w:r/>
            <w:r>
              <w:rPr>
                <w:b w:val="0"/>
                <w:i w:val="0"/>
                <w:sz w:val="19"/>
              </w:rPr>
              <w:t>Resident vs tourist, adult / child / family, group, loyalty tier, B2B vs B2C channel</w:t>
            </w:r>
          </w:p>
        </w:tc>
      </w:tr>
      <w:tr>
        <w:tc>
          <w:tcPr>
            <w:tcW w:type="dxa" w:w="4824"/>
          </w:tcPr>
          <w:p>
            <w:pPr>
              <w:spacing w:after="20" w:before="20"/>
            </w:pPr>
            <w:r/>
            <w:r>
              <w:rPr>
                <w:b w:val="0"/>
                <w:i w:val="0"/>
                <w:sz w:val="19"/>
              </w:rPr>
              <w:t>Channel</w:t>
            </w:r>
          </w:p>
        </w:tc>
        <w:tc>
          <w:tcPr>
            <w:tcW w:type="dxa" w:w="4824"/>
          </w:tcPr>
          <w:p>
            <w:pPr>
              <w:spacing w:after="20" w:before="20"/>
            </w:pPr>
            <w:r/>
            <w:r>
              <w:rPr>
                <w:b w:val="0"/>
                <w:i w:val="0"/>
                <w:sz w:val="19"/>
              </w:rPr>
              <w:t>Online vs POS vs kiosk vs OTA; partner commission impact on net price</w:t>
            </w:r>
          </w:p>
        </w:tc>
      </w:tr>
      <w:tr>
        <w:tc>
          <w:tcPr>
            <w:tcW w:type="dxa" w:w="4824"/>
            <w:shd w:val="clear" w:fill="EEF3F8"/>
          </w:tcPr>
          <w:p>
            <w:pPr>
              <w:spacing w:after="20" w:before="20"/>
            </w:pPr>
            <w:r/>
            <w:r>
              <w:rPr>
                <w:b w:val="0"/>
                <w:i w:val="0"/>
                <w:sz w:val="19"/>
              </w:rPr>
              <w:t>Inventory</w:t>
            </w:r>
          </w:p>
        </w:tc>
        <w:tc>
          <w:tcPr>
            <w:tcW w:type="dxa" w:w="4824"/>
            <w:shd w:val="clear" w:fill="EEF3F8"/>
          </w:tcPr>
          <w:p>
            <w:pPr>
              <w:spacing w:after="20" w:before="20"/>
            </w:pPr>
            <w:r/>
            <w:r>
              <w:rPr>
                <w:b w:val="0"/>
                <w:i w:val="0"/>
                <w:sz w:val="19"/>
              </w:rPr>
              <w:t>Total capacity, available slots per time window, operational limits</w:t>
            </w:r>
          </w:p>
        </w:tc>
      </w:tr>
      <w:tr>
        <w:tc>
          <w:tcPr>
            <w:tcW w:type="dxa" w:w="4824"/>
          </w:tcPr>
          <w:p>
            <w:pPr>
              <w:spacing w:after="20" w:before="20"/>
            </w:pPr>
            <w:r/>
            <w:r>
              <w:rPr>
                <w:b w:val="0"/>
                <w:i w:val="0"/>
                <w:sz w:val="19"/>
              </w:rPr>
              <w:t>External market</w:t>
            </w:r>
          </w:p>
        </w:tc>
        <w:tc>
          <w:tcPr>
            <w:tcW w:type="dxa" w:w="4824"/>
          </w:tcPr>
          <w:p>
            <w:pPr>
              <w:spacing w:after="20" w:before="20"/>
            </w:pPr>
            <w:r/>
            <w:r>
              <w:rPr>
                <w:b w:val="0"/>
                <w:i w:val="0"/>
                <w:sz w:val="19"/>
              </w:rPr>
              <w:t>Competitor pricing feeds (configurable), tourist arrival index</w:t>
            </w:r>
          </w:p>
        </w:tc>
      </w:tr>
      <w:tr>
        <w:tc>
          <w:tcPr>
            <w:tcW w:type="dxa" w:w="4824"/>
            <w:shd w:val="clear" w:fill="EEF3F8"/>
          </w:tcPr>
          <w:p>
            <w:pPr>
              <w:spacing w:after="20" w:before="20"/>
            </w:pPr>
            <w:r/>
            <w:r>
              <w:rPr>
                <w:b w:val="0"/>
                <w:i w:val="0"/>
                <w:sz w:val="19"/>
              </w:rPr>
              <w:t>Operational</w:t>
            </w:r>
          </w:p>
        </w:tc>
        <w:tc>
          <w:tcPr>
            <w:tcW w:type="dxa" w:w="4824"/>
            <w:shd w:val="clear" w:fill="EEF3F8"/>
          </w:tcPr>
          <w:p>
            <w:pPr>
              <w:spacing w:after="20" w:before="20"/>
            </w:pPr>
            <w:r/>
            <w:r>
              <w:rPr>
                <w:b w:val="0"/>
                <w:i w:val="0"/>
                <w:sz w:val="19"/>
              </w:rPr>
              <w:t>Maintenance closures, reduced capacity, special event configuration</w:t>
            </w:r>
          </w:p>
        </w:tc>
      </w:tr>
    </w:tbl>
    <w:p>
      <w:pPr>
        <w:spacing w:after="40"/>
      </w:pPr>
    </w:p>
    <w:p>
      <w:pPr>
        <w:spacing w:after="120" w:line="259" w:lineRule="auto"/>
      </w:pPr>
      <w:r>
        <w:rPr>
          <w:b w:val="0"/>
          <w:i w:val="0"/>
        </w:rPr>
        <w:t>All price changes are logged with a full audit trail — product, slot, old price, new price, triggering rule, timestamp. A/B testing is built in: two pricing strategies can run simultaneously on different capacity tranches with conversion and revenue compared automatically.</w:t>
      </w:r>
    </w:p>
    <w:p>
      <w:pPr>
        <w:spacing w:after="80"/>
      </w:pPr>
      <w:r>
        <w:rPr>
          <w:i/>
          <w:color w:val="555555"/>
          <w:sz w:val="18"/>
        </w:rPr>
        <w:t>Figure 5.6 — Dynamic Pricing: Variable Inputs, Rule Engine, Hard Guardrails</w:t>
      </w:r>
    </w:p>
    <w:p>
      <w:pPr>
        <w:pStyle w:val="Heading2"/>
        <w:spacing w:before="200" w:after="80"/>
      </w:pPr>
      <w:r>
        <w:rPr>
          <w:b/>
          <w:color w:val="2E75B6"/>
          <w:sz w:val="28"/>
        </w:rPr>
        <w:t>5.15 Rule-Based Fraud Detection</w:t>
      </w:r>
    </w:p>
    <w:p>
      <w:pPr>
        <w:spacing w:after="120" w:line="259" w:lineRule="auto"/>
      </w:pPr>
      <w:r>
        <w:rPr>
          <w:i/>
          <w:color w:val="555555"/>
        </w:rPr>
        <w:t>Fraud Detection ML Layer — Recommended Future Capability</w:t>
      </w:r>
    </w:p>
    <w:p>
      <w:pPr>
        <w:spacing w:after="120" w:line="259" w:lineRule="auto"/>
      </w:pPr>
      <w:r>
        <w:rPr>
          <w:b w:val="0"/>
          <w:i w:val="0"/>
        </w:rPr>
        <w:t>Fraud detection spans multiple threat vectors at different latency requirements. A gate entry decision is milliseconds. A payment fraud assessment accepts a few hundred milliseconds. An account takeover pattern may be visible only over hours. The architecture is separated by latency tolerance.</w:t>
      </w:r>
    </w:p>
    <w:p>
      <w:pPr>
        <w:spacing w:after="120" w:line="259" w:lineRule="auto"/>
      </w:pPr>
      <w:r>
        <w:rPr>
          <w:b w:val="0"/>
          <w:i w:val="0"/>
        </w:rPr>
        <w:t>The real-time rules engine handles gate and payment decisions in milliseconds — deterministic, configurable by operations staff, no data science required. This is the Phase 2 committed delivery. The ML anomaly detection layer (Tier 3) runs asynchronously on transaction history, flagging complex patterns for the security team’s review queue without blocking any transaction.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1F3864"/>
          </w:tcPr>
          <w:p>
            <w:pPr>
              <w:spacing w:after="20" w:before="20"/>
            </w:pPr>
            <w:r/>
            <w:r>
              <w:rPr>
                <w:b/>
                <w:i w:val="0"/>
                <w:color w:val="FFFFFF"/>
                <w:sz w:val="19"/>
              </w:rPr>
              <w:t>Pattern</w:t>
            </w:r>
          </w:p>
        </w:tc>
        <w:tc>
          <w:tcPr>
            <w:tcW w:type="dxa" w:w="2412"/>
            <w:shd w:val="clear" w:fill="1F3864"/>
          </w:tcPr>
          <w:p>
            <w:pPr>
              <w:spacing w:after="20" w:before="20"/>
            </w:pPr>
            <w:r/>
            <w:r>
              <w:rPr>
                <w:b/>
                <w:i w:val="0"/>
                <w:color w:val="FFFFFF"/>
                <w:sz w:val="19"/>
              </w:rPr>
              <w:t>Signal</w:t>
            </w:r>
          </w:p>
        </w:tc>
        <w:tc>
          <w:tcPr>
            <w:tcW w:type="dxa" w:w="2412"/>
            <w:shd w:val="clear" w:fill="1F3864"/>
          </w:tcPr>
          <w:p>
            <w:pPr>
              <w:spacing w:after="20" w:before="20"/>
            </w:pPr>
            <w:r/>
            <w:r>
              <w:rPr>
                <w:b/>
                <w:i w:val="0"/>
                <w:color w:val="FFFFFF"/>
                <w:sz w:val="19"/>
              </w:rPr>
              <w:t>Method</w:t>
            </w:r>
          </w:p>
        </w:tc>
        <w:tc>
          <w:tcPr>
            <w:tcW w:type="dxa" w:w="2412"/>
            <w:shd w:val="clear" w:fill="1F3864"/>
          </w:tcPr>
          <w:p>
            <w:pPr>
              <w:spacing w:after="20" w:before="20"/>
            </w:pPr>
            <w:r/>
            <w:r>
              <w:rPr>
                <w:b/>
                <w:i w:val="0"/>
                <w:color w:val="FFFFFF"/>
                <w:sz w:val="19"/>
              </w:rPr>
              <w:t>Response</w:t>
            </w:r>
          </w:p>
        </w:tc>
      </w:tr>
      <w:tr>
        <w:tc>
          <w:tcPr>
            <w:tcW w:type="dxa" w:w="2412"/>
          </w:tcPr>
          <w:p>
            <w:pPr>
              <w:spacing w:after="20" w:before="20"/>
            </w:pPr>
            <w:r/>
            <w:r>
              <w:rPr>
                <w:b w:val="0"/>
                <w:i w:val="0"/>
                <w:sz w:val="19"/>
              </w:rPr>
              <w:t>Duplicate ticket usage</w:t>
            </w:r>
          </w:p>
        </w:tc>
        <w:tc>
          <w:tcPr>
            <w:tcW w:type="dxa" w:w="2412"/>
          </w:tcPr>
          <w:p>
            <w:pPr>
              <w:spacing w:after="20" w:before="20"/>
            </w:pPr>
            <w:r/>
            <w:r>
              <w:rPr>
                <w:b w:val="0"/>
                <w:i w:val="0"/>
                <w:sz w:val="19"/>
              </w:rPr>
              <w:t>Same ticket at two gates within impossible window</w:t>
            </w:r>
          </w:p>
        </w:tc>
        <w:tc>
          <w:tcPr>
            <w:tcW w:type="dxa" w:w="2412"/>
          </w:tcPr>
          <w:p>
            <w:pPr>
              <w:spacing w:after="20" w:before="20"/>
            </w:pPr>
            <w:r/>
            <w:r>
              <w:rPr>
                <w:b w:val="0"/>
                <w:i w:val="0"/>
                <w:sz w:val="19"/>
              </w:rPr>
              <w:t>Real-time rules</w:t>
            </w:r>
          </w:p>
        </w:tc>
        <w:tc>
          <w:tcPr>
            <w:tcW w:type="dxa" w:w="2412"/>
          </w:tcPr>
          <w:p>
            <w:pPr>
              <w:spacing w:after="20" w:before="20"/>
            </w:pPr>
            <w:r/>
            <w:r>
              <w:rPr>
                <w:b w:val="0"/>
                <w:i w:val="0"/>
                <w:sz w:val="19"/>
              </w:rPr>
              <w:t>Block; alert security team immediately</w:t>
            </w:r>
          </w:p>
        </w:tc>
      </w:tr>
      <w:tr>
        <w:tc>
          <w:tcPr>
            <w:tcW w:type="dxa" w:w="2412"/>
            <w:shd w:val="clear" w:fill="EEF3F8"/>
          </w:tcPr>
          <w:p>
            <w:pPr>
              <w:spacing w:after="20" w:before="20"/>
            </w:pPr>
            <w:r/>
            <w:r>
              <w:rPr>
                <w:b w:val="0"/>
                <w:i w:val="0"/>
                <w:sz w:val="19"/>
              </w:rPr>
              <w:t>Abnormal bulk purchases</w:t>
            </w:r>
          </w:p>
        </w:tc>
        <w:tc>
          <w:tcPr>
            <w:tcW w:type="dxa" w:w="2412"/>
            <w:shd w:val="clear" w:fill="EEF3F8"/>
          </w:tcPr>
          <w:p>
            <w:pPr>
              <w:spacing w:after="20" w:before="20"/>
            </w:pPr>
            <w:r/>
            <w:r>
              <w:rPr>
                <w:b w:val="0"/>
                <w:i w:val="0"/>
                <w:sz w:val="19"/>
              </w:rPr>
              <w:t>More than N tickets per card per hour</w:t>
            </w:r>
          </w:p>
        </w:tc>
        <w:tc>
          <w:tcPr>
            <w:tcW w:type="dxa" w:w="2412"/>
            <w:shd w:val="clear" w:fill="EEF3F8"/>
          </w:tcPr>
          <w:p>
            <w:pPr>
              <w:spacing w:after="20" w:before="20"/>
            </w:pPr>
            <w:r/>
            <w:r>
              <w:rPr>
                <w:b w:val="0"/>
                <w:i w:val="0"/>
                <w:sz w:val="19"/>
              </w:rPr>
              <w:t>Real-time rules</w:t>
            </w:r>
          </w:p>
        </w:tc>
        <w:tc>
          <w:tcPr>
            <w:tcW w:type="dxa" w:w="2412"/>
            <w:shd w:val="clear" w:fill="EEF3F8"/>
          </w:tcPr>
          <w:p>
            <w:pPr>
              <w:spacing w:after="20" w:before="20"/>
            </w:pPr>
            <w:r/>
            <w:r>
              <w:rPr>
                <w:b w:val="0"/>
                <w:i w:val="0"/>
                <w:sz w:val="19"/>
              </w:rPr>
              <w:t>Flag; optional step-up verification</w:t>
            </w:r>
          </w:p>
        </w:tc>
      </w:tr>
      <w:tr>
        <w:tc>
          <w:tcPr>
            <w:tcW w:type="dxa" w:w="2412"/>
          </w:tcPr>
          <w:p>
            <w:pPr>
              <w:spacing w:after="20" w:before="20"/>
            </w:pPr>
            <w:r/>
            <w:r>
              <w:rPr>
                <w:b w:val="0"/>
                <w:i w:val="0"/>
                <w:sz w:val="19"/>
              </w:rPr>
              <w:t>Suspicious payment patterns</w:t>
            </w:r>
          </w:p>
        </w:tc>
        <w:tc>
          <w:tcPr>
            <w:tcW w:type="dxa" w:w="2412"/>
          </w:tcPr>
          <w:p>
            <w:pPr>
              <w:spacing w:after="20" w:before="20"/>
            </w:pPr>
            <w:r/>
            <w:r>
              <w:rPr>
                <w:b w:val="0"/>
                <w:i w:val="0"/>
                <w:sz w:val="19"/>
              </w:rPr>
              <w:t>Failed payments followed by success; geographic impossibility</w:t>
            </w:r>
          </w:p>
        </w:tc>
        <w:tc>
          <w:tcPr>
            <w:tcW w:type="dxa" w:w="2412"/>
          </w:tcPr>
          <w:p>
            <w:pPr>
              <w:spacing w:after="20" w:before="20"/>
            </w:pPr>
            <w:r/>
            <w:r>
              <w:rPr>
                <w:b w:val="0"/>
                <w:i w:val="0"/>
                <w:sz w:val="19"/>
              </w:rPr>
              <w:t>Real-time rules</w:t>
            </w:r>
          </w:p>
        </w:tc>
        <w:tc>
          <w:tcPr>
            <w:tcW w:type="dxa" w:w="2412"/>
          </w:tcPr>
          <w:p>
            <w:pPr>
              <w:spacing w:after="20" w:before="20"/>
            </w:pPr>
            <w:r/>
            <w:r>
              <w:rPr>
                <w:b w:val="0"/>
                <w:i w:val="0"/>
                <w:sz w:val="19"/>
              </w:rPr>
              <w:t>Flag; trigger 3D Secure step-up</w:t>
            </w:r>
          </w:p>
        </w:tc>
      </w:tr>
      <w:tr>
        <w:tc>
          <w:tcPr>
            <w:tcW w:type="dxa" w:w="2412"/>
            <w:shd w:val="clear" w:fill="EEF3F8"/>
          </w:tcPr>
          <w:p>
            <w:pPr>
              <w:spacing w:after="20" w:before="20"/>
            </w:pPr>
            <w:r/>
            <w:r>
              <w:rPr>
                <w:b w:val="0"/>
                <w:i w:val="0"/>
                <w:sz w:val="19"/>
              </w:rPr>
              <w:t>Unusual refund activity</w:t>
            </w:r>
          </w:p>
        </w:tc>
        <w:tc>
          <w:tcPr>
            <w:tcW w:type="dxa" w:w="2412"/>
            <w:shd w:val="clear" w:fill="EEF3F8"/>
          </w:tcPr>
          <w:p>
            <w:pPr>
              <w:spacing w:after="20" w:before="20"/>
            </w:pPr>
            <w:r/>
            <w:r>
              <w:rPr>
                <w:b w:val="0"/>
                <w:i w:val="0"/>
                <w:sz w:val="19"/>
              </w:rPr>
              <w:t>Refund rate above configurable threshold</w:t>
            </w:r>
          </w:p>
        </w:tc>
        <w:tc>
          <w:tcPr>
            <w:tcW w:type="dxa" w:w="2412"/>
            <w:shd w:val="clear" w:fill="EEF3F8"/>
          </w:tcPr>
          <w:p>
            <w:pPr>
              <w:spacing w:after="20" w:before="20"/>
            </w:pPr>
            <w:r/>
            <w:r>
              <w:rPr>
                <w:b w:val="0"/>
                <w:i w:val="0"/>
                <w:sz w:val="19"/>
              </w:rPr>
              <w:t>Async ML (Tier 3)</w:t>
            </w:r>
          </w:p>
        </w:tc>
        <w:tc>
          <w:tcPr>
            <w:tcW w:type="dxa" w:w="2412"/>
            <w:shd w:val="clear" w:fill="EEF3F8"/>
          </w:tcPr>
          <w:p>
            <w:pPr>
              <w:spacing w:after="20" w:before="20"/>
            </w:pPr>
            <w:r/>
            <w:r>
              <w:rPr>
                <w:b w:val="0"/>
                <w:i w:val="0"/>
                <w:sz w:val="19"/>
              </w:rPr>
              <w:t>Hold for manual review when ML layer active</w:t>
            </w:r>
          </w:p>
        </w:tc>
      </w:tr>
      <w:tr>
        <w:tc>
          <w:tcPr>
            <w:tcW w:type="dxa" w:w="2412"/>
          </w:tcPr>
          <w:p>
            <w:pPr>
              <w:spacing w:after="20" w:before="20"/>
            </w:pPr>
            <w:r/>
            <w:r>
              <w:rPr>
                <w:b w:val="0"/>
                <w:i w:val="0"/>
                <w:sz w:val="19"/>
              </w:rPr>
              <w:t>Account takeover signals</w:t>
            </w:r>
          </w:p>
        </w:tc>
        <w:tc>
          <w:tcPr>
            <w:tcW w:type="dxa" w:w="2412"/>
          </w:tcPr>
          <w:p>
            <w:pPr>
              <w:spacing w:after="20" w:before="20"/>
            </w:pPr>
            <w:r/>
            <w:r>
              <w:rPr>
                <w:b w:val="0"/>
                <w:i w:val="0"/>
                <w:sz w:val="19"/>
              </w:rPr>
              <w:t>New device login after dormancy; rapid profile changes</w:t>
            </w:r>
          </w:p>
        </w:tc>
        <w:tc>
          <w:tcPr>
            <w:tcW w:type="dxa" w:w="2412"/>
          </w:tcPr>
          <w:p>
            <w:pPr>
              <w:spacing w:after="20" w:before="20"/>
            </w:pPr>
            <w:r/>
            <w:r>
              <w:rPr>
                <w:b w:val="0"/>
                <w:i w:val="0"/>
                <w:sz w:val="19"/>
              </w:rPr>
              <w:t>Real-time rules</w:t>
            </w:r>
          </w:p>
        </w:tc>
        <w:tc>
          <w:tcPr>
            <w:tcW w:type="dxa" w:w="2412"/>
          </w:tcPr>
          <w:p>
            <w:pPr>
              <w:spacing w:after="20" w:before="20"/>
            </w:pPr>
            <w:r/>
            <w:r>
              <w:rPr>
                <w:b w:val="0"/>
                <w:i w:val="0"/>
                <w:sz w:val="19"/>
              </w:rPr>
              <w:t>Step-up MFA challenge</w:t>
            </w:r>
          </w:p>
        </w:tc>
      </w:tr>
      <w:tr>
        <w:tc>
          <w:tcPr>
            <w:tcW w:type="dxa" w:w="2412"/>
            <w:shd w:val="clear" w:fill="EEF3F8"/>
          </w:tcPr>
          <w:p>
            <w:pPr>
              <w:spacing w:after="20" w:before="20"/>
            </w:pPr>
            <w:r/>
            <w:r>
              <w:rPr>
                <w:b w:val="0"/>
                <w:i w:val="0"/>
                <w:sz w:val="19"/>
              </w:rPr>
              <w:t>Resale arbitrage</w:t>
            </w:r>
          </w:p>
        </w:tc>
        <w:tc>
          <w:tcPr>
            <w:tcW w:type="dxa" w:w="2412"/>
            <w:shd w:val="clear" w:fill="EEF3F8"/>
          </w:tcPr>
          <w:p>
            <w:pPr>
              <w:spacing w:after="20" w:before="20"/>
            </w:pPr>
            <w:r/>
            <w:r>
              <w:rPr>
                <w:b w:val="0"/>
                <w:i w:val="0"/>
                <w:sz w:val="19"/>
              </w:rPr>
              <w:t>Bulk purchase immediately listed on resale platforms</w:t>
            </w:r>
          </w:p>
        </w:tc>
        <w:tc>
          <w:tcPr>
            <w:tcW w:type="dxa" w:w="2412"/>
            <w:shd w:val="clear" w:fill="EEF3F8"/>
          </w:tcPr>
          <w:p>
            <w:pPr>
              <w:spacing w:after="20" w:before="20"/>
            </w:pPr>
            <w:r/>
            <w:r>
              <w:rPr>
                <w:b w:val="0"/>
                <w:i w:val="0"/>
                <w:sz w:val="19"/>
              </w:rPr>
              <w:t>Configurable rules</w:t>
            </w:r>
          </w:p>
        </w:tc>
        <w:tc>
          <w:tcPr>
            <w:tcW w:type="dxa" w:w="2412"/>
            <w:shd w:val="clear" w:fill="EEF3F8"/>
          </w:tcPr>
          <w:p>
            <w:pPr>
              <w:spacing w:after="20" w:before="20"/>
            </w:pPr>
            <w:r/>
            <w:r>
              <w:rPr>
                <w:b w:val="0"/>
                <w:i w:val="0"/>
                <w:sz w:val="19"/>
              </w:rPr>
              <w:t>Per-ticket-type resale restrictions</w:t>
            </w:r>
          </w:p>
        </w:tc>
      </w:tr>
    </w:tbl>
    <w:p>
      <w:pPr>
        <w:spacing w:after="40"/>
      </w:pPr>
    </w:p>
    <w:p>
      <w:pPr>
        <w:spacing w:after="80"/>
      </w:pPr>
      <w:r>
        <w:rPr>
          <w:i/>
          <w:color w:val="555555"/>
          <w:sz w:val="18"/>
        </w:rPr>
        <w:t>Figure 5.7 — Fraud Detection: Real-Time Rules (Phase 2) and Future ML Layer (Tier 3)</w:t>
      </w:r>
    </w:p>
    <w:p>
      <w:pPr>
        <w:pStyle w:val="Heading2"/>
        <w:spacing w:before="200" w:after="80"/>
      </w:pPr>
      <w:r>
        <w:rPr>
          <w:b/>
          <w:color w:val="2E75B6"/>
          <w:sz w:val="28"/>
        </w:rPr>
        <w:t>5.16 UAE Data Policy — Summary by Tier</w:t>
      </w:r>
    </w:p>
    <w:p>
      <w:pPr>
        <w:spacing w:after="120" w:line="259" w:lineRule="auto"/>
      </w:pPr>
      <w:r>
        <w:rPr>
          <w:b w:val="0"/>
          <w:i w:val="0"/>
        </w:rPr>
        <w:t>UAE data sovereignty obligations vary across the three tiers and are addressed explicitly.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1F3864"/>
          </w:tcPr>
          <w:p>
            <w:pPr>
              <w:spacing w:after="20" w:before="20"/>
            </w:pPr>
            <w:r/>
            <w:r>
              <w:rPr>
                <w:b/>
                <w:i w:val="0"/>
                <w:color w:val="FFFFFF"/>
                <w:sz w:val="19"/>
              </w:rPr>
              <w:t>Tier</w:t>
            </w:r>
          </w:p>
        </w:tc>
        <w:tc>
          <w:tcPr>
            <w:tcW w:type="dxa" w:w="2412"/>
            <w:shd w:val="clear" w:fill="1F3864"/>
          </w:tcPr>
          <w:p>
            <w:pPr>
              <w:spacing w:after="20" w:before="20"/>
            </w:pPr>
            <w:r/>
            <w:r>
              <w:rPr>
                <w:b/>
                <w:i w:val="0"/>
                <w:color w:val="FFFFFF"/>
                <w:sz w:val="19"/>
              </w:rPr>
              <w:t>Capabilities</w:t>
            </w:r>
          </w:p>
        </w:tc>
        <w:tc>
          <w:tcPr>
            <w:tcW w:type="dxa" w:w="2412"/>
            <w:shd w:val="clear" w:fill="1F3864"/>
          </w:tcPr>
          <w:p>
            <w:pPr>
              <w:spacing w:after="20" w:before="20"/>
            </w:pPr>
            <w:r/>
            <w:r>
              <w:rPr>
                <w:b/>
                <w:i w:val="0"/>
                <w:color w:val="FFFFFF"/>
                <w:sz w:val="19"/>
              </w:rPr>
              <w:t>UAE Data Profile</w:t>
            </w:r>
          </w:p>
        </w:tc>
        <w:tc>
          <w:tcPr>
            <w:tcW w:type="dxa" w:w="2412"/>
            <w:shd w:val="clear" w:fill="1F3864"/>
          </w:tcPr>
          <w:p>
            <w:pPr>
              <w:spacing w:after="20" w:before="20"/>
            </w:pPr>
            <w:r/>
            <w:r>
              <w:rPr>
                <w:b/>
                <w:i w:val="0"/>
                <w:color w:val="FFFFFF"/>
                <w:sz w:val="19"/>
              </w:rPr>
              <w:t>Action</w:t>
            </w:r>
          </w:p>
        </w:tc>
      </w:tr>
      <w:tr>
        <w:tc>
          <w:tcPr>
            <w:tcW w:type="dxa" w:w="2412"/>
          </w:tcPr>
          <w:p>
            <w:pPr>
              <w:spacing w:after="20" w:before="20"/>
            </w:pPr>
            <w:r/>
            <w:r>
              <w:rPr>
                <w:b w:val="0"/>
                <w:i w:val="0"/>
                <w:sz w:val="19"/>
              </w:rPr>
              <w:t>Tier 1 — Fully Sovereign</w:t>
            </w:r>
          </w:p>
        </w:tc>
        <w:tc>
          <w:tcPr>
            <w:tcW w:type="dxa" w:w="2412"/>
          </w:tcPr>
          <w:p>
            <w:pPr>
              <w:spacing w:after="20" w:before="20"/>
            </w:pPr>
            <w:r/>
            <w:r>
              <w:rPr>
                <w:b w:val="0"/>
                <w:i w:val="0"/>
                <w:sz w:val="19"/>
              </w:rPr>
              <w:t>BI Dashboards, Search, Telemetry, DAM, Support retrieval</w:t>
            </w:r>
          </w:p>
        </w:tc>
        <w:tc>
          <w:tcPr>
            <w:tcW w:type="dxa" w:w="2412"/>
          </w:tcPr>
          <w:p>
            <w:pPr>
              <w:spacing w:after="20" w:before="20"/>
            </w:pPr>
            <w:r/>
            <w:r>
              <w:rPr>
                <w:b w:val="0"/>
                <w:i w:val="0"/>
                <w:sz w:val="19"/>
              </w:rPr>
              <w:t>All processing within UAE infrastructure No external service involved No cross-border data transfer No PDPL transfer obligations apply</w:t>
            </w:r>
          </w:p>
        </w:tc>
        <w:tc>
          <w:tcPr>
            <w:tcW w:type="dxa" w:w="2412"/>
          </w:tcPr>
          <w:p>
            <w:pPr>
              <w:spacing w:after="20" w:before="20"/>
            </w:pPr>
            <w:r/>
            <w:r>
              <w:rPr>
                <w:b w:val="0"/>
                <w:i w:val="0"/>
                <w:sz w:val="19"/>
              </w:rPr>
              <w:t>No action required — fully compliant by design</w:t>
            </w:r>
          </w:p>
        </w:tc>
      </w:tr>
      <w:tr>
        <w:tc>
          <w:tcPr>
            <w:tcW w:type="dxa" w:w="2412"/>
            <w:shd w:val="clear" w:fill="EEF3F8"/>
          </w:tcPr>
          <w:p>
            <w:pPr>
              <w:spacing w:after="20" w:before="20"/>
            </w:pPr>
            <w:r/>
            <w:r>
              <w:rPr>
                <w:b w:val="0"/>
                <w:i w:val="0"/>
                <w:sz w:val="19"/>
              </w:rPr>
              <w:t>Tier 2 — LLM Assistants</w:t>
            </w:r>
          </w:p>
        </w:tc>
        <w:tc>
          <w:tcPr>
            <w:tcW w:type="dxa" w:w="2412"/>
            <w:shd w:val="clear" w:fill="EEF3F8"/>
          </w:tcPr>
          <w:p>
            <w:pPr>
              <w:spacing w:after="20" w:before="20"/>
            </w:pPr>
            <w:r/>
            <w:r>
              <w:rPr>
                <w:b w:val="0"/>
                <w:i w:val="0"/>
                <w:sz w:val="19"/>
              </w:rPr>
              <w:t>Config Assistant, Reporting Assistant, Support narrative layer</w:t>
            </w:r>
          </w:p>
        </w:tc>
        <w:tc>
          <w:tcPr>
            <w:tcW w:type="dxa" w:w="2412"/>
            <w:shd w:val="clear" w:fill="EEF3F8"/>
          </w:tcPr>
          <w:p>
            <w:pPr>
              <w:spacing w:after="20" w:before="20"/>
            </w:pPr>
            <w:r/>
            <w:r>
              <w:rPr>
                <w:b w:val="0"/>
                <w:i w:val="0"/>
                <w:sz w:val="19"/>
              </w:rPr>
              <w:t>Three options available: A: Cloud API + PII masking + DPA B: OpenAI UAE data residency C: Self-hosted on UAE infrastructure Payment data: always stays in UAE via Stripe tokenisation</w:t>
            </w:r>
          </w:p>
        </w:tc>
        <w:tc>
          <w:tcPr>
            <w:tcW w:type="dxa" w:w="2412"/>
            <w:shd w:val="clear" w:fill="EEF3F8"/>
          </w:tcPr>
          <w:p>
            <w:pPr>
              <w:spacing w:after="20" w:before="20"/>
            </w:pPr>
            <w:r/>
            <w:r>
              <w:rPr>
                <w:b w:val="0"/>
                <w:i w:val="0"/>
                <w:sz w:val="19"/>
              </w:rPr>
              <w:t>Client confirms preferred option at kickoff Working assumption: Option A Option C fully resolves all cross-border concerns</w:t>
            </w:r>
          </w:p>
        </w:tc>
      </w:tr>
      <w:tr>
        <w:tc>
          <w:tcPr>
            <w:tcW w:type="dxa" w:w="2412"/>
          </w:tcPr>
          <w:p>
            <w:pPr>
              <w:spacing w:after="20" w:before="20"/>
            </w:pPr>
            <w:r/>
            <w:r>
              <w:rPr>
                <w:b w:val="0"/>
                <w:i w:val="0"/>
                <w:sz w:val="19"/>
              </w:rPr>
              <w:t>Tier 3 — On-Platform ML</w:t>
            </w:r>
          </w:p>
        </w:tc>
        <w:tc>
          <w:tcPr>
            <w:tcW w:type="dxa" w:w="2412"/>
          </w:tcPr>
          <w:p>
            <w:pPr>
              <w:spacing w:after="20" w:before="20"/>
            </w:pPr>
            <w:r/>
            <w:r>
              <w:rPr>
                <w:b w:val="0"/>
                <w:i w:val="0"/>
                <w:sz w:val="19"/>
              </w:rPr>
              <w:t>Demand Forecasting, Recommendations, Fraud ML, Pricing ML</w:t>
            </w:r>
          </w:p>
        </w:tc>
        <w:tc>
          <w:tcPr>
            <w:tcW w:type="dxa" w:w="2412"/>
          </w:tcPr>
          <w:p>
            <w:pPr>
              <w:spacing w:after="20" w:before="20"/>
            </w:pPr>
            <w:r/>
            <w:r>
              <w:rPr>
                <w:b w:val="0"/>
                <w:i w:val="0"/>
                <w:sz w:val="19"/>
              </w:rPr>
              <w:t>Trains and serves entirely within UAE infrastructure No external API involved All training data stays in UAE PostgreSQL Inference within UAE Kubernetes cluster Cleaner than Tier 2 in every respect</w:t>
            </w:r>
          </w:p>
        </w:tc>
        <w:tc>
          <w:tcPr>
            <w:tcW w:type="dxa" w:w="2412"/>
          </w:tcPr>
          <w:p>
            <w:pPr>
              <w:spacing w:after="20" w:before="20"/>
            </w:pPr>
            <w:r/>
            <w:r>
              <w:rPr>
                <w:b w:val="0"/>
                <w:i w:val="0"/>
                <w:sz w:val="19"/>
              </w:rPr>
              <w:t>No UAE policy concern Activated when client commissions and data is sufficient</w:t>
            </w:r>
          </w:p>
        </w:tc>
      </w:tr>
    </w:tbl>
    <w:p>
      <w:pPr>
        <w:spacing w:after="40"/>
      </w:pPr>
    </w:p>
    <w:tbl>
      <w:tblPr>
        <w:tblStyle w:val="TableGrid"/>
        <w:tblW w:type="auto" w:w="0"/>
        <w:jc w:val="center"/>
        <w:tblLook w:firstColumn="1" w:firstRow="1" w:lastColumn="0" w:lastRow="0" w:noHBand="0" w:noVBand="1" w:val="04A0"/>
      </w:tblPr>
      <w:tblGrid>
        <w:gridCol w:w="9648"/>
      </w:tblGrid>
      <w:tr>
        <w:tc>
          <w:tcPr>
            <w:tcW w:type="dxa" w:w="9648"/>
            <w:shd w:val="clear" w:fill="1F3864"/>
          </w:tcPr>
          <w:p>
            <w:pPr>
              <w:spacing w:after="20" w:before="20"/>
            </w:pPr>
            <w:r/>
            <w:r>
              <w:rPr>
                <w:b/>
                <w:i w:val="0"/>
                <w:color w:val="FFFFFF"/>
                <w:sz w:val="19"/>
              </w:rPr>
              <w:t>UAE Central Bank — Payment Data Localisation</w:t>
            </w:r>
            <w:r>
              <w:rPr>
                <w:b/>
                <w:i w:val="0"/>
                <w:color w:val="FFFFFF"/>
                <w:sz w:val="19"/>
              </w:rPr>
              <w:t xml:space="preserve"> UAE Central Bank regulations require financial and payment data to remain within the UAE. This is handled architecturally: raw card numbers and transaction records never enter TAIS at all. Stripe handles card data via tokenisation at the device and browser level. TAIS stores only Stripe payment tokens. None of this data reaches the LLM layer under any option.</w:t>
            </w:r>
          </w:p>
        </w:tc>
      </w:tr>
    </w:tbl>
    <w:p>
      <w:pPr>
        <w:spacing w:after="40"/>
      </w:pPr>
    </w:p>
    <w:p>
      <w:pPr>
        <w:spacing w:after="120" w:line="259" w:lineRule="auto"/>
      </w:pPr>
      <w:r>
        <w:rPr>
          <w:b w:val="0"/>
          <w:i w:val="0"/>
        </w:rPr>
        <w:t>Miracle Star Trading L.L.C. | Confidential | Page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