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jc w:val="center"/>
        <w:tblLook w:val="04A0" w:firstRow="1" w:lastRow="0" w:firstColumn="1" w:lastColumn="0" w:noHBand="0" w:noVBand="1"/>
      </w:tblPr>
      <w:tblGrid>
        <w:gridCol w:w="9648"/>
      </w:tblGrid>
      <w:tr xmlns:wp14="http://schemas.microsoft.com/office/word/2010/wordml" w:rsidTr="79CB12F7" w14:paraId="502FAFCC" wp14:textId="77777777">
        <w:tc>
          <w:tcPr>
            <w:tcW w:w="9648" w:type="dxa"/>
            <w:shd w:val="clear" w:color="auto" w:fill="1F3864"/>
            <w:tcMar/>
          </w:tcPr>
          <w:p w14:paraId="49D37681" wp14:textId="68CE503A">
            <w:pPr>
              <w:spacing w:before="20" w:after="20"/>
            </w:pPr>
            <w:r w:rsidRPr="79CB12F7" w:rsidR="62ECA98F">
              <w:rPr>
                <w:b w:val="1"/>
                <w:bCs w:val="1"/>
                <w:i w:val="0"/>
                <w:iCs w:val="0"/>
                <w:color w:val="FFFFFF"/>
                <w:sz w:val="19"/>
                <w:szCs w:val="19"/>
              </w:rPr>
              <w:t xml:space="preserve">+Chapter 9 Platform Vision </w:t>
            </w:r>
            <w:r w:rsidRPr="79CB12F7" w:rsidR="79CB12F7">
              <w:rPr>
                <w:b w:val="1"/>
                <w:bCs w:val="1"/>
                <w:i w:val="0"/>
                <w:iCs w:val="0"/>
                <w:color w:val="FFFFFF" w:themeColor="background1" w:themeTint="FF" w:themeShade="FF"/>
                <w:sz w:val="19"/>
                <w:szCs w:val="19"/>
              </w:rPr>
              <w:t>&amp;</w:t>
            </w:r>
            <w:r w:rsidRPr="79CB12F7" w:rsidR="79CB12F7">
              <w:rPr>
                <w:b w:val="1"/>
                <w:bCs w:val="1"/>
                <w:i w:val="0"/>
                <w:iCs w:val="0"/>
                <w:color w:val="FFFFFF" w:themeColor="background1" w:themeTint="FF" w:themeShade="FF"/>
                <w:sz w:val="19"/>
                <w:szCs w:val="19"/>
              </w:rPr>
              <w:t xml:space="preserve"> Differentiators</w:t>
            </w:r>
          </w:p>
        </w:tc>
      </w:tr>
    </w:tbl>
    <w:p xmlns:wp14="http://schemas.microsoft.com/office/word/2010/wordml" w14:paraId="672A6659" wp14:textId="77777777">
      <w:pPr>
        <w:spacing w:after="40"/>
      </w:pPr>
    </w:p>
    <w:p xmlns:wp14="http://schemas.microsoft.com/office/word/2010/wordml" w14:paraId="25BB3312" wp14:textId="77777777">
      <w:pPr>
        <w:pStyle w:val="Heading1"/>
        <w:spacing w:before="280" w:after="120"/>
      </w:pPr>
      <w:r>
        <w:rPr>
          <w:b/>
          <w:color w:val="1F3864"/>
          <w:sz w:val="36"/>
        </w:rPr>
        <w:t>9. Platform Vision &amp; Differentiators</w:t>
      </w:r>
    </w:p>
    <w:p xmlns:wp14="http://schemas.microsoft.com/office/word/2010/wordml" w14:paraId="436200A5" wp14:textId="77777777">
      <w:pPr>
        <w:pStyle w:val="Heading2"/>
        <w:spacing w:before="200" w:after="80"/>
      </w:pPr>
      <w:r>
        <w:rPr>
          <w:b/>
          <w:color w:val="2E75B6"/>
          <w:sz w:val="28"/>
        </w:rPr>
        <w:t>9.1 The Platform at Full Delivery</w:t>
      </w:r>
    </w:p>
    <w:p xmlns:wp14="http://schemas.microsoft.com/office/word/2010/wordml" w14:paraId="7E362C87" wp14:textId="77777777">
      <w:pPr>
        <w:spacing w:after="120" w:line="259" w:lineRule="auto"/>
      </w:pPr>
      <w:r>
        <w:rPr>
          <w:i/>
          <w:color w:val="555555"/>
        </w:rPr>
        <w:t>At full delivery, TAIS is a platform with no peer in the UAE entertainment sector. It is the operational backbone that allows a venue group to run every dimension of its business from a single system.</w:t>
      </w:r>
    </w:p>
    <w:p xmlns:wp14="http://schemas.microsoft.com/office/word/2010/wordml" w14:paraId="2AF7771D" wp14:textId="77777777">
      <w:pPr>
        <w:spacing w:after="80"/>
      </w:pPr>
      <w:r>
        <w:rPr>
          <w:i/>
          <w:color w:val="555555"/>
          <w:sz w:val="18"/>
        </w:rPr>
        <w:t>Figure 9.1 — TAIS Platform Vision: 12 Domains, One Unified Operating System</w:t>
      </w:r>
    </w:p>
    <w:p xmlns:wp14="http://schemas.microsoft.com/office/word/2010/wordml" w14:paraId="1AB9BC58" wp14:textId="77777777">
      <w:pPr>
        <w:spacing w:after="120" w:line="259" w:lineRule="auto"/>
      </w:pPr>
      <w:r>
        <w:rPr>
          <w:b w:val="0"/>
          <w:i w:val="0"/>
        </w:rPr>
        <w:t>At 17 months from contract signing, the TAIS platform delivers what no fragmented system stack can: a complete, owned, UAE-compliant venue operating system. The platform eliminates the fragmented system landscape that characterises most UAE venue operators today: a ticketing system, a separate POS, a separate finance package, a separate CRM, and manual reconciliation between all of them. TAIS replaces that landscape with a single platform where every transaction, every guest interaction, and every operational event flows through the same data model, the same ledger, and the same intelligence layer.</w:t>
      </w:r>
    </w:p>
    <w:p xmlns:wp14="http://schemas.microsoft.com/office/word/2010/wordml" w14:paraId="49F1FE9B" wp14:textId="77777777">
      <w:pPr>
        <w:spacing w:after="120" w:line="259" w:lineRule="auto"/>
      </w:pPr>
      <w:r>
        <w:rPr>
          <w:b w:val="0"/>
          <w:i w:val="0"/>
        </w:rPr>
        <w:t>At the Phase 1 gate (Month 8), the client has a production-ready platform across every venue in their estate. At the Month 16 gate, the enterprise integrations are live, the rule-based operational engines are running, and the client’s internal team is operationally independent with a fully documented, source-code-owned platform.</w:t>
      </w:r>
    </w:p>
    <w:tbl>
      <w:tblPr>
        <w:tblStyle w:val="TableGrid"/>
        <w:tblW w:w="0" w:type="auto"/>
        <w:jc w:val="center"/>
        <w:tblLook w:val="04A0" w:firstRow="1" w:lastRow="0" w:firstColumn="1" w:lastColumn="0" w:noHBand="0" w:noVBand="1"/>
      </w:tblPr>
      <w:tblGrid>
        <w:gridCol w:w="4824"/>
        <w:gridCol w:w="4824"/>
      </w:tblGrid>
      <w:tr xmlns:wp14="http://schemas.microsoft.com/office/word/2010/wordml" w14:paraId="53DB84E6" wp14:textId="77777777">
        <w:tc>
          <w:tcPr>
            <w:tcW w:w="4824" w:type="dxa"/>
            <w:shd w:val="clear" w:fill="1F3864"/>
          </w:tcPr>
          <w:p w14:paraId="53B73369" wp14:textId="77777777">
            <w:pPr>
              <w:spacing w:before="20" w:after="20"/>
            </w:pPr>
            <w:r/>
            <w:r>
              <w:rPr>
                <w:b/>
                <w:i w:val="0"/>
                <w:color w:val="FFFFFF"/>
                <w:sz w:val="19"/>
              </w:rPr>
              <w:t>What TAIS Delivers at Full Operation</w:t>
            </w:r>
          </w:p>
        </w:tc>
        <w:tc>
          <w:tcPr>
            <w:tcW w:w="4824" w:type="dxa"/>
            <w:shd w:val="clear" w:fill="1F3864"/>
          </w:tcPr>
          <w:p w14:paraId="553F2FC8" wp14:textId="77777777">
            <w:pPr>
              <w:spacing w:before="20" w:after="20"/>
            </w:pPr>
            <w:r/>
            <w:r>
              <w:rPr>
                <w:b/>
                <w:i w:val="0"/>
                <w:color w:val="FFFFFF"/>
                <w:sz w:val="19"/>
              </w:rPr>
              <w:t>Timeline</w:t>
            </w:r>
          </w:p>
        </w:tc>
      </w:tr>
      <w:tr xmlns:wp14="http://schemas.microsoft.com/office/word/2010/wordml" w14:paraId="4E11123C" wp14:textId="77777777">
        <w:tc>
          <w:tcPr>
            <w:tcW w:w="4824" w:type="dxa"/>
          </w:tcPr>
          <w:p w14:paraId="4BD762AE" wp14:textId="77777777">
            <w:pPr>
              <w:spacing w:before="20" w:after="20"/>
            </w:pPr>
            <w:r/>
            <w:r>
              <w:rPr>
                <w:b w:val="0"/>
                <w:i w:val="0"/>
                <w:sz w:val="19"/>
              </w:rPr>
              <w:t>Sell tickets across every channel — web, mobile, POS, kiosk, OTA, partner portals — under unified inventory and pricing</w:t>
            </w:r>
          </w:p>
        </w:tc>
        <w:tc>
          <w:tcPr>
            <w:tcW w:w="4824" w:type="dxa"/>
          </w:tcPr>
          <w:p w14:paraId="74970F1E" wp14:textId="77777777">
            <w:pPr>
              <w:spacing w:before="20" w:after="20"/>
            </w:pPr>
            <w:r/>
            <w:r>
              <w:rPr>
                <w:b w:val="0"/>
                <w:i w:val="0"/>
                <w:sz w:val="19"/>
              </w:rPr>
              <w:t>Phase 1</w:t>
            </w:r>
          </w:p>
        </w:tc>
      </w:tr>
      <w:tr xmlns:wp14="http://schemas.microsoft.com/office/word/2010/wordml" w14:paraId="4B7860C9" wp14:textId="77777777">
        <w:tc>
          <w:tcPr>
            <w:tcW w:w="4824" w:type="dxa"/>
            <w:shd w:val="clear" w:fill="EEF3F8"/>
          </w:tcPr>
          <w:p w14:paraId="739E6E22" wp14:textId="77777777">
            <w:pPr>
              <w:spacing w:before="20" w:after="20"/>
            </w:pPr>
            <w:r/>
            <w:r>
              <w:rPr>
                <w:b w:val="0"/>
                <w:i w:val="0"/>
                <w:sz w:val="19"/>
              </w:rPr>
              <w:t>Process payments, recognise revenue, reconcile settlements, and produce FTA-compliant UAE VAT reports without an external accounting system</w:t>
            </w:r>
          </w:p>
        </w:tc>
        <w:tc>
          <w:tcPr>
            <w:tcW w:w="4824" w:type="dxa"/>
            <w:shd w:val="clear" w:fill="EEF3F8"/>
          </w:tcPr>
          <w:p w14:paraId="23046049" wp14:textId="77777777">
            <w:pPr>
              <w:spacing w:before="20" w:after="20"/>
            </w:pPr>
            <w:r/>
            <w:r>
              <w:rPr>
                <w:b w:val="0"/>
                <w:i w:val="0"/>
                <w:sz w:val="19"/>
              </w:rPr>
              <w:t>Phase 1</w:t>
            </w:r>
          </w:p>
        </w:tc>
      </w:tr>
      <w:tr xmlns:wp14="http://schemas.microsoft.com/office/word/2010/wordml" w14:paraId="45D582E0" wp14:textId="77777777">
        <w:tc>
          <w:tcPr>
            <w:tcW w:w="4824" w:type="dxa"/>
          </w:tcPr>
          <w:p w14:paraId="0B117AC8" wp14:textId="77777777">
            <w:pPr>
              <w:spacing w:before="20" w:after="20"/>
            </w:pPr>
            <w:r/>
            <w:r>
              <w:rPr>
                <w:b w:val="0"/>
                <w:i w:val="0"/>
                <w:sz w:val="19"/>
              </w:rPr>
              <w:t>Validate access at physical gates in under 500 milliseconds, even with no network connection, using cryptographic ticket signing</w:t>
            </w:r>
          </w:p>
        </w:tc>
        <w:tc>
          <w:tcPr>
            <w:tcW w:w="4824" w:type="dxa"/>
          </w:tcPr>
          <w:p w14:paraId="09F86941" wp14:textId="77777777">
            <w:pPr>
              <w:spacing w:before="20" w:after="20"/>
            </w:pPr>
            <w:r/>
            <w:r>
              <w:rPr>
                <w:b w:val="0"/>
                <w:i w:val="0"/>
                <w:sz w:val="19"/>
              </w:rPr>
              <w:t>Phase 1</w:t>
            </w:r>
          </w:p>
        </w:tc>
      </w:tr>
      <w:tr xmlns:wp14="http://schemas.microsoft.com/office/word/2010/wordml" w14:paraId="41EBE072" wp14:textId="77777777">
        <w:tc>
          <w:tcPr>
            <w:tcW w:w="4824" w:type="dxa"/>
            <w:shd w:val="clear" w:fill="EEF3F8"/>
          </w:tcPr>
          <w:p w14:paraId="30F9A1DF" wp14:textId="77777777">
            <w:pPr>
              <w:spacing w:before="20" w:after="20"/>
            </w:pPr>
            <w:r/>
            <w:r>
              <w:rPr>
                <w:b w:val="0"/>
                <w:i w:val="0"/>
                <w:sz w:val="19"/>
              </w:rPr>
              <w:t>Give every venue manager conversational access to operational data through AI assistants that speak plain English and Arabic</w:t>
            </w:r>
          </w:p>
        </w:tc>
        <w:tc>
          <w:tcPr>
            <w:tcW w:w="4824" w:type="dxa"/>
            <w:shd w:val="clear" w:fill="EEF3F8"/>
          </w:tcPr>
          <w:p w14:paraId="2EE83F5E" wp14:textId="77777777">
            <w:pPr>
              <w:spacing w:before="20" w:after="20"/>
            </w:pPr>
            <w:r/>
            <w:r>
              <w:rPr>
                <w:b w:val="0"/>
                <w:i w:val="0"/>
                <w:sz w:val="19"/>
              </w:rPr>
              <w:t>Phase 1</w:t>
            </w:r>
          </w:p>
        </w:tc>
      </w:tr>
      <w:tr xmlns:wp14="http://schemas.microsoft.com/office/word/2010/wordml" w14:paraId="5B104B20" wp14:textId="77777777">
        <w:tc>
          <w:tcPr>
            <w:tcW w:w="4824" w:type="dxa"/>
          </w:tcPr>
          <w:p w14:paraId="2803A113" wp14:textId="77777777">
            <w:pPr>
              <w:spacing w:before="20" w:after="20"/>
            </w:pPr>
            <w:r/>
            <w:r>
              <w:rPr>
                <w:b w:val="0"/>
                <w:i w:val="0"/>
                <w:sz w:val="19"/>
              </w:rPr>
              <w:t>Manage 7 to 70+ venues from a single multi-tenant platform that scales without architectural change</w:t>
            </w:r>
          </w:p>
        </w:tc>
        <w:tc>
          <w:tcPr>
            <w:tcW w:w="4824" w:type="dxa"/>
          </w:tcPr>
          <w:p w14:paraId="3C3B7326" wp14:textId="77777777">
            <w:pPr>
              <w:spacing w:before="20" w:after="20"/>
            </w:pPr>
            <w:r/>
            <w:r>
              <w:rPr>
                <w:b w:val="0"/>
                <w:i w:val="0"/>
                <w:sz w:val="19"/>
              </w:rPr>
              <w:t>Phase 1</w:t>
            </w:r>
          </w:p>
        </w:tc>
      </w:tr>
      <w:tr xmlns:wp14="http://schemas.microsoft.com/office/word/2010/wordml" w14:paraId="4B970C2E" wp14:textId="77777777">
        <w:tc>
          <w:tcPr>
            <w:tcW w:w="4824" w:type="dxa"/>
            <w:shd w:val="clear" w:fill="EEF3F8"/>
          </w:tcPr>
          <w:p w14:paraId="6BBCB3C8" wp14:textId="77777777">
            <w:pPr>
              <w:spacing w:before="20" w:after="20"/>
            </w:pPr>
            <w:r/>
            <w:r>
              <w:rPr>
                <w:b w:val="0"/>
                <w:i w:val="0"/>
                <w:sz w:val="19"/>
              </w:rPr>
              <w:t>Run rule-based dynamic pricing and fraud detection engines that respond to demand signals in real time</w:t>
            </w:r>
          </w:p>
        </w:tc>
        <w:tc>
          <w:tcPr>
            <w:tcW w:w="4824" w:type="dxa"/>
            <w:shd w:val="clear" w:fill="EEF3F8"/>
          </w:tcPr>
          <w:p w14:paraId="016CF5A2" wp14:textId="77777777">
            <w:pPr>
              <w:spacing w:before="20" w:after="20"/>
            </w:pPr>
            <w:r/>
            <w:r>
              <w:rPr>
                <w:b w:val="0"/>
                <w:i w:val="0"/>
                <w:sz w:val="19"/>
              </w:rPr>
              <w:t>Phase 2 (Month 10–11)</w:t>
            </w:r>
          </w:p>
        </w:tc>
      </w:tr>
      <w:tr xmlns:wp14="http://schemas.microsoft.com/office/word/2010/wordml" w14:paraId="2A0B9630" wp14:textId="77777777">
        <w:tc>
          <w:tcPr>
            <w:tcW w:w="4824" w:type="dxa"/>
          </w:tcPr>
          <w:p w14:paraId="36A9C652" wp14:textId="77777777">
            <w:pPr>
              <w:spacing w:before="20" w:after="20"/>
            </w:pPr>
            <w:r/>
            <w:r>
              <w:rPr>
                <w:b w:val="0"/>
                <w:i w:val="0"/>
                <w:sz w:val="19"/>
              </w:rPr>
              <w:t>Integrate with the client’s external ERP and CRM systems through documented bi-directional adapters</w:t>
            </w:r>
          </w:p>
        </w:tc>
        <w:tc>
          <w:tcPr>
            <w:tcW w:w="4824" w:type="dxa"/>
          </w:tcPr>
          <w:p w14:paraId="1EF4B4C9" wp14:textId="77777777">
            <w:pPr>
              <w:spacing w:before="20" w:after="20"/>
            </w:pPr>
            <w:r/>
            <w:r>
              <w:rPr>
                <w:b w:val="0"/>
                <w:i w:val="0"/>
                <w:sz w:val="19"/>
              </w:rPr>
              <w:t>Red-card clause (on request)</w:t>
            </w:r>
          </w:p>
        </w:tc>
      </w:tr>
      <w:tr xmlns:wp14="http://schemas.microsoft.com/office/word/2010/wordml" w14:paraId="0AB50D8D" wp14:textId="77777777">
        <w:tc>
          <w:tcPr>
            <w:tcW w:w="4824" w:type="dxa"/>
            <w:shd w:val="clear" w:fill="EEF3F8"/>
          </w:tcPr>
          <w:p w14:paraId="523E34A2" wp14:textId="77777777">
            <w:pPr>
              <w:spacing w:before="20" w:after="20"/>
            </w:pPr>
            <w:r/>
            <w:r>
              <w:rPr>
                <w:b w:val="0"/>
                <w:i w:val="0"/>
                <w:sz w:val="19"/>
              </w:rPr>
              <w:t>Commission ML demand forecasting, recommendation engines, and pricing optimisation when live data is sufficient</w:t>
            </w:r>
          </w:p>
        </w:tc>
        <w:tc>
          <w:tcPr>
            <w:tcW w:w="4824" w:type="dxa"/>
            <w:shd w:val="clear" w:fill="EEF3F8"/>
          </w:tcPr>
          <w:p w14:paraId="6CF14565" wp14:textId="77777777">
            <w:pPr>
              <w:spacing w:before="20" w:after="20"/>
            </w:pPr>
            <w:r/>
            <w:r>
              <w:rPr>
                <w:b w:val="0"/>
                <w:i w:val="0"/>
                <w:sz w:val="19"/>
              </w:rPr>
              <w:t>Future — client-commissioned</w:t>
            </w:r>
          </w:p>
        </w:tc>
      </w:tr>
    </w:tbl>
    <w:p xmlns:wp14="http://schemas.microsoft.com/office/word/2010/wordml" w14:paraId="0A37501D" wp14:textId="77777777">
      <w:pPr>
        <w:spacing w:after="40"/>
      </w:pPr>
    </w:p>
    <w:p xmlns:wp14="http://schemas.microsoft.com/office/word/2010/wordml" w14:paraId="38814860" wp14:textId="77777777">
      <w:pPr>
        <w:pStyle w:val="Heading2"/>
        <w:spacing w:before="200" w:after="80"/>
      </w:pPr>
      <w:r>
        <w:rPr>
          <w:b/>
          <w:color w:val="2E75B6"/>
          <w:sz w:val="28"/>
        </w:rPr>
        <w:t>9.2 What Makes This Proposal Different</w:t>
      </w:r>
    </w:p>
    <w:p xmlns:wp14="http://schemas.microsoft.com/office/word/2010/wordml" w14:paraId="4AC294C3" wp14:textId="77777777">
      <w:pPr>
        <w:spacing w:after="120" w:line="259" w:lineRule="auto"/>
      </w:pPr>
      <w:r>
        <w:rPr>
          <w:b w:val="0"/>
          <w:i w:val="0"/>
        </w:rPr>
        <w:t>Most venue platform proposals address the same requirements with the same language. What differentiates this proposal — and the platform it describes — is not the feature list but the depth of engineering thinking behind seven specific decisions.</w:t>
      </w:r>
    </w:p>
    <w:p xmlns:wp14="http://schemas.microsoft.com/office/word/2010/wordml" w14:paraId="3E6730A4" wp14:textId="77777777">
      <w:pPr>
        <w:spacing w:after="80"/>
      </w:pPr>
      <w:r>
        <w:rPr>
          <w:i/>
          <w:color w:val="555555"/>
          <w:sz w:val="18"/>
        </w:rPr>
        <w:t>Figure 9.2 — Competitive Differentiation: Key Capabilities vs Typical Vendor Approaches</w:t>
      </w:r>
    </w:p>
    <w:tbl>
      <w:tblPr>
        <w:tblStyle w:val="TableGrid"/>
        <w:tblW w:w="0" w:type="auto"/>
        <w:jc w:val="center"/>
        <w:tblLook w:val="04A0" w:firstRow="1" w:lastRow="0" w:firstColumn="1" w:lastColumn="0" w:noHBand="0" w:noVBand="1"/>
      </w:tblPr>
      <w:tblGrid>
        <w:gridCol w:w="9648"/>
      </w:tblGrid>
      <w:tr xmlns:wp14="http://schemas.microsoft.com/office/word/2010/wordml" w14:paraId="406181AA" wp14:textId="77777777">
        <w:tc>
          <w:tcPr>
            <w:tcW w:w="9648" w:type="dxa"/>
            <w:shd w:val="clear" w:fill="1F3864"/>
          </w:tcPr>
          <w:p w14:paraId="30B5C884" wp14:textId="77777777">
            <w:pPr>
              <w:spacing w:before="20" w:after="20"/>
            </w:pPr>
            <w:r/>
            <w:r>
              <w:rPr>
                <w:b/>
                <w:i w:val="0"/>
                <w:color w:val="FFFFFF"/>
                <w:sz w:val="19"/>
              </w:rPr>
              <w:t>1. Offline-First as Architecture, Not Feature</w:t>
            </w:r>
            <w:r>
              <w:rPr>
                <w:b/>
                <w:i w:val="0"/>
                <w:color w:val="FFFFFF"/>
                <w:sz w:val="19"/>
              </w:rPr>
              <w:t xml:space="preserve"> </w:t>
            </w:r>
            <w:r>
              <w:rPr>
                <w:b/>
                <w:i/>
                <w:color w:val="FFFFFF"/>
                <w:sz w:val="19"/>
              </w:rPr>
              <w:t>Event-sourced thick clients with cryptographic ticket validation. Network loss is expected, not exceptional.</w:t>
            </w:r>
          </w:p>
        </w:tc>
      </w:tr>
    </w:tbl>
    <w:p xmlns:wp14="http://schemas.microsoft.com/office/word/2010/wordml" w14:paraId="5DAB6C7B" wp14:textId="77777777">
      <w:pPr>
        <w:spacing w:after="40"/>
      </w:pPr>
    </w:p>
    <w:p xmlns:wp14="http://schemas.microsoft.com/office/word/2010/wordml" w14:paraId="72587649" wp14:textId="77777777">
      <w:pPr>
        <w:spacing w:after="120" w:line="259" w:lineRule="auto"/>
      </w:pPr>
      <w:r>
        <w:rPr>
          <w:b w:val="0"/>
          <w:i w:val="0"/>
        </w:rPr>
        <w:t>Most venue platforms are web-first and treat offline as a degraded edge case. TAIS treats offline as the baseline. The POS terminal, ticket scanner, and staff mobile app are all designed to operate completely and correctly with no network connection for up to four configurable hours. The event-sourced local store pattern means every device maintains an append-only log of local actions that is replayed to the central platform on reconnection — no conflicts, no data loss, no manual reconciliation.</w:t>
      </w:r>
    </w:p>
    <w:p xmlns:wp14="http://schemas.microsoft.com/office/word/2010/wordml" w14:paraId="5DF3EAC2" wp14:textId="77777777">
      <w:pPr>
        <w:spacing w:after="120" w:line="259" w:lineRule="auto"/>
      </w:pPr>
      <w:r>
        <w:rPr>
          <w:b w:val="0"/>
          <w:i w:val="0"/>
        </w:rPr>
        <w:t>Ticket validation at entry gates uses asymmetric cryptographic signatures. The private key never leaves the TAIS servers. The scanner holds only the public key and validates entirely locally in under 500 milliseconds — which is faster than a server round-trip even when online. This architecture means the entry gate never fails due to network issues. It is an architectural decision, not a feature that can be added later.</w:t>
      </w:r>
    </w:p>
    <w:tbl>
      <w:tblPr>
        <w:tblStyle w:val="TableGrid"/>
        <w:tblW w:w="0" w:type="auto"/>
        <w:jc w:val="center"/>
        <w:tblLook w:val="04A0" w:firstRow="1" w:lastRow="0" w:firstColumn="1" w:lastColumn="0" w:noHBand="0" w:noVBand="1"/>
      </w:tblPr>
      <w:tblGrid>
        <w:gridCol w:w="9648"/>
      </w:tblGrid>
      <w:tr xmlns:wp14="http://schemas.microsoft.com/office/word/2010/wordml" w14:paraId="68E8B59B" wp14:textId="77777777">
        <w:tc>
          <w:tcPr>
            <w:tcW w:w="9648" w:type="dxa"/>
            <w:shd w:val="clear" w:fill="1F3864"/>
          </w:tcPr>
          <w:p w14:paraId="11493041" wp14:textId="77777777">
            <w:pPr>
              <w:spacing w:before="20" w:after="20"/>
            </w:pPr>
            <w:r/>
            <w:r>
              <w:rPr>
                <w:b/>
                <w:i w:val="0"/>
                <w:color w:val="FFFFFF"/>
                <w:sz w:val="19"/>
              </w:rPr>
              <w:t>2. Financial-Grade Accounting, Not Payment Processing</w:t>
            </w:r>
            <w:r>
              <w:rPr>
                <w:b/>
                <w:i w:val="0"/>
                <w:color w:val="FFFFFF"/>
                <w:sz w:val="19"/>
              </w:rPr>
              <w:t xml:space="preserve"> </w:t>
            </w:r>
            <w:r>
              <w:rPr>
                <w:b/>
                <w:i/>
                <w:color w:val="FFFFFF"/>
                <w:sz w:val="19"/>
              </w:rPr>
              <w:t>Native double-entry ledger with deferred revenue, UAE VAT engine, and settlement reconciliation.</w:t>
            </w:r>
          </w:p>
        </w:tc>
      </w:tr>
    </w:tbl>
    <w:p xmlns:wp14="http://schemas.microsoft.com/office/word/2010/wordml" w14:paraId="02EB378F" wp14:textId="77777777">
      <w:pPr>
        <w:spacing w:after="40"/>
      </w:pPr>
    </w:p>
    <w:p xmlns:wp14="http://schemas.microsoft.com/office/word/2010/wordml" w14:paraId="4142B313" wp14:textId="77777777">
      <w:pPr>
        <w:spacing w:after="120" w:line="259" w:lineRule="auto"/>
      </w:pPr>
      <w:r>
        <w:rPr>
          <w:b w:val="0"/>
          <w:i w:val="0"/>
        </w:rPr>
        <w:t>The vast majority of ticketing platforms process payments. TAIS maintains accounts. Every transaction — ticket sale, refund, wallet top-up, F&amp;B purchase, chargeback — produces a double-entry ledger record. The ledger is the source of truth. At any point in time, the platform can produce a trial balance, a profit and loss statement, and a balance sheet without data transformation.</w:t>
      </w:r>
    </w:p>
    <w:p xmlns:wp14="http://schemas.microsoft.com/office/word/2010/wordml" w14:paraId="24AEE24E" wp14:textId="77777777">
      <w:pPr>
        <w:spacing w:after="120" w:line="259" w:lineRule="auto"/>
      </w:pPr>
      <w:r>
        <w:rPr>
          <w:b w:val="0"/>
          <w:i w:val="0"/>
        </w:rPr>
        <w:t>The UAE VAT engine is configured at 5% from day one, with zero-rated and exempt categories configurable per product SKU. Tax invoices meet Federal Tax Authority requirements: TRN number, itemised VAT breakdown, supplier and buyer details. The deferred revenue engine recognises revenue on the date of visit, not the date of purchase — correctly handling advance ticket sales, future-dated bookings, and annual passes without manual journal entries.</w:t>
      </w:r>
    </w:p>
    <w:p xmlns:wp14="http://schemas.microsoft.com/office/word/2010/wordml" w14:paraId="4D921FA1" wp14:textId="77777777">
      <w:pPr>
        <w:spacing w:after="120" w:line="259" w:lineRule="auto"/>
      </w:pPr>
      <w:r>
        <w:rPr>
          <w:b w:val="0"/>
          <w:i w:val="0"/>
        </w:rPr>
        <w:t>This is built in .NET for a reason: financial-grade correctness in transactional logic, strong typing, ACID compliance, and a mature ecosystem for the kind of reconciliation and audit trail work that finance teams actually need.</w:t>
      </w:r>
    </w:p>
    <w:tbl>
      <w:tblPr>
        <w:tblStyle w:val="TableGrid"/>
        <w:tblW w:w="0" w:type="auto"/>
        <w:jc w:val="center"/>
        <w:tblLook w:val="04A0" w:firstRow="1" w:lastRow="0" w:firstColumn="1" w:lastColumn="0" w:noHBand="0" w:noVBand="1"/>
      </w:tblPr>
      <w:tblGrid>
        <w:gridCol w:w="9648"/>
      </w:tblGrid>
      <w:tr xmlns:wp14="http://schemas.microsoft.com/office/word/2010/wordml" w14:paraId="118C56C2" wp14:textId="77777777">
        <w:tc>
          <w:tcPr>
            <w:tcW w:w="9648" w:type="dxa"/>
            <w:shd w:val="clear" w:fill="1F3864"/>
          </w:tcPr>
          <w:p w14:paraId="5428AE1D" wp14:textId="77777777">
            <w:pPr>
              <w:spacing w:before="20" w:after="20"/>
            </w:pPr>
            <w:r/>
            <w:r>
              <w:rPr>
                <w:b/>
                <w:i w:val="0"/>
                <w:color w:val="FFFFFF"/>
                <w:sz w:val="19"/>
              </w:rPr>
              <w:t>3. Three-Tier AI with an Honest UAE Policy Position</w:t>
            </w:r>
            <w:r>
              <w:rPr>
                <w:b/>
                <w:i w:val="0"/>
                <w:color w:val="FFFFFF"/>
                <w:sz w:val="19"/>
              </w:rPr>
              <w:t xml:space="preserve"> </w:t>
            </w:r>
            <w:r>
              <w:rPr>
                <w:b/>
                <w:i/>
                <w:color w:val="FFFFFF"/>
                <w:sz w:val="19"/>
              </w:rPr>
              <w:t>Fully sovereign Tier 1, client-decision Tier 2, recommended future Tier 3. No ambiguity.</w:t>
            </w:r>
          </w:p>
        </w:tc>
      </w:tr>
    </w:tbl>
    <w:p xmlns:wp14="http://schemas.microsoft.com/office/word/2010/wordml" w14:paraId="6A05A809" wp14:textId="77777777">
      <w:pPr>
        <w:spacing w:after="40"/>
      </w:pPr>
    </w:p>
    <w:p xmlns:wp14="http://schemas.microsoft.com/office/word/2010/wordml" w14:paraId="44C8F332" wp14:textId="77777777">
      <w:pPr>
        <w:spacing w:after="120" w:line="259" w:lineRule="auto"/>
      </w:pPr>
      <w:r>
        <w:rPr>
          <w:b w:val="0"/>
          <w:i w:val="0"/>
        </w:rPr>
        <w:t>Most vendor AI proposals either ignore UAE data sovereignty entirely or give it a footnote. This proposal dedicates a section to it because the architecture decisions follow from the policy decisions.</w:t>
      </w:r>
    </w:p>
    <w:p xmlns:wp14="http://schemas.microsoft.com/office/word/2010/wordml" w14:paraId="5468FF36" wp14:textId="77777777">
      <w:pPr>
        <w:spacing w:after="120" w:line="259" w:lineRule="auto"/>
      </w:pPr>
      <w:r>
        <w:rPr>
          <w:b w:val="0"/>
          <w:i w:val="0"/>
        </w:rPr>
        <w:t>Tier 1 capabilities — BI dashboards, semantic search, system telemetry, digital asset management, the support chatbot retrieval layer — run entirely within the client’s UAE infrastructure. No data leaves the country. No external API is involved. From a UAE PDPL perspective, there is no cross-border data transfer to regulate.</w:t>
      </w:r>
    </w:p>
    <w:p xmlns:wp14="http://schemas.microsoft.com/office/word/2010/wordml" w14:paraId="73668B7F" wp14:textId="77777777">
      <w:pPr>
        <w:spacing w:after="120" w:line="259" w:lineRule="auto"/>
      </w:pPr>
      <w:r>
        <w:rPr>
          <w:b w:val="0"/>
          <w:i w:val="0"/>
        </w:rPr>
        <w:t>Tier 2 capabilities — the Configuration Assistant, Reporting Assistant, and support chatbot narrative layer — require an LLM. The architecture supports three deployment options: cloud API with PII masking and Data Processing Agreement (Option A, working assumption), OpenAI UAE data residency via Azure UAE datacentres (Option B), or a fully self-hosted open-source LLM on UAE infrastructure (Option C). The client confirms their preferred option at the Discovery kickoff. The architecture accommodates all three without a rebuild.</w:t>
      </w:r>
    </w:p>
    <w:p xmlns:wp14="http://schemas.microsoft.com/office/word/2010/wordml" w14:paraId="6661C088" wp14:textId="77777777">
      <w:pPr>
        <w:spacing w:after="120" w:line="259" w:lineRule="auto"/>
      </w:pPr>
      <w:r>
        <w:rPr>
          <w:b w:val="0"/>
          <w:i w:val="0"/>
        </w:rPr>
        <w:t>Tier 3 capabilities — ML demand forecasting, recommendation engine, fraud anomaly detection, price optimisation — run entirely within the client’s UAE Kubernetes cluster when commissioned. Training data stays in UAE. Inference runs in UAE. These capabilities are recommended when the client has sufficient live data and are the cleanest tier from a UAE data sovereignty perspective.</w:t>
      </w:r>
    </w:p>
    <w:tbl>
      <w:tblPr>
        <w:tblStyle w:val="TableGrid"/>
        <w:tblW w:w="0" w:type="auto"/>
        <w:jc w:val="center"/>
        <w:tblLook w:val="04A0" w:firstRow="1" w:lastRow="0" w:firstColumn="1" w:lastColumn="0" w:noHBand="0" w:noVBand="1"/>
      </w:tblPr>
      <w:tblGrid>
        <w:gridCol w:w="9648"/>
      </w:tblGrid>
      <w:tr xmlns:wp14="http://schemas.microsoft.com/office/word/2010/wordml" w14:paraId="49CA5600" wp14:textId="77777777">
        <w:tc>
          <w:tcPr>
            <w:tcW w:w="9648" w:type="dxa"/>
            <w:shd w:val="clear" w:fill="1F3864"/>
          </w:tcPr>
          <w:p w14:paraId="569A6004" wp14:textId="77777777">
            <w:pPr>
              <w:spacing w:before="20" w:after="20"/>
            </w:pPr>
            <w:r/>
            <w:r>
              <w:rPr>
                <w:b/>
                <w:i w:val="0"/>
                <w:color w:val="FFFFFF"/>
                <w:sz w:val="19"/>
              </w:rPr>
              <w:t>4. Multi-Tenancy That Supports Commercial Distribution</w:t>
            </w:r>
            <w:r>
              <w:rPr>
                <w:b/>
                <w:i w:val="0"/>
                <w:color w:val="FFFFFF"/>
                <w:sz w:val="19"/>
              </w:rPr>
              <w:t xml:space="preserve"> </w:t>
            </w:r>
            <w:r>
              <w:rPr>
                <w:b/>
                <w:i/>
                <w:color w:val="FFFFFF"/>
                <w:sz w:val="19"/>
              </w:rPr>
              <w:t>Hybrid RLS + dedicated database. Scales from 7 venues to 70+ without architectural change.</w:t>
            </w:r>
          </w:p>
        </w:tc>
      </w:tr>
    </w:tbl>
    <w:p xmlns:wp14="http://schemas.microsoft.com/office/word/2010/wordml" w14:paraId="5A39BBE3" wp14:textId="77777777">
      <w:pPr>
        <w:spacing w:after="40"/>
      </w:pPr>
    </w:p>
    <w:p xmlns:wp14="http://schemas.microsoft.com/office/word/2010/wordml" w14:paraId="6F4CDCE0" wp14:textId="77777777">
      <w:pPr>
        <w:spacing w:after="120" w:line="259" w:lineRule="auto"/>
      </w:pPr>
      <w:r>
        <w:rPr>
          <w:b w:val="0"/>
          <w:i w:val="0"/>
        </w:rPr>
        <w:t>The tenancy model is designed not just for the client’s current estate but for what the platform might become commercially. PostgreSQL Row-Level Security enforces tenant isolation at the database engine level — not in application code, which can have bugs. Qdrant pre-filters vector search by tenant_id during the ANN search itself, not after, which means cross-tenant vectors are never scanned regardless of how a query is phrased.</w:t>
      </w:r>
    </w:p>
    <w:p xmlns:wp14="http://schemas.microsoft.com/office/word/2010/wordml" w14:paraId="510C59E1" wp14:textId="77777777">
      <w:pPr>
        <w:spacing w:after="120" w:line="259" w:lineRule="auto"/>
      </w:pPr>
      <w:r>
        <w:rPr>
          <w:b w:val="0"/>
          <w:i w:val="0"/>
        </w:rPr>
        <w:t>New venues onboard in under one business day through configuration alone — no infrastructure provisioning, no code change, no deployment cycle. For enterprise tenants requiring regulatory isolation or commercial independence, a dedicated PostgreSQL instance is provisioned and the application routes transparently. The same codebase serves both models.</w:t>
      </w:r>
    </w:p>
    <w:p xmlns:wp14="http://schemas.microsoft.com/office/word/2010/wordml" w14:paraId="648945C8" wp14:textId="77777777">
      <w:pPr>
        <w:spacing w:after="120" w:line="259" w:lineRule="auto"/>
      </w:pPr>
      <w:r>
        <w:rPr>
          <w:b w:val="0"/>
          <w:i w:val="0"/>
        </w:rPr>
        <w:t>White-labelling is supported at the tenant level: each operator has its own brand identity, domain, colour scheme, email templates, and feature flags. Tenant-level feature flags allow different capability tiers to be priced and enabled independently. This means the platform can be commercially distributed as a white-label SaaS product to other venue operators — an option the client retains because they own the source code.</w:t>
      </w:r>
    </w:p>
    <w:tbl>
      <w:tblPr>
        <w:tblStyle w:val="TableGrid"/>
        <w:tblW w:w="0" w:type="auto"/>
        <w:jc w:val="center"/>
        <w:tblLook w:val="04A0" w:firstRow="1" w:lastRow="0" w:firstColumn="1" w:lastColumn="0" w:noHBand="0" w:noVBand="1"/>
      </w:tblPr>
      <w:tblGrid>
        <w:gridCol w:w="9648"/>
      </w:tblGrid>
      <w:tr xmlns:wp14="http://schemas.microsoft.com/office/word/2010/wordml" w14:paraId="3DA6971D" wp14:textId="77777777">
        <w:tc>
          <w:tcPr>
            <w:tcW w:w="9648" w:type="dxa"/>
            <w:shd w:val="clear" w:fill="1F3864"/>
          </w:tcPr>
          <w:p w14:paraId="7CAC36A1" wp14:textId="77777777">
            <w:pPr>
              <w:spacing w:before="20" w:after="20"/>
            </w:pPr>
            <w:r/>
            <w:r>
              <w:rPr>
                <w:b/>
                <w:i w:val="0"/>
                <w:color w:val="FFFFFF"/>
                <w:sz w:val="19"/>
              </w:rPr>
              <w:t>5. Arabic and RTL as a Day 1 Design Requirement</w:t>
            </w:r>
            <w:r>
              <w:rPr>
                <w:b/>
                <w:i w:val="0"/>
                <w:color w:val="FFFFFF"/>
                <w:sz w:val="19"/>
              </w:rPr>
              <w:t xml:space="preserve"> </w:t>
            </w:r>
            <w:r>
              <w:rPr>
                <w:b/>
                <w:i/>
                <w:color w:val="FFFFFF"/>
                <w:sz w:val="19"/>
              </w:rPr>
              <w:t>Every surface, every flow, validated by Arabic speakers before frontend development begins.</w:t>
            </w:r>
          </w:p>
        </w:tc>
      </w:tr>
    </w:tbl>
    <w:p xmlns:wp14="http://schemas.microsoft.com/office/word/2010/wordml" w14:paraId="41C8F396" wp14:textId="77777777">
      <w:pPr>
        <w:spacing w:after="40"/>
      </w:pPr>
    </w:p>
    <w:p xmlns:wp14="http://schemas.microsoft.com/office/word/2010/wordml" w14:paraId="6BDFF886" wp14:textId="77777777">
      <w:pPr>
        <w:spacing w:after="120" w:line="259" w:lineRule="auto"/>
      </w:pPr>
      <w:r>
        <w:rPr>
          <w:b w:val="0"/>
          <w:i w:val="0"/>
        </w:rPr>
        <w:t>Arabic RTL support is frequently treated as a localisation task added at the end of a project. In TAIS it is a design-phase requirement. Wireframes are produced in both English and Arabic RTL layouts and reviewed by Arabic-speaking users before a line of frontend code is written. The layout and flow are validated at design stage, not retrofitted during development.</w:t>
      </w:r>
    </w:p>
    <w:p xmlns:wp14="http://schemas.microsoft.com/office/word/2010/wordml" w14:paraId="2F66052C" wp14:textId="77777777">
      <w:pPr>
        <w:spacing w:after="120" w:line="259" w:lineRule="auto"/>
      </w:pPr>
      <w:r>
        <w:rPr>
          <w:b w:val="0"/>
          <w:i w:val="0"/>
        </w:rPr>
        <w:t>Arabic-aware tokenisation in Elasticsearch ensures search works equally effectively in both languages — the same hybrid BM25 plus vector search pipeline handles both, with language-specific stemming and stop words. The guest-facing storefront, mobile app, kiosk, POS interface, and admin back-office all support RTL rendering through Tailwind CSS’s RTL utilities and React Native’s direction configuration. App store assets — screenshots and descriptions — are produced in both languages.</w:t>
      </w:r>
    </w:p>
    <w:tbl>
      <w:tblPr>
        <w:tblStyle w:val="TableGrid"/>
        <w:tblW w:w="0" w:type="auto"/>
        <w:jc w:val="center"/>
        <w:tblLook w:val="04A0" w:firstRow="1" w:lastRow="0" w:firstColumn="1" w:lastColumn="0" w:noHBand="0" w:noVBand="1"/>
      </w:tblPr>
      <w:tblGrid>
        <w:gridCol w:w="9648"/>
      </w:tblGrid>
      <w:tr xmlns:wp14="http://schemas.microsoft.com/office/word/2010/wordml" w14:paraId="72716E29" wp14:textId="77777777">
        <w:tc>
          <w:tcPr>
            <w:tcW w:w="9648" w:type="dxa"/>
            <w:shd w:val="clear" w:fill="1F3864"/>
          </w:tcPr>
          <w:p w14:paraId="4C30F138" wp14:textId="77777777">
            <w:pPr>
              <w:spacing w:before="20" w:after="20"/>
            </w:pPr>
            <w:r/>
            <w:r>
              <w:rPr>
                <w:b/>
                <w:i w:val="0"/>
                <w:color w:val="FFFFFF"/>
                <w:sz w:val="19"/>
              </w:rPr>
              <w:t>6. Client Owns Everything from Day 1</w:t>
            </w:r>
            <w:r>
              <w:rPr>
                <w:b/>
                <w:i w:val="0"/>
                <w:color w:val="FFFFFF"/>
                <w:sz w:val="19"/>
              </w:rPr>
              <w:t xml:space="preserve"> </w:t>
            </w:r>
            <w:r>
              <w:rPr>
                <w:b/>
                <w:i/>
                <w:color w:val="FFFFFF"/>
                <w:sz w:val="19"/>
              </w:rPr>
              <w:t>Source code in client-owned repository. IaC, SBOM, docs, open-source licensing report. No lock-in.</w:t>
            </w:r>
          </w:p>
        </w:tc>
      </w:tr>
    </w:tbl>
    <w:p xmlns:wp14="http://schemas.microsoft.com/office/word/2010/wordml" w14:paraId="72A3D3EC" wp14:textId="77777777">
      <w:pPr>
        <w:spacing w:after="40"/>
      </w:pPr>
    </w:p>
    <w:p xmlns:wp14="http://schemas.microsoft.com/office/word/2010/wordml" w14:paraId="26218E3E" wp14:textId="77777777">
      <w:pPr>
        <w:spacing w:after="120" w:line="259" w:lineRule="auto"/>
      </w:pPr>
      <w:r>
        <w:rPr>
          <w:b w:val="0"/>
          <w:i w:val="0"/>
        </w:rPr>
        <w:t>The RFP states the platform will be fully owned by the client, including source code, architecture, documentation, and intellectual property. This proposal treats that as an architectural constraint, not a contract clause.</w:t>
      </w:r>
    </w:p>
    <w:p xmlns:wp14="http://schemas.microsoft.com/office/word/2010/wordml" w14:paraId="6208E6D1" wp14:textId="77777777">
      <w:pPr>
        <w:spacing w:after="120" w:line="259" w:lineRule="auto"/>
      </w:pPr>
      <w:r>
        <w:rPr>
          <w:b w:val="0"/>
          <w:i w:val="0"/>
        </w:rPr>
        <w:t>The source code repository is hosted in a client-owned account — GitHub, GitLab, or Azure DevOps — from Day 1. The client has continuous access throughout development, not only on completion. Terraform modules, Helm charts, CI/CD pipeline definitions, and Grafana dashboards are all delivered as version-controlled code in the same repository. A Software Bill of Materials is generated per release. An open-source licensing report is delivered at the Phase 3 handover, covering every third-party component used and its license type.</w:t>
      </w:r>
    </w:p>
    <w:p xmlns:wp14="http://schemas.microsoft.com/office/word/2010/wordml" w14:paraId="16A20E24" wp14:textId="77777777">
      <w:pPr>
        <w:spacing w:after="120" w:line="259" w:lineRule="auto"/>
      </w:pPr>
      <w:r>
        <w:rPr>
          <w:b w:val="0"/>
          <w:i w:val="0"/>
        </w:rPr>
        <w:t>All dependencies use permissive open-source licenses (MIT, Apache 2.0, BSD) compatible with client ownership. No proprietary middleware, no licensed databases, no SaaS services the client cannot replace. The platform the client receives at handover is one their internal team can run, extend, and commercially distribute without coming back to Softlabs Group for permission.</w:t>
      </w:r>
    </w:p>
    <w:tbl>
      <w:tblPr>
        <w:tblStyle w:val="TableGrid"/>
        <w:tblW w:w="0" w:type="auto"/>
        <w:jc w:val="center"/>
        <w:tblLook w:val="04A0" w:firstRow="1" w:lastRow="0" w:firstColumn="1" w:lastColumn="0" w:noHBand="0" w:noVBand="1"/>
      </w:tblPr>
      <w:tblGrid>
        <w:gridCol w:w="9648"/>
      </w:tblGrid>
      <w:tr xmlns:wp14="http://schemas.microsoft.com/office/word/2010/wordml" w14:paraId="0429AFE3" wp14:textId="77777777">
        <w:tc>
          <w:tcPr>
            <w:tcW w:w="9648" w:type="dxa"/>
            <w:shd w:val="clear" w:fill="1F3864"/>
          </w:tcPr>
          <w:p w14:paraId="703BD630" wp14:textId="77777777">
            <w:pPr>
              <w:spacing w:before="20" w:after="20"/>
            </w:pPr>
            <w:r/>
            <w:r>
              <w:rPr>
                <w:b/>
                <w:i w:val="0"/>
                <w:color w:val="FFFFFF"/>
                <w:sz w:val="19"/>
              </w:rPr>
              <w:t>7. AI-Assisted Development with Full Traceability</w:t>
            </w:r>
            <w:r>
              <w:rPr>
                <w:b/>
                <w:i w:val="0"/>
                <w:color w:val="FFFFFF"/>
                <w:sz w:val="19"/>
              </w:rPr>
              <w:t xml:space="preserve"> </w:t>
            </w:r>
            <w:r>
              <w:rPr>
                <w:b/>
                <w:i/>
                <w:color w:val="FFFFFF"/>
                <w:sz w:val="19"/>
              </w:rPr>
              <w:t>Claude + Antigravity + Obsidian. Faster delivery, consistent quality, full AI provenance in git history.</w:t>
            </w:r>
          </w:p>
        </w:tc>
      </w:tr>
    </w:tbl>
    <w:p xmlns:wp14="http://schemas.microsoft.com/office/word/2010/wordml" w14:paraId="0D0B940D" wp14:textId="77777777">
      <w:pPr>
        <w:spacing w:after="40"/>
      </w:pPr>
    </w:p>
    <w:p xmlns:wp14="http://schemas.microsoft.com/office/word/2010/wordml" w14:paraId="4D3203EF" wp14:textId="77777777">
      <w:pPr>
        <w:spacing w:after="120" w:line="259" w:lineRule="auto"/>
      </w:pPr>
      <w:r>
        <w:rPr>
          <w:b w:val="0"/>
          <w:i w:val="0"/>
        </w:rPr>
        <w:t>Softlabs Group builds production platforms using a structured AI-assisted development methodology. Every pull request declares its AI involvement level. AI-generated blocks in financial, security, and integration-layer code carry inline comments naming the reviewing engineer and date. Architecture Decision Records in Obsidian log which decisions were made with AI assistance versus human deliberation. The client inherits this provenance in full as part of the handover package.</w:t>
      </w:r>
    </w:p>
    <w:p xmlns:wp14="http://schemas.microsoft.com/office/word/2010/wordml" w14:paraId="19404109" wp14:textId="77777777">
      <w:pPr>
        <w:spacing w:after="120" w:line="259" w:lineRule="auto"/>
      </w:pPr>
      <w:r>
        <w:rPr>
          <w:b w:val="0"/>
          <w:i w:val="0"/>
        </w:rPr>
        <w:t>The practical benefit is delivery velocity without quality shortcuts. The Configuration Assistant, Reporting Assistant, RAG pipeline, offline sync engine, and financial ledger are all complex, domain-specific engineering challenges. AI-assisted development lets the team move faster on the well-specified parts — boilerplate, standard CRUD services, test suite generation — while human engineers focus attention on the parts that require architectural judgement, security reasoning, and financial accuracy.</w:t>
      </w:r>
    </w:p>
    <w:p xmlns:wp14="http://schemas.microsoft.com/office/word/2010/wordml" w14:paraId="3AF745B9" wp14:textId="77777777">
      <w:pPr>
        <w:spacing w:after="120" w:line="259" w:lineRule="auto"/>
      </w:pPr>
      <w:r>
        <w:rPr>
          <w:b w:val="0"/>
          <w:i w:val="0"/>
        </w:rPr>
        <w:t>Coverage thresholds are enforced in CI/CD: 90% for financial and security code, 85% for core ticketing and entitlements, 80% for all other services. These thresholds apply equally to AI-generated and human-written code. There is no fast lane for AI-generated code.</w:t>
      </w:r>
    </w:p>
    <w:p xmlns:wp14="http://schemas.microsoft.com/office/word/2010/wordml" w14:paraId="237DE959" wp14:textId="77777777">
      <w:pPr>
        <w:pStyle w:val="Heading2"/>
        <w:spacing w:before="200" w:after="80"/>
      </w:pPr>
      <w:r>
        <w:rPr>
          <w:b/>
          <w:color w:val="2E75B6"/>
          <w:sz w:val="28"/>
        </w:rPr>
        <w:t>9.3 Why Softlabs Group</w:t>
      </w:r>
    </w:p>
    <w:p xmlns:wp14="http://schemas.microsoft.com/office/word/2010/wordml" w14:paraId="356582C1" wp14:textId="77777777">
      <w:pPr>
        <w:spacing w:after="120" w:line="259" w:lineRule="auto"/>
      </w:pPr>
      <w:r>
        <w:rPr>
          <w:b w:val="0"/>
          <w:i w:val="0"/>
        </w:rPr>
        <w:t>Three things distinguish our approach beyond the platform itself.</w:t>
      </w:r>
    </w:p>
    <w:p xmlns:wp14="http://schemas.microsoft.com/office/word/2010/wordml" w14:paraId="338C698A" wp14:textId="77777777">
      <w:pPr>
        <w:pStyle w:val="Heading3"/>
        <w:spacing w:before="160" w:after="60"/>
      </w:pPr>
      <w:r>
        <w:rPr>
          <w:b/>
          <w:color w:val="2E75B6"/>
          <w:sz w:val="23"/>
        </w:rPr>
        <w:t>Discovery Before Development</w:t>
      </w:r>
    </w:p>
    <w:p xmlns:wp14="http://schemas.microsoft.com/office/word/2010/wordml" w14:paraId="2A4BC980" wp14:textId="77777777">
      <w:pPr>
        <w:spacing w:after="120" w:line="259" w:lineRule="auto"/>
      </w:pPr>
      <w:r>
        <w:rPr>
          <w:b w:val="0"/>
          <w:i w:val="0"/>
        </w:rPr>
        <w:t>We do not begin writing code until requirements are fully understood, wireframes are approved in both English and Arabic RTL, and both parties have signed off on the architecture. The Discovery &amp; Definition Phase is not overhead — it is the most important investment in the project. The most expensive problems in software delivery are the ones discovered in Month 8 that could have been caught in Week 2. Every Discovery gate deliverable is signed by both parties before Month 2 development begins.</w:t>
      </w:r>
    </w:p>
    <w:p xmlns:wp14="http://schemas.microsoft.com/office/word/2010/wordml" w14:paraId="20AE0CD4" wp14:textId="77777777">
      <w:pPr>
        <w:pStyle w:val="Heading3"/>
        <w:spacing w:before="160" w:after="60"/>
      </w:pPr>
      <w:r>
        <w:rPr>
          <w:b/>
          <w:color w:val="2E75B6"/>
          <w:sz w:val="23"/>
        </w:rPr>
        <w:t>Domain Expertise, Not Just Engineering</w:t>
      </w:r>
    </w:p>
    <w:p xmlns:wp14="http://schemas.microsoft.com/office/word/2010/wordml" w14:paraId="1DB69E3F" wp14:textId="77777777">
      <w:pPr>
        <w:spacing w:after="120" w:line="259" w:lineRule="auto"/>
      </w:pPr>
      <w:r>
        <w:rPr>
          <w:b w:val="0"/>
          <w:i w:val="0"/>
        </w:rPr>
        <w:t>The TAIS platform requires deep understanding of venue operations: how tickets move through an access control system, how a POS terminal behaves when venue Wi-Fi drops during a peak event, how UAE VAT rules interact with deferred revenue recognition on advance ticket sales, how an ERP integration handles fiscal period boundaries, and how a multi-venue operator manages cash reconciliation across a physical estate. This proposal addresses these specifics because we have studied them. Generic platform engineers produce generic platforms.</w:t>
      </w:r>
    </w:p>
    <w:p xmlns:wp14="http://schemas.microsoft.com/office/word/2010/wordml" w14:paraId="0D801618" wp14:textId="77777777">
      <w:pPr>
        <w:pStyle w:val="Heading3"/>
        <w:spacing w:before="160" w:after="60"/>
      </w:pPr>
      <w:r>
        <w:rPr>
          <w:b/>
          <w:color w:val="2E75B6"/>
          <w:sz w:val="23"/>
        </w:rPr>
        <w:t>Handover as a First-Class Deliverable</w:t>
      </w:r>
    </w:p>
    <w:p xmlns:wp14="http://schemas.microsoft.com/office/word/2010/wordml" w14:paraId="43589F34" wp14:textId="77777777">
      <w:pPr>
        <w:spacing w:after="120" w:line="259" w:lineRule="auto"/>
      </w:pPr>
      <w:r>
        <w:rPr>
          <w:b w:val="0"/>
          <w:i w:val="0"/>
        </w:rPr>
        <w:t>The 6-month Hypercare period begins the day the client’s team takes over — not the day we stop working. Our knowledge transfer programme, documentation standards, IaC delivery, and choice of open-source technologies are all optimised for one outcome: a client whose internal development team can own, operate, and extend this platform confidently on day one of independence. The team that built TAIS is not a dependency the client carries indefinitely. It is a transition partner with a defined exit condition.</w:t>
      </w:r>
    </w:p>
    <w:p xmlns:wp14="http://schemas.microsoft.com/office/word/2010/wordml" w14:paraId="3205834A" wp14:textId="77777777">
      <w:pPr>
        <w:pStyle w:val="Heading2"/>
        <w:spacing w:before="200" w:after="80"/>
      </w:pPr>
      <w:r>
        <w:rPr>
          <w:b/>
          <w:color w:val="2E75B6"/>
          <w:sz w:val="28"/>
        </w:rPr>
        <w:t>9.4 The Commitment</w:t>
      </w:r>
    </w:p>
    <w:p xmlns:wp14="http://schemas.microsoft.com/office/word/2010/wordml" w14:paraId="46795A7F" wp14:textId="77777777">
      <w:pPr>
        <w:spacing w:after="120" w:line="259" w:lineRule="auto"/>
      </w:pPr>
      <w:r>
        <w:rPr>
          <w:i/>
          <w:color w:val="555555"/>
        </w:rPr>
        <w:t>Miracle Star Trading is building the UAE’s most capable entertainment venue platform. We are proposing to build it correctly — with the architecture, compliance posture, financial rigour, and engineering discipline the scale of this ambition requires.</w:t>
      </w:r>
    </w:p>
    <w:tbl>
      <w:tblPr>
        <w:tblStyle w:val="TableGrid"/>
        <w:tblW w:w="0" w:type="auto"/>
        <w:jc w:val="center"/>
        <w:tblLook w:val="04A0" w:firstRow="1" w:lastRow="0" w:firstColumn="1" w:lastColumn="0" w:noHBand="0" w:noVBand="1"/>
      </w:tblPr>
      <w:tblGrid>
        <w:gridCol w:w="9648"/>
      </w:tblGrid>
      <w:tr xmlns:wp14="http://schemas.microsoft.com/office/word/2010/wordml" w14:paraId="72FAE172" wp14:textId="77777777">
        <w:tc>
          <w:tcPr>
            <w:tcW w:w="9648" w:type="dxa"/>
            <w:shd w:val="clear" w:fill="1F3864"/>
          </w:tcPr>
          <w:p w14:paraId="22BF6574" wp14:textId="77777777">
            <w:pPr>
              <w:spacing w:before="20" w:after="20"/>
            </w:pPr>
            <w:r/>
            <w:r>
              <w:rPr>
                <w:b/>
                <w:i w:val="0"/>
                <w:color w:val="FFFFFF"/>
                <w:sz w:val="19"/>
              </w:rPr>
              <w:t>What this proposal is</w:t>
            </w:r>
            <w:r>
              <w:rPr>
                <w:b/>
                <w:i w:val="0"/>
                <w:color w:val="FFFFFF"/>
                <w:sz w:val="19"/>
              </w:rPr>
              <w:t xml:space="preserve"> A complete technical, implementation, and commercial response to every requirement in the RFP and every clarification in the Q&amp;A. Every RFP domain covered. Every compliance framework addressed. An honest timeline with explicit gate criteria. A team structure with named roles and dedicated allocation. A platform architecture that the client owns entirely and their team can operate independently. Seventeen months to complete handover. Six months of Hypercare from that point, with AMC, a dedicated-resource option, and Change Request support thereafter.</w:t>
            </w:r>
          </w:p>
        </w:tc>
      </w:tr>
    </w:tbl>
    <w:p xmlns:wp14="http://schemas.microsoft.com/office/word/2010/wordml" w14:paraId="0E27B00A" wp14:textId="77777777">
      <w:pPr>
        <w:spacing w:after="40"/>
      </w:pPr>
    </w:p>
    <w:tbl>
      <w:tblPr>
        <w:tblStyle w:val="TableGrid"/>
        <w:tblW w:w="0" w:type="auto"/>
        <w:jc w:val="center"/>
        <w:tblLook w:val="04A0" w:firstRow="1" w:lastRow="0" w:firstColumn="1" w:lastColumn="0" w:noHBand="0" w:noVBand="1"/>
      </w:tblPr>
      <w:tblGrid>
        <w:gridCol w:w="9648"/>
      </w:tblGrid>
      <w:tr xmlns:wp14="http://schemas.microsoft.com/office/word/2010/wordml" w14:paraId="02C34572" wp14:textId="77777777">
        <w:tc>
          <w:tcPr>
            <w:tcW w:w="9648" w:type="dxa"/>
            <w:shd w:val="clear" w:fill="1F3864"/>
          </w:tcPr>
          <w:p w14:paraId="7BF88163" wp14:textId="77777777">
            <w:pPr>
              <w:spacing w:before="20" w:after="20"/>
            </w:pPr>
            <w:r/>
            <w:r>
              <w:rPr>
                <w:b/>
                <w:i w:val="0"/>
                <w:color w:val="FFFFFF"/>
                <w:sz w:val="19"/>
              </w:rPr>
              <w:t>What this proposal is not</w:t>
            </w:r>
            <w:r>
              <w:rPr>
                <w:b/>
                <w:i w:val="0"/>
                <w:color w:val="FFFFFF"/>
                <w:sz w:val="19"/>
              </w:rPr>
              <w:t xml:space="preserve"> A bid designed to win on price and expand on change requests. A timeline that assumes everything goes right. A commitment to deliver the RFP’s AI capabilities without addressing the UAE data policy questions they raise. A platform that creates a dependency on Softlabs Group after handover. The client can read this proposal and know exactly what they are buying, when they will receive it, and what it will cost to build and operate independently.</w:t>
            </w:r>
          </w:p>
        </w:tc>
      </w:tr>
    </w:tbl>
    <w:p xmlns:wp14="http://schemas.microsoft.com/office/word/2010/wordml" w14:paraId="60061E4C" wp14:textId="77777777">
      <w:pPr>
        <w:spacing w:after="40"/>
      </w:pPr>
    </w:p>
    <w:p xmlns:wp14="http://schemas.microsoft.com/office/word/2010/wordml" w14:paraId="7EA180B6" wp14:textId="77777777">
      <w:pPr>
        <w:spacing w:after="120" w:line="259" w:lineRule="auto"/>
      </w:pPr>
      <w:r>
        <w:rPr>
          <w:b w:val="0"/>
          <w:i w:val="0"/>
        </w:rPr>
        <w:t>Miracle Star Trading L.L.C. | Confidential | Page</w:t>
      </w:r>
    </w:p>
    <w:sectPr w:rsidRPr="0006063C" w:rsidR="00FC693F" w:rsidSect="00034616">
      <w:footerReference w:type="default" r:id="rId9"/>
      <w:pgSz w:w="12240" w:h="15840" w:orient="portrait"/>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4EAFD9C" wp14:textId="77777777">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ECA98F"/>
    <w:rsid w:val="79CB1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0E8824E-35FD-4B31-8927-56C6087472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Chitrangi Mestry</lastModifiedBy>
  <revision>2</revision>
  <dcterms:created xsi:type="dcterms:W3CDTF">2013-12-23T23:15:00.0000000Z</dcterms:created>
  <dcterms:modified xsi:type="dcterms:W3CDTF">2026-07-29T06:51:01.7994614Z</dcterms:modified>
  <category/>
</coreProperties>
</file>