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1197" w:rsidRDefault="00000000" w14:paraId="68F1901F" w14:textId="77777777">
      <w:pPr>
        <w:spacing w:after="60"/>
      </w:pPr>
      <w:r>
        <w:rPr>
          <w:b/>
          <w:bCs/>
          <w:color w:val="1F3864"/>
          <w:sz w:val="40"/>
          <w:szCs w:val="40"/>
        </w:rPr>
        <w:t>Minutes of Meeting</w:t>
      </w:r>
    </w:p>
    <w:p w:rsidR="00821197" w:rsidRDefault="00000000" w14:paraId="1632EF2C" w14:textId="77777777">
      <w:pPr>
        <w:spacing w:after="240"/>
      </w:pPr>
      <w:r>
        <w:rPr>
          <w:i/>
          <w:iCs/>
          <w:color w:val="2E74B5"/>
          <w:sz w:val="23"/>
          <w:szCs w:val="23"/>
        </w:rPr>
        <w:t>TICVAI Follow-up — UI/UX Planning Discussion</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07"/>
        <w:gridCol w:w="2507"/>
        <w:gridCol w:w="2508"/>
        <w:gridCol w:w="2508"/>
      </w:tblGrid>
      <w:tr w:rsidR="00821197" w14:paraId="2320A409" w14:textId="77777777">
        <w:tblPrEx>
          <w:tblCellMar>
            <w:top w:w="0" w:type="dxa"/>
            <w:bottom w:w="0" w:type="dxa"/>
          </w:tblCellMar>
        </w:tblPrEx>
        <w:tc>
          <w:tcPr>
            <w:tcW w:w="1250" w:type="pct"/>
            <w:shd w:val="clear" w:color="auto" w:fill="F2F2F2"/>
            <w:tcMar>
              <w:top w:w="100" w:type="dxa"/>
              <w:left w:w="150" w:type="dxa"/>
              <w:bottom w:w="100" w:type="dxa"/>
              <w:right w:w="150" w:type="dxa"/>
            </w:tcMar>
            <w:vAlign w:val="center"/>
          </w:tcPr>
          <w:p w:rsidR="00821197" w:rsidRDefault="00000000" w14:paraId="3B0E32C4" w14:textId="77777777">
            <w:r>
              <w:rPr>
                <w:b/>
                <w:bCs/>
                <w:color w:val="1F3864"/>
                <w:sz w:val="20"/>
                <w:szCs w:val="20"/>
              </w:rPr>
              <w:t>Date</w:t>
            </w:r>
          </w:p>
        </w:tc>
        <w:tc>
          <w:tcPr>
            <w:tcW w:w="1250" w:type="pct"/>
            <w:shd w:val="clear" w:color="auto" w:fill="FFFFFF"/>
            <w:tcMar>
              <w:top w:w="100" w:type="dxa"/>
              <w:left w:w="150" w:type="dxa"/>
              <w:bottom w:w="100" w:type="dxa"/>
              <w:right w:w="150" w:type="dxa"/>
            </w:tcMar>
            <w:vAlign w:val="center"/>
          </w:tcPr>
          <w:p w:rsidR="00821197" w:rsidRDefault="00000000" w14:paraId="2ABE637E" w14:textId="77777777">
            <w:r>
              <w:rPr>
                <w:color w:val="000000"/>
                <w:sz w:val="20"/>
                <w:szCs w:val="20"/>
              </w:rPr>
              <w:t>31 July 2026</w:t>
            </w:r>
          </w:p>
        </w:tc>
        <w:tc>
          <w:tcPr>
            <w:tcW w:w="1250" w:type="pct"/>
            <w:shd w:val="clear" w:color="auto" w:fill="F2F2F2"/>
            <w:tcMar>
              <w:top w:w="100" w:type="dxa"/>
              <w:left w:w="150" w:type="dxa"/>
              <w:bottom w:w="100" w:type="dxa"/>
              <w:right w:w="150" w:type="dxa"/>
            </w:tcMar>
            <w:vAlign w:val="center"/>
          </w:tcPr>
          <w:p w:rsidR="00821197" w:rsidRDefault="00000000" w14:paraId="64FBADE4" w14:textId="77777777">
            <w:r>
              <w:rPr>
                <w:b/>
                <w:bCs/>
                <w:color w:val="1F3864"/>
                <w:sz w:val="20"/>
                <w:szCs w:val="20"/>
              </w:rPr>
              <w:t>Project</w:t>
            </w:r>
          </w:p>
        </w:tc>
        <w:tc>
          <w:tcPr>
            <w:tcW w:w="1250" w:type="pct"/>
            <w:shd w:val="clear" w:color="auto" w:fill="FFFFFF"/>
            <w:tcMar>
              <w:top w:w="100" w:type="dxa"/>
              <w:left w:w="150" w:type="dxa"/>
              <w:bottom w:w="100" w:type="dxa"/>
              <w:right w:w="150" w:type="dxa"/>
            </w:tcMar>
            <w:vAlign w:val="center"/>
          </w:tcPr>
          <w:p w:rsidR="00821197" w:rsidRDefault="00000000" w14:paraId="264AEADB" w14:textId="77777777">
            <w:r>
              <w:rPr>
                <w:color w:val="000000"/>
                <w:sz w:val="20"/>
                <w:szCs w:val="20"/>
              </w:rPr>
              <w:t>TICVAI</w:t>
            </w:r>
          </w:p>
        </w:tc>
      </w:tr>
      <w:tr w:rsidR="00821197" w14:paraId="4958B921" w14:textId="77777777">
        <w:tblPrEx>
          <w:tblCellMar>
            <w:top w:w="0" w:type="dxa"/>
            <w:bottom w:w="0" w:type="dxa"/>
          </w:tblCellMar>
        </w:tblPrEx>
        <w:tc>
          <w:tcPr>
            <w:tcW w:w="1250" w:type="pct"/>
            <w:shd w:val="clear" w:color="auto" w:fill="F2F2F2"/>
            <w:tcMar>
              <w:top w:w="100" w:type="dxa"/>
              <w:left w:w="150" w:type="dxa"/>
              <w:bottom w:w="100" w:type="dxa"/>
              <w:right w:w="150" w:type="dxa"/>
            </w:tcMar>
            <w:vAlign w:val="center"/>
          </w:tcPr>
          <w:p w:rsidR="00821197" w:rsidRDefault="00000000" w14:paraId="3641A3E5" w14:textId="77777777">
            <w:r>
              <w:rPr>
                <w:b/>
                <w:bCs/>
                <w:color w:val="1F3864"/>
                <w:sz w:val="20"/>
                <w:szCs w:val="20"/>
              </w:rPr>
              <w:t>Meeting Type</w:t>
            </w:r>
          </w:p>
        </w:tc>
        <w:tc>
          <w:tcPr>
            <w:tcW w:w="1250" w:type="pct"/>
            <w:shd w:val="clear" w:color="auto" w:fill="FFFFFF"/>
            <w:tcMar>
              <w:top w:w="100" w:type="dxa"/>
              <w:left w:w="150" w:type="dxa"/>
              <w:bottom w:w="100" w:type="dxa"/>
              <w:right w:w="150" w:type="dxa"/>
            </w:tcMar>
            <w:vAlign w:val="center"/>
          </w:tcPr>
          <w:p w:rsidR="00821197" w:rsidRDefault="00000000" w14:paraId="0F394BA1" w14:textId="77777777">
            <w:r>
              <w:rPr>
                <w:color w:val="000000"/>
                <w:sz w:val="20"/>
                <w:szCs w:val="20"/>
              </w:rPr>
              <w:t>Follow-up Discussion — UI/UX Planning</w:t>
            </w:r>
          </w:p>
        </w:tc>
        <w:tc>
          <w:tcPr>
            <w:tcW w:w="1250" w:type="pct"/>
            <w:shd w:val="clear" w:color="auto" w:fill="F2F2F2"/>
            <w:tcMar>
              <w:top w:w="100" w:type="dxa"/>
              <w:left w:w="150" w:type="dxa"/>
              <w:bottom w:w="100" w:type="dxa"/>
              <w:right w:w="150" w:type="dxa"/>
            </w:tcMar>
            <w:vAlign w:val="center"/>
          </w:tcPr>
          <w:p w:rsidR="00821197" w:rsidRDefault="00000000" w14:paraId="24172540" w14:textId="77777777">
            <w:r>
              <w:rPr>
                <w:b/>
                <w:bCs/>
                <w:color w:val="1F3864"/>
                <w:sz w:val="20"/>
                <w:szCs w:val="20"/>
              </w:rPr>
              <w:t>Prepared by</w:t>
            </w:r>
          </w:p>
        </w:tc>
        <w:tc>
          <w:tcPr>
            <w:tcW w:w="1250" w:type="pct"/>
            <w:shd w:val="clear" w:color="auto" w:fill="FFFFFF"/>
            <w:tcMar>
              <w:top w:w="100" w:type="dxa"/>
              <w:left w:w="150" w:type="dxa"/>
              <w:bottom w:w="100" w:type="dxa"/>
              <w:right w:w="150" w:type="dxa"/>
            </w:tcMar>
            <w:vAlign w:val="center"/>
          </w:tcPr>
          <w:p w:rsidR="00821197" w:rsidRDefault="008D7A83" w14:paraId="26FCBFD9" w14:textId="21623FDE">
            <w:r>
              <w:rPr>
                <w:color w:val="000000"/>
                <w:sz w:val="20"/>
                <w:szCs w:val="20"/>
              </w:rPr>
              <w:t>Chitrangi Mestry</w:t>
            </w:r>
          </w:p>
        </w:tc>
      </w:tr>
    </w:tbl>
    <w:p w:rsidR="00821197" w:rsidRDefault="00821197" w14:paraId="6BC303E6" w14:textId="77777777">
      <w:pPr>
        <w:spacing w:after="200"/>
      </w:pPr>
    </w:p>
    <w:p w:rsidR="00821197" w:rsidRDefault="00000000" w14:paraId="33797163" w14:textId="77777777">
      <w:pPr>
        <w:pStyle w:val="Heading2"/>
        <w:spacing w:after="100"/>
      </w:pPr>
      <w:r>
        <w:rPr>
          <w:b/>
          <w:bCs/>
          <w:color w:val="1F3864"/>
          <w:sz w:val="23"/>
          <w:szCs w:val="23"/>
        </w:rPr>
        <w:t>Primary Objective</w:t>
      </w:r>
    </w:p>
    <w:p w:rsidR="00821197" w:rsidRDefault="00000000" w14:paraId="54FFACEB" w14:textId="77777777">
      <w:pPr>
        <w:spacing w:after="120"/>
      </w:pPr>
      <w:r>
        <w:t>To confirm the adjusted session scope, align on the plan for the upcoming UI/UX walkthrough, and agree on next steps for wireframe development and team communication.</w:t>
      </w:r>
    </w:p>
    <w:p w:rsidR="00821197" w:rsidRDefault="00000000" w14:paraId="6F9997EC" w14:textId="77777777">
      <w:pPr>
        <w:pStyle w:val="Heading2"/>
        <w:spacing w:before="100" w:after="100"/>
      </w:pPr>
      <w:r>
        <w:rPr>
          <w:b/>
          <w:bCs/>
          <w:color w:val="1F3864"/>
          <w:sz w:val="23"/>
          <w:szCs w:val="23"/>
        </w:rPr>
        <w:t>Participants</w:t>
      </w:r>
    </w:p>
    <w:p w:rsidR="00821197" w:rsidP="008D7A83" w:rsidRDefault="008D7A83" w14:paraId="61E7FEFC" w14:textId="724D5E45">
      <w:pPr>
        <w:pStyle w:val="ListParagraph"/>
        <w:numPr>
          <w:ilvl w:val="0"/>
          <w:numId w:val="4"/>
        </w:numPr>
        <w:spacing w:after="100"/>
      </w:pPr>
      <w:r>
        <w:t>TICVAI Team</w:t>
      </w:r>
    </w:p>
    <w:p w:rsidR="008D7A83" w:rsidP="008D7A83" w:rsidRDefault="008D7A83" w14:paraId="65FD1021" w14:textId="20D1CEA8">
      <w:pPr>
        <w:pStyle w:val="ListParagraph"/>
        <w:numPr>
          <w:ilvl w:val="0"/>
          <w:numId w:val="4"/>
        </w:numPr>
        <w:spacing w:after="100"/>
      </w:pPr>
      <w:proofErr w:type="spellStart"/>
      <w:r>
        <w:t>Softlabs</w:t>
      </w:r>
      <w:proofErr w:type="spellEnd"/>
      <w:r>
        <w:t xml:space="preserve"> Team</w:t>
      </w:r>
    </w:p>
    <w:p w:rsidR="00821197" w:rsidRDefault="00000000" w14:paraId="1C2DED6E" w14:textId="77777777">
      <w:pPr>
        <w:pStyle w:val="Heading2"/>
        <w:spacing w:before="100" w:after="100"/>
      </w:pPr>
      <w:r>
        <w:rPr>
          <w:b/>
          <w:bCs/>
          <w:color w:val="1F3864"/>
          <w:sz w:val="23"/>
          <w:szCs w:val="23"/>
        </w:rPr>
        <w:t>Agenda</w:t>
      </w:r>
    </w:p>
    <w:p w:rsidR="00821197" w:rsidRDefault="00000000" w14:paraId="28FA4D4F" w14:textId="77777777">
      <w:pPr>
        <w:pStyle w:val="ListParagraph"/>
        <w:numPr>
          <w:ilvl w:val="0"/>
          <w:numId w:val="3"/>
        </w:numPr>
        <w:spacing w:after="70"/>
      </w:pPr>
      <w:r>
        <w:t>Confirm session scope adjustment (multi-tenancy already covered)</w:t>
      </w:r>
    </w:p>
    <w:p w:rsidR="00821197" w:rsidRDefault="00000000" w14:paraId="257499F5" w14:textId="77777777">
      <w:pPr>
        <w:pStyle w:val="ListParagraph"/>
        <w:numPr>
          <w:ilvl w:val="0"/>
          <w:numId w:val="3"/>
        </w:numPr>
        <w:spacing w:after="70"/>
      </w:pPr>
      <w:r>
        <w:t>Discuss UI/UX walkthrough scheduling</w:t>
      </w:r>
    </w:p>
    <w:p w:rsidR="00821197" w:rsidRDefault="00000000" w14:paraId="0542FFB5" w14:textId="77777777">
      <w:pPr>
        <w:pStyle w:val="ListParagraph"/>
        <w:numPr>
          <w:ilvl w:val="0"/>
          <w:numId w:val="3"/>
        </w:numPr>
        <w:spacing w:after="70"/>
      </w:pPr>
      <w:r>
        <w:t>Discuss wireframe development approach</w:t>
      </w:r>
    </w:p>
    <w:p w:rsidR="00821197" w:rsidRDefault="00000000" w14:paraId="765882F7" w14:textId="77777777">
      <w:pPr>
        <w:pStyle w:val="ListParagraph"/>
        <w:numPr>
          <w:ilvl w:val="0"/>
          <w:numId w:val="3"/>
        </w:numPr>
        <w:spacing w:after="70"/>
      </w:pPr>
      <w:r>
        <w:t xml:space="preserve">Review reference application UI flow shared by </w:t>
      </w:r>
      <w:proofErr w:type="spellStart"/>
      <w:r>
        <w:t>Softlabs</w:t>
      </w:r>
      <w:proofErr w:type="spellEnd"/>
    </w:p>
    <w:p w:rsidR="00821197" w:rsidRDefault="00000000" w14:paraId="3CA5311F" w14:textId="77777777">
      <w:pPr>
        <w:pStyle w:val="ListParagraph"/>
        <w:numPr>
          <w:ilvl w:val="0"/>
          <w:numId w:val="3"/>
        </w:numPr>
        <w:spacing w:after="70"/>
      </w:pPr>
      <w:r>
        <w:t>Discuss application flow structure (ticketing, seat assignment)</w:t>
      </w:r>
    </w:p>
    <w:p w:rsidR="00821197" w:rsidRDefault="00000000" w14:paraId="285A419D" w14:textId="77777777">
      <w:pPr>
        <w:pStyle w:val="ListParagraph"/>
        <w:numPr>
          <w:ilvl w:val="0"/>
          <w:numId w:val="3"/>
        </w:numPr>
        <w:spacing w:after="70"/>
      </w:pPr>
      <w:r>
        <w:t>Align on email communication protocol</w:t>
      </w:r>
    </w:p>
    <w:p w:rsidR="00821197" w:rsidRDefault="00000000" w14:paraId="2993E539" w14:textId="77777777">
      <w:pPr>
        <w:pStyle w:val="Heading1"/>
        <w:pBdr>
          <w:bottom w:val="single" w:color="2E74B5" w:sz="6" w:space="4"/>
        </w:pBdr>
        <w:spacing w:before="320" w:after="160"/>
      </w:pPr>
      <w:r>
        <w:rPr>
          <w:b/>
          <w:bCs/>
          <w:color w:val="1F3864"/>
          <w:sz w:val="27"/>
          <w:szCs w:val="27"/>
        </w:rPr>
        <w:t>Discussion Summary</w:t>
      </w:r>
    </w:p>
    <w:p w:rsidR="00821197" w:rsidRDefault="00000000" w14:paraId="4F172BB8" w14:textId="77777777">
      <w:pPr>
        <w:spacing w:before="160" w:after="80"/>
      </w:pPr>
      <w:r>
        <w:rPr>
          <w:b/>
          <w:bCs/>
          <w:color w:val="2E74B5"/>
        </w:rPr>
        <w:t>1. Session Scope Adjustment</w:t>
      </w:r>
    </w:p>
    <w:p w:rsidR="00821197" w:rsidRDefault="00000000" w14:paraId="46F51E44" w14:textId="77777777">
      <w:pPr>
        <w:spacing w:after="120"/>
      </w:pPr>
      <w:r>
        <w:t>Chinmay Parab opened the call by noting that multi-tenancy had already been covered in a previous session, so it would not be necessary to revisit it. As a result, he flagged that today's session would be comparatively shorter than originally planned. He then raised, ahead of the main discussion, whether the team could hold a dedicated UI/UX session on Monday.</w:t>
      </w:r>
    </w:p>
    <w:p w:rsidR="00821197" w:rsidRDefault="00000000" w14:paraId="4496EA2C" w14:textId="77777777">
      <w:pPr>
        <w:spacing w:before="160" w:after="80"/>
      </w:pPr>
      <w:r>
        <w:rPr>
          <w:b/>
          <w:bCs/>
          <w:color w:val="2E74B5"/>
        </w:rPr>
        <w:t>2. UI/UX Session Confirmation &amp; Wireframe Approach</w:t>
      </w:r>
    </w:p>
    <w:p w:rsidR="00821197" w:rsidRDefault="00000000" w14:paraId="6CA28129" w14:textId="12FA5573">
      <w:pPr>
        <w:spacing w:after="120"/>
      </w:pPr>
      <w:proofErr w:type="spellStart"/>
      <w:r>
        <w:t>Qossai</w:t>
      </w:r>
      <w:proofErr w:type="spellEnd"/>
      <w:r>
        <w:t xml:space="preserve"> confirmed this was fine. Chinmay clarified the reasoning: rather than waiting for a formal UI/UX session to begin design work, he wanted the team to start preparing wireframes in parallel as the sessions progress, so design work is not delayed. Both agreed to keep the dedicated UI/UX walkthrough for Monday while wireframing starts in the background.</w:t>
      </w:r>
    </w:p>
    <w:p w:rsidR="00821197" w:rsidRDefault="00000000" w14:paraId="3141E04E" w14:textId="77777777">
      <w:pPr>
        <w:spacing w:before="160" w:after="80"/>
      </w:pPr>
      <w:r>
        <w:rPr>
          <w:b/>
          <w:bCs/>
          <w:color w:val="2E74B5"/>
        </w:rPr>
        <w:t>3. Reference UI Flow Query</w:t>
      </w:r>
    </w:p>
    <w:p w:rsidR="00821197" w:rsidRDefault="00000000" w14:paraId="4746E514" w14:textId="77777777">
      <w:pPr>
        <w:spacing w:after="120"/>
      </w:pPr>
      <w:r>
        <w:t xml:space="preserve">Aishwarya More, joining as </w:t>
      </w:r>
      <w:proofErr w:type="spellStart"/>
      <w:r>
        <w:t>Softlabs</w:t>
      </w:r>
      <w:proofErr w:type="spellEnd"/>
      <w:r>
        <w:t xml:space="preserve">' designer, referred to a link </w:t>
      </w:r>
      <w:proofErr w:type="spellStart"/>
      <w:r>
        <w:t>Qossai</w:t>
      </w:r>
      <w:proofErr w:type="spellEnd"/>
      <w:r>
        <w:t xml:space="preserve"> had shared in a prior call showing a similar system his team had previously built. She confirmed she had reviewed the UI flow in that reference, and asked directly whether the new TICVAI platform's flow would follow the same structure, or whether changes were expected — flagging this as something to clarify before wireframing begins in earnest.</w:t>
      </w:r>
    </w:p>
    <w:p w:rsidR="00821197" w:rsidRDefault="00000000" w14:paraId="05CF1AD1" w14:textId="77777777">
      <w:pPr>
        <w:spacing w:before="160" w:after="80"/>
      </w:pPr>
      <w:r>
        <w:rPr>
          <w:b/>
          <w:bCs/>
          <w:color w:val="2E74B5"/>
        </w:rPr>
        <w:t>4. Application Flow &amp; White-Label Requirements</w:t>
      </w:r>
    </w:p>
    <w:p w:rsidR="00821197" w:rsidRDefault="00000000" w14:paraId="754482A3" w14:textId="77777777">
      <w:pPr>
        <w:spacing w:after="120"/>
      </w:pPr>
      <w:r>
        <w:lastRenderedPageBreak/>
        <w:t xml:space="preserve">Later in the call, </w:t>
      </w:r>
      <w:proofErr w:type="spellStart"/>
      <w:r>
        <w:t>Qossai</w:t>
      </w:r>
      <w:proofErr w:type="spellEnd"/>
      <w:r>
        <w:t xml:space="preserve"> responded to Aishwarya's question directly. He was candid that the TICVAI team does not have hands-on UI/UX design experience for this type of product, and asked </w:t>
      </w:r>
      <w:proofErr w:type="spellStart"/>
      <w:r>
        <w:t>Softlabs</w:t>
      </w:r>
      <w:proofErr w:type="spellEnd"/>
      <w:r>
        <w:t xml:space="preserve"> to advise on which elements of the reference flow could or should change. He described the target product as a white-label application supporting both B2C and B2B mobile use cases, built around three to four distinct flows. He gave two concrete examples:</w:t>
      </w:r>
    </w:p>
    <w:p w:rsidR="00821197" w:rsidRDefault="00000000" w14:paraId="6054A8B0" w14:textId="77777777">
      <w:pPr>
        <w:pStyle w:val="ListParagraph"/>
        <w:numPr>
          <w:ilvl w:val="0"/>
          <w:numId w:val="2"/>
        </w:numPr>
        <w:spacing w:after="60"/>
      </w:pPr>
      <w:r>
        <w:t>An admission ticket flow</w:t>
      </w:r>
    </w:p>
    <w:p w:rsidR="00821197" w:rsidRDefault="00000000" w14:paraId="2AD86359" w14:textId="77777777">
      <w:pPr>
        <w:pStyle w:val="ListParagraph"/>
        <w:numPr>
          <w:ilvl w:val="0"/>
          <w:numId w:val="2"/>
        </w:numPr>
        <w:spacing w:after="60"/>
      </w:pPr>
      <w:r>
        <w:t>A seat assignment flow, which follows a "select time, then select seat" sequence, since the two steps require different screens</w:t>
      </w:r>
    </w:p>
    <w:p w:rsidR="00821197" w:rsidRDefault="00000000" w14:paraId="4A680707" w14:textId="77777777">
      <w:pPr>
        <w:spacing w:after="120"/>
      </w:pPr>
      <w:proofErr w:type="spellStart"/>
      <w:r>
        <w:t>Qossai</w:t>
      </w:r>
      <w:proofErr w:type="spellEnd"/>
      <w:r>
        <w:t xml:space="preserve"> proposed that on Monday, the TICVAI team would walk </w:t>
      </w:r>
      <w:proofErr w:type="spellStart"/>
      <w:r>
        <w:t>Softlabs</w:t>
      </w:r>
      <w:proofErr w:type="spellEnd"/>
      <w:r>
        <w:t xml:space="preserve"> through their vision for the application in more detail, using examples to illustrate the intended experience for each flow.</w:t>
      </w:r>
    </w:p>
    <w:p w:rsidR="00821197" w:rsidRDefault="00000000" w14:paraId="13E26C24" w14:textId="77777777">
      <w:pPr>
        <w:spacing w:before="160" w:after="80"/>
      </w:pPr>
      <w:r>
        <w:rPr>
          <w:b/>
          <w:bCs/>
          <w:color w:val="2E74B5"/>
        </w:rPr>
        <w:t>5. Design Collaboration &amp; Information Sharing</w:t>
      </w:r>
    </w:p>
    <w:p w:rsidR="00821197" w:rsidRDefault="00000000" w14:paraId="705B5753" w14:textId="77777777">
      <w:pPr>
        <w:spacing w:after="120"/>
      </w:pPr>
      <w:r>
        <w:t xml:space="preserve">Chinmay confirmed that Aishwarya More, </w:t>
      </w:r>
      <w:proofErr w:type="spellStart"/>
      <w:r>
        <w:t>Softlabs</w:t>
      </w:r>
      <w:proofErr w:type="spellEnd"/>
      <w:r>
        <w:t xml:space="preserve">' designer, would be part of the Monday session. He offered to proactively share the list of the application's pages/screens with the TICVAI team ahead of time, and invited TICVAI to flag any specific frames or devices they wanted more clarity on in advance, rather than during the walkthrough itself. </w:t>
      </w:r>
      <w:proofErr w:type="spellStart"/>
      <w:r>
        <w:t>Qossai</w:t>
      </w:r>
      <w:proofErr w:type="spellEnd"/>
      <w:r>
        <w:t xml:space="preserve"> acknowledged this.</w:t>
      </w:r>
    </w:p>
    <w:p w:rsidR="00821197" w:rsidRDefault="00000000" w14:paraId="7B31F878" w14:textId="77777777">
      <w:pPr>
        <w:spacing w:before="160" w:after="80"/>
      </w:pPr>
      <w:r>
        <w:rPr>
          <w:b/>
          <w:bCs/>
          <w:color w:val="2E74B5"/>
        </w:rPr>
        <w:t>6. Email Communication Protocol</w:t>
      </w:r>
    </w:p>
    <w:p w:rsidR="00821197" w:rsidRDefault="00000000" w14:paraId="47161465" w14:textId="28ACD619">
      <w:pPr>
        <w:spacing w:after="120"/>
      </w:pPr>
      <w:r>
        <w:t>Allam raised a process concern: emails from Chinmay had been arriving under the same recurring subject line, which made it difficult for the TICVAI team to locate the content of a specific email later. He asked that Chinmay use a clear, distinct subject line per topic going forward, and keep separate threads for separate matters so they are easier to track down and close out.</w:t>
      </w:r>
    </w:p>
    <w:p w:rsidR="00821197" w:rsidRDefault="00000000" w14:paraId="351949D3" w14:textId="0316BA08">
      <w:pPr>
        <w:spacing w:after="120"/>
      </w:pPr>
      <w:r>
        <w:t xml:space="preserve">Chinmay agreed, and noted that he had previously been instructed by </w:t>
      </w:r>
      <w:r w:rsidR="008D7A83">
        <w:t>Makrand</w:t>
      </w:r>
      <w:r>
        <w:t xml:space="preserve"> to keep all communication within a single thread — but confirmed that going forward he would create separate, clearly subject-lined threads for topic-specific items, such as UI/UX-related or architecture-related matters.</w:t>
      </w:r>
    </w:p>
    <w:p w:rsidR="00821197" w:rsidRDefault="00000000" w14:paraId="6DD1077B" w14:textId="77777777">
      <w:pPr>
        <w:pStyle w:val="Heading1"/>
        <w:pBdr>
          <w:bottom w:val="single" w:color="2E74B5" w:sz="6" w:space="4"/>
        </w:pBdr>
        <w:spacing w:before="320" w:after="160"/>
      </w:pPr>
      <w:r>
        <w:rPr>
          <w:b/>
          <w:bCs/>
          <w:color w:val="1F3864"/>
          <w:sz w:val="27"/>
          <w:szCs w:val="27"/>
        </w:rPr>
        <w:t>Decisions Made</w:t>
      </w:r>
    </w:p>
    <w:p w:rsidR="00821197" w:rsidRDefault="00000000" w14:paraId="0718FB50" w14:textId="77777777">
      <w:pPr>
        <w:pStyle w:val="ListParagraph"/>
        <w:numPr>
          <w:ilvl w:val="0"/>
          <w:numId w:val="2"/>
        </w:numPr>
        <w:spacing w:after="60"/>
      </w:pPr>
      <w:r>
        <w:t>Multi-tenancy will not be revisited, as it was already covered in a previous session</w:t>
      </w:r>
    </w:p>
    <w:p w:rsidR="00821197" w:rsidRDefault="00000000" w14:paraId="646DE8D4" w14:textId="77777777">
      <w:pPr>
        <w:pStyle w:val="ListParagraph"/>
        <w:numPr>
          <w:ilvl w:val="0"/>
          <w:numId w:val="2"/>
        </w:numPr>
        <w:spacing w:after="60"/>
      </w:pPr>
      <w:r>
        <w:t>A dedicated UI/UX walkthrough is scheduled for Monday, 3 August 2026</w:t>
      </w:r>
    </w:p>
    <w:p w:rsidR="00821197" w:rsidRDefault="00000000" w14:paraId="6789F2C4" w14:textId="77777777">
      <w:pPr>
        <w:pStyle w:val="ListParagraph"/>
        <w:numPr>
          <w:ilvl w:val="0"/>
          <w:numId w:val="2"/>
        </w:numPr>
        <w:spacing w:after="60"/>
      </w:pPr>
      <w:r>
        <w:t>Wireframe development will begin in parallel with ongoing sessions, rather than waiting for the UI/UX session</w:t>
      </w:r>
    </w:p>
    <w:p w:rsidR="00821197" w:rsidRDefault="00000000" w14:paraId="32333CAB" w14:textId="7B540394">
      <w:pPr>
        <w:pStyle w:val="ListParagraph"/>
        <w:numPr>
          <w:ilvl w:val="0"/>
          <w:numId w:val="2"/>
        </w:numPr>
        <w:spacing w:after="60"/>
      </w:pPr>
      <w:r>
        <w:t>TICVAI will present their application vision and concrete flow examples (admission ticket, seat assignment, etc.) during Monday's session</w:t>
      </w:r>
    </w:p>
    <w:p w:rsidR="00821197" w:rsidRDefault="00000000" w14:paraId="72AB4270" w14:textId="77777777">
      <w:pPr>
        <w:pStyle w:val="ListParagraph"/>
        <w:numPr>
          <w:ilvl w:val="0"/>
          <w:numId w:val="2"/>
        </w:numPr>
        <w:spacing w:after="60"/>
      </w:pPr>
      <w:r>
        <w:t>Chinmay will proactively share the application page/screen list with TICVAI ahead of Monday's session</w:t>
      </w:r>
    </w:p>
    <w:p w:rsidR="00821197" w:rsidRDefault="00000000" w14:paraId="2F20A61E" w14:textId="77777777">
      <w:pPr>
        <w:pStyle w:val="ListParagraph"/>
        <w:numPr>
          <w:ilvl w:val="0"/>
          <w:numId w:val="2"/>
        </w:numPr>
        <w:spacing w:after="60"/>
      </w:pPr>
      <w:r>
        <w:t>Going forward, all emails will use clear, topic-specific subject lines with separate threads per topic — a change from the previous single-thread approach</w:t>
      </w:r>
    </w:p>
    <w:p w:rsidR="00821197" w:rsidRDefault="00000000" w14:paraId="1291A83D" w14:textId="77777777">
      <w:pPr>
        <w:pStyle w:val="Heading1"/>
        <w:pBdr>
          <w:bottom w:val="single" w:color="2E74B5" w:sz="6" w:space="4"/>
        </w:pBdr>
        <w:spacing w:before="320" w:after="160"/>
      </w:pPr>
      <w:r>
        <w:rPr>
          <w:b/>
          <w:bCs/>
          <w:color w:val="1F3864"/>
          <w:sz w:val="27"/>
          <w:szCs w:val="27"/>
        </w:rPr>
        <w:t>Action Items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15"/>
        <w:gridCol w:w="2909"/>
        <w:gridCol w:w="2106"/>
      </w:tblGrid>
      <w:tr w:rsidR="00821197" w:rsidTr="287FEB74" w14:paraId="56072D40" w14:textId="77777777">
        <w:tblPrEx>
          <w:tblCellMar>
            <w:top w:w="0" w:type="dxa"/>
            <w:bottom w:w="0" w:type="dxa"/>
          </w:tblCellMar>
        </w:tblPrEx>
        <w:trPr>
          <w:tblHeader/>
        </w:trPr>
        <w:tc>
          <w:tcPr>
            <w:tcW w:w="2500" w:type="pct"/>
            <w:shd w:val="clear" w:color="auto" w:fill="1F3864"/>
            <w:tcMar>
              <w:top w:w="90" w:type="dxa"/>
              <w:left w:w="120" w:type="dxa"/>
              <w:bottom w:w="90" w:type="dxa"/>
              <w:right w:w="120" w:type="dxa"/>
            </w:tcMar>
            <w:vAlign w:val="center"/>
          </w:tcPr>
          <w:p w:rsidR="00821197" w:rsidRDefault="00000000" w14:paraId="78EFEFBE" w14:textId="77777777">
            <w:r>
              <w:rPr>
                <w:b/>
                <w:bCs/>
                <w:color w:val="FFFFFF"/>
                <w:sz w:val="19"/>
                <w:szCs w:val="19"/>
              </w:rPr>
              <w:t>Action Item</w:t>
            </w:r>
          </w:p>
        </w:tc>
        <w:tc>
          <w:tcPr>
            <w:tcW w:w="1450" w:type="pct"/>
            <w:shd w:val="clear" w:color="auto" w:fill="1F3864"/>
            <w:tcMar>
              <w:top w:w="90" w:type="dxa"/>
              <w:left w:w="120" w:type="dxa"/>
              <w:bottom w:w="90" w:type="dxa"/>
              <w:right w:w="120" w:type="dxa"/>
            </w:tcMar>
            <w:vAlign w:val="center"/>
          </w:tcPr>
          <w:p w:rsidR="00821197" w:rsidRDefault="00000000" w14:paraId="27CD4615" w14:textId="77777777">
            <w:r>
              <w:rPr>
                <w:b/>
                <w:bCs/>
                <w:color w:val="FFFFFF"/>
                <w:sz w:val="19"/>
                <w:szCs w:val="19"/>
              </w:rPr>
              <w:t>Owner</w:t>
            </w:r>
          </w:p>
        </w:tc>
        <w:tc>
          <w:tcPr>
            <w:tcW w:w="1050" w:type="pct"/>
            <w:shd w:val="clear" w:color="auto" w:fill="1F3864"/>
            <w:tcMar>
              <w:top w:w="90" w:type="dxa"/>
              <w:left w:w="120" w:type="dxa"/>
              <w:bottom w:w="90" w:type="dxa"/>
              <w:right w:w="120" w:type="dxa"/>
            </w:tcMar>
            <w:vAlign w:val="center"/>
          </w:tcPr>
          <w:p w:rsidR="00821197" w:rsidRDefault="00000000" w14:paraId="0906696D" w14:textId="77777777">
            <w:r>
              <w:rPr>
                <w:b/>
                <w:bCs/>
                <w:color w:val="FFFFFF"/>
                <w:sz w:val="19"/>
                <w:szCs w:val="19"/>
              </w:rPr>
              <w:t>Status</w:t>
            </w:r>
          </w:p>
        </w:tc>
      </w:tr>
      <w:tr w:rsidR="00821197" w:rsidTr="287FEB74" w14:paraId="0AB70FE5" w14:textId="77777777">
        <w:tblPrEx>
          <w:tblCellMar>
            <w:top w:w="0" w:type="dxa"/>
            <w:bottom w:w="0" w:type="dxa"/>
          </w:tblCellMar>
        </w:tblPrEx>
        <w:tc>
          <w:tcPr>
            <w:tcW w:w="2500" w:type="pct"/>
            <w:shd w:val="clear" w:color="auto" w:fill="FFFFFF" w:themeFill="background1"/>
            <w:tcMar>
              <w:top w:w="90" w:type="dxa"/>
              <w:left w:w="120" w:type="dxa"/>
              <w:bottom w:w="90" w:type="dxa"/>
              <w:right w:w="120" w:type="dxa"/>
            </w:tcMar>
            <w:vAlign w:val="center"/>
          </w:tcPr>
          <w:p w:rsidR="00821197" w:rsidRDefault="00000000" w14:paraId="6C5FC1FF" w14:textId="77777777">
            <w:r>
              <w:rPr>
                <w:color w:val="000000"/>
                <w:sz w:val="19"/>
                <w:szCs w:val="19"/>
              </w:rPr>
              <w:t>Share list of application pages/screens with TICVAI team</w:t>
            </w:r>
          </w:p>
        </w:tc>
        <w:tc>
          <w:tcPr>
            <w:tcW w:w="1450" w:type="pct"/>
            <w:shd w:val="clear" w:color="auto" w:fill="FFFFFF" w:themeFill="background1"/>
            <w:tcMar>
              <w:top w:w="90" w:type="dxa"/>
              <w:left w:w="120" w:type="dxa"/>
              <w:bottom w:w="90" w:type="dxa"/>
              <w:right w:w="120" w:type="dxa"/>
            </w:tcMar>
            <w:vAlign w:val="center"/>
          </w:tcPr>
          <w:p w:rsidR="00821197" w:rsidRDefault="00000000" w14:paraId="30A233FF" w14:textId="77777777">
            <w:r>
              <w:rPr>
                <w:color w:val="000000"/>
                <w:sz w:val="19"/>
                <w:szCs w:val="19"/>
              </w:rPr>
              <w:t>Chinmay Parab</w:t>
            </w:r>
          </w:p>
        </w:tc>
        <w:tc>
          <w:tcPr>
            <w:tcW w:w="1050" w:type="pct"/>
            <w:shd w:val="clear" w:color="auto" w:fill="FFFFFF" w:themeFill="background1"/>
            <w:tcMar>
              <w:top w:w="90" w:type="dxa"/>
              <w:left w:w="120" w:type="dxa"/>
              <w:bottom w:w="90" w:type="dxa"/>
              <w:right w:w="120" w:type="dxa"/>
            </w:tcMar>
            <w:vAlign w:val="center"/>
          </w:tcPr>
          <w:p w:rsidR="00821197" w:rsidRDefault="00000000" w14:paraId="59B187E4" w14:textId="77777777">
            <w:r>
              <w:rPr>
                <w:b/>
                <w:bCs/>
                <w:color w:val="7F7F7F"/>
                <w:sz w:val="19"/>
                <w:szCs w:val="19"/>
              </w:rPr>
              <w:t>Pending</w:t>
            </w:r>
          </w:p>
        </w:tc>
      </w:tr>
      <w:tr w:rsidR="00821197" w:rsidTr="287FEB74" w14:paraId="6DD86C68" w14:textId="77777777">
        <w:tblPrEx>
          <w:tblCellMar>
            <w:top w:w="0" w:type="dxa"/>
            <w:bottom w:w="0" w:type="dxa"/>
          </w:tblCellMar>
        </w:tblPrEx>
        <w:tc>
          <w:tcPr>
            <w:tcW w:w="2500" w:type="pct"/>
            <w:shd w:val="clear" w:color="auto" w:fill="F2F2F2" w:themeFill="background1" w:themeFillShade="F2"/>
            <w:tcMar>
              <w:top w:w="90" w:type="dxa"/>
              <w:left w:w="120" w:type="dxa"/>
              <w:bottom w:w="90" w:type="dxa"/>
              <w:right w:w="120" w:type="dxa"/>
            </w:tcMar>
            <w:vAlign w:val="center"/>
          </w:tcPr>
          <w:p w:rsidR="00821197" w:rsidRDefault="00000000" w14:paraId="2BE98468" w14:textId="77777777">
            <w:r>
              <w:rPr>
                <w:color w:val="000000"/>
                <w:sz w:val="19"/>
                <w:szCs w:val="19"/>
              </w:rPr>
              <w:t>Send follow-up email flagging areas needing clarity on UI/UX</w:t>
            </w:r>
          </w:p>
        </w:tc>
        <w:tc>
          <w:tcPr>
            <w:tcW w:w="1450" w:type="pct"/>
            <w:shd w:val="clear" w:color="auto" w:fill="F2F2F2" w:themeFill="background1" w:themeFillShade="F2"/>
            <w:tcMar>
              <w:top w:w="90" w:type="dxa"/>
              <w:left w:w="120" w:type="dxa"/>
              <w:bottom w:w="90" w:type="dxa"/>
              <w:right w:w="120" w:type="dxa"/>
            </w:tcMar>
            <w:vAlign w:val="center"/>
          </w:tcPr>
          <w:p w:rsidR="00821197" w:rsidRDefault="00000000" w14:paraId="388956CF" w14:textId="77777777">
            <w:r>
              <w:rPr>
                <w:color w:val="000000"/>
                <w:sz w:val="19"/>
                <w:szCs w:val="19"/>
              </w:rPr>
              <w:t>Chinmay Parab</w:t>
            </w:r>
          </w:p>
        </w:tc>
        <w:tc>
          <w:tcPr>
            <w:tcW w:w="1050" w:type="pct"/>
            <w:shd w:val="clear" w:color="auto" w:fill="F2F2F2" w:themeFill="background1" w:themeFillShade="F2"/>
            <w:tcMar>
              <w:top w:w="90" w:type="dxa"/>
              <w:left w:w="120" w:type="dxa"/>
              <w:bottom w:w="90" w:type="dxa"/>
              <w:right w:w="120" w:type="dxa"/>
            </w:tcMar>
            <w:vAlign w:val="center"/>
          </w:tcPr>
          <w:p w:rsidR="00821197" w:rsidRDefault="00000000" w14:paraId="07D4128D" w14:textId="77777777">
            <w:r>
              <w:rPr>
                <w:b/>
                <w:bCs/>
                <w:color w:val="7F7F7F"/>
                <w:sz w:val="19"/>
                <w:szCs w:val="19"/>
              </w:rPr>
              <w:t>Pending</w:t>
            </w:r>
          </w:p>
        </w:tc>
      </w:tr>
      <w:tr w:rsidR="00821197" w:rsidTr="287FEB74" w14:paraId="7F34023F" w14:textId="77777777">
        <w:tblPrEx>
          <w:tblCellMar>
            <w:top w:w="0" w:type="dxa"/>
            <w:bottom w:w="0" w:type="dxa"/>
          </w:tblCellMar>
        </w:tblPrEx>
        <w:tc>
          <w:tcPr>
            <w:tcW w:w="2500" w:type="pct"/>
            <w:shd w:val="clear" w:color="auto" w:fill="FFFFFF" w:themeFill="background1"/>
            <w:tcMar>
              <w:top w:w="90" w:type="dxa"/>
              <w:left w:w="120" w:type="dxa"/>
              <w:bottom w:w="90" w:type="dxa"/>
              <w:right w:w="120" w:type="dxa"/>
            </w:tcMar>
            <w:vAlign w:val="center"/>
          </w:tcPr>
          <w:p w:rsidR="00821197" w:rsidRDefault="00000000" w14:paraId="22C3D309" w14:textId="77777777">
            <w:r>
              <w:rPr>
                <w:color w:val="000000"/>
                <w:sz w:val="19"/>
                <w:szCs w:val="19"/>
              </w:rPr>
              <w:t>Prepare and present UI/UX vision and application flows (admission ticket, seat assignment, etc.)</w:t>
            </w:r>
          </w:p>
        </w:tc>
        <w:tc>
          <w:tcPr>
            <w:tcW w:w="1450" w:type="pct"/>
            <w:shd w:val="clear" w:color="auto" w:fill="FFFFFF" w:themeFill="background1"/>
            <w:tcMar>
              <w:top w:w="90" w:type="dxa"/>
              <w:left w:w="120" w:type="dxa"/>
              <w:bottom w:w="90" w:type="dxa"/>
              <w:right w:w="120" w:type="dxa"/>
            </w:tcMar>
            <w:vAlign w:val="center"/>
          </w:tcPr>
          <w:p w:rsidR="00821197" w:rsidRDefault="00000000" w14:paraId="4D83C07C" w14:textId="77777777">
            <w:r>
              <w:rPr>
                <w:color w:val="000000"/>
                <w:sz w:val="19"/>
                <w:szCs w:val="19"/>
              </w:rPr>
              <w:t>TICVAI Team</w:t>
            </w:r>
          </w:p>
        </w:tc>
        <w:tc>
          <w:tcPr>
            <w:tcW w:w="1050" w:type="pct"/>
            <w:shd w:val="clear" w:color="auto" w:fill="FFFFFF" w:themeFill="background1"/>
            <w:tcMar>
              <w:top w:w="90" w:type="dxa"/>
              <w:left w:w="120" w:type="dxa"/>
              <w:bottom w:w="90" w:type="dxa"/>
              <w:right w:w="120" w:type="dxa"/>
            </w:tcMar>
            <w:vAlign w:val="center"/>
          </w:tcPr>
          <w:p w:rsidR="00821197" w:rsidRDefault="00000000" w14:paraId="527C2213" w14:textId="77777777">
            <w:r>
              <w:rPr>
                <w:b/>
                <w:bCs/>
                <w:color w:val="7F7F7F"/>
                <w:sz w:val="19"/>
                <w:szCs w:val="19"/>
              </w:rPr>
              <w:t>Pending</w:t>
            </w:r>
          </w:p>
        </w:tc>
      </w:tr>
      <w:tr w:rsidR="00821197" w:rsidTr="287FEB74" w14:paraId="6E4A33EF" w14:textId="77777777">
        <w:tblPrEx>
          <w:tblCellMar>
            <w:top w:w="0" w:type="dxa"/>
            <w:bottom w:w="0" w:type="dxa"/>
          </w:tblCellMar>
        </w:tblPrEx>
        <w:tc>
          <w:tcPr>
            <w:tcW w:w="2500" w:type="pct"/>
            <w:shd w:val="clear" w:color="auto" w:fill="F2F2F2" w:themeFill="background1" w:themeFillShade="F2"/>
            <w:tcMar>
              <w:top w:w="90" w:type="dxa"/>
              <w:left w:w="120" w:type="dxa"/>
              <w:bottom w:w="90" w:type="dxa"/>
              <w:right w:w="120" w:type="dxa"/>
            </w:tcMar>
            <w:vAlign w:val="center"/>
          </w:tcPr>
          <w:p w:rsidR="00821197" w:rsidRDefault="00000000" w14:paraId="094738CE" w14:textId="77777777">
            <w:r>
              <w:rPr>
                <w:color w:val="000000"/>
                <w:sz w:val="19"/>
                <w:szCs w:val="19"/>
              </w:rPr>
              <w:t>Confirm whether reference UI flow (shared link) will be reused or modified</w:t>
            </w:r>
          </w:p>
        </w:tc>
        <w:tc>
          <w:tcPr>
            <w:tcW w:w="1450" w:type="pct"/>
            <w:shd w:val="clear" w:color="auto" w:fill="F2F2F2" w:themeFill="background1" w:themeFillShade="F2"/>
            <w:tcMar>
              <w:top w:w="90" w:type="dxa"/>
              <w:left w:w="120" w:type="dxa"/>
              <w:bottom w:w="90" w:type="dxa"/>
              <w:right w:w="120" w:type="dxa"/>
            </w:tcMar>
            <w:vAlign w:val="center"/>
          </w:tcPr>
          <w:p w:rsidR="00821197" w:rsidRDefault="00000000" w14:paraId="0C5AEB84" w14:textId="77777777">
            <w:r>
              <w:rPr>
                <w:color w:val="000000"/>
                <w:sz w:val="19"/>
                <w:szCs w:val="19"/>
              </w:rPr>
              <w:t>Aishwarya More &amp; TICVAI Team</w:t>
            </w:r>
          </w:p>
        </w:tc>
        <w:tc>
          <w:tcPr>
            <w:tcW w:w="1050" w:type="pct"/>
            <w:shd w:val="clear" w:color="auto" w:fill="F2F2F2" w:themeFill="background1" w:themeFillShade="F2"/>
            <w:tcMar>
              <w:top w:w="90" w:type="dxa"/>
              <w:left w:w="120" w:type="dxa"/>
              <w:bottom w:w="90" w:type="dxa"/>
              <w:right w:w="120" w:type="dxa"/>
            </w:tcMar>
            <w:vAlign w:val="center"/>
          </w:tcPr>
          <w:p w:rsidR="00821197" w:rsidRDefault="00000000" w14:paraId="1709CEAB" w14:textId="77777777">
            <w:r>
              <w:rPr>
                <w:b/>
                <w:bCs/>
                <w:color w:val="7F7F7F"/>
                <w:sz w:val="19"/>
                <w:szCs w:val="19"/>
              </w:rPr>
              <w:t>Pending</w:t>
            </w:r>
          </w:p>
        </w:tc>
      </w:tr>
      <w:tr w:rsidR="00821197" w:rsidTr="287FEB74" w14:paraId="6BF0EC87" w14:textId="77777777">
        <w:tblPrEx>
          <w:tblCellMar>
            <w:top w:w="0" w:type="dxa"/>
            <w:bottom w:w="0" w:type="dxa"/>
          </w:tblCellMar>
        </w:tblPrEx>
        <w:tc>
          <w:tcPr>
            <w:tcW w:w="2500" w:type="pct"/>
            <w:shd w:val="clear" w:color="auto" w:fill="FFFFFF" w:themeFill="background1"/>
            <w:tcMar>
              <w:top w:w="90" w:type="dxa"/>
              <w:left w:w="120" w:type="dxa"/>
              <w:bottom w:w="90" w:type="dxa"/>
              <w:right w:w="120" w:type="dxa"/>
            </w:tcMar>
            <w:vAlign w:val="center"/>
          </w:tcPr>
          <w:p w:rsidR="00821197" w:rsidRDefault="00000000" w14:paraId="2FB75269" w14:textId="77777777">
            <w:r>
              <w:rPr>
                <w:color w:val="000000"/>
                <w:sz w:val="19"/>
                <w:szCs w:val="19"/>
              </w:rPr>
              <w:lastRenderedPageBreak/>
              <w:t>Begin wireframe development in parallel with ongoing sessions</w:t>
            </w:r>
          </w:p>
        </w:tc>
        <w:tc>
          <w:tcPr>
            <w:tcW w:w="1450" w:type="pct"/>
            <w:shd w:val="clear" w:color="auto" w:fill="FFFFFF" w:themeFill="background1"/>
            <w:tcMar>
              <w:top w:w="90" w:type="dxa"/>
              <w:left w:w="120" w:type="dxa"/>
              <w:bottom w:w="90" w:type="dxa"/>
              <w:right w:w="120" w:type="dxa"/>
            </w:tcMar>
            <w:vAlign w:val="center"/>
          </w:tcPr>
          <w:p w:rsidR="00821197" w:rsidRDefault="00000000" w14:paraId="26E13FEB" w14:textId="77777777">
            <w:proofErr w:type="spellStart"/>
            <w:r>
              <w:rPr>
                <w:color w:val="000000"/>
                <w:sz w:val="19"/>
                <w:szCs w:val="19"/>
              </w:rPr>
              <w:t>Softlabs</w:t>
            </w:r>
            <w:proofErr w:type="spellEnd"/>
            <w:r>
              <w:rPr>
                <w:color w:val="000000"/>
                <w:sz w:val="19"/>
                <w:szCs w:val="19"/>
              </w:rPr>
              <w:t xml:space="preserve"> Design Team</w:t>
            </w:r>
          </w:p>
        </w:tc>
        <w:tc>
          <w:tcPr>
            <w:tcW w:w="1050" w:type="pct"/>
            <w:shd w:val="clear" w:color="auto" w:fill="FFFFFF" w:themeFill="background1"/>
            <w:tcMar>
              <w:top w:w="90" w:type="dxa"/>
              <w:left w:w="120" w:type="dxa"/>
              <w:bottom w:w="90" w:type="dxa"/>
              <w:right w:w="120" w:type="dxa"/>
            </w:tcMar>
            <w:vAlign w:val="center"/>
          </w:tcPr>
          <w:p w:rsidR="00821197" w:rsidRDefault="00000000" w14:paraId="2A5DCF92" w14:textId="77777777">
            <w:r>
              <w:rPr>
                <w:b/>
                <w:bCs/>
                <w:color w:val="9C6500"/>
                <w:sz w:val="19"/>
                <w:szCs w:val="19"/>
              </w:rPr>
              <w:t>In Progress</w:t>
            </w:r>
          </w:p>
        </w:tc>
      </w:tr>
      <w:tr w:rsidR="00821197" w:rsidTr="287FEB74" w14:paraId="7D0CE5BE" w14:textId="77777777">
        <w:tblPrEx>
          <w:tblCellMar>
            <w:top w:w="0" w:type="dxa"/>
            <w:bottom w:w="0" w:type="dxa"/>
          </w:tblCellMar>
        </w:tblPrEx>
        <w:tc>
          <w:tcPr>
            <w:tcW w:w="2500" w:type="pct"/>
            <w:shd w:val="clear" w:color="auto" w:fill="F2F2F2" w:themeFill="background1" w:themeFillShade="F2"/>
            <w:tcMar>
              <w:top w:w="90" w:type="dxa"/>
              <w:left w:w="120" w:type="dxa"/>
              <w:bottom w:w="90" w:type="dxa"/>
              <w:right w:w="120" w:type="dxa"/>
            </w:tcMar>
            <w:vAlign w:val="center"/>
          </w:tcPr>
          <w:p w:rsidR="00821197" w:rsidRDefault="00000000" w14:paraId="14AEE4BE" w14:textId="77777777">
            <w:r>
              <w:rPr>
                <w:color w:val="000000"/>
                <w:sz w:val="19"/>
                <w:szCs w:val="19"/>
              </w:rPr>
              <w:t>Use clear, topic-specific subject lines for future email threads</w:t>
            </w:r>
          </w:p>
        </w:tc>
        <w:tc>
          <w:tcPr>
            <w:tcW w:w="1450" w:type="pct"/>
            <w:shd w:val="clear" w:color="auto" w:fill="F2F2F2" w:themeFill="background1" w:themeFillShade="F2"/>
            <w:tcMar>
              <w:top w:w="90" w:type="dxa"/>
              <w:left w:w="120" w:type="dxa"/>
              <w:bottom w:w="90" w:type="dxa"/>
              <w:right w:w="120" w:type="dxa"/>
            </w:tcMar>
            <w:vAlign w:val="center"/>
          </w:tcPr>
          <w:p w:rsidR="00821197" w:rsidRDefault="00000000" w14:paraId="1489FD81" w14:textId="77777777">
            <w:r>
              <w:rPr>
                <w:color w:val="000000"/>
                <w:sz w:val="19"/>
                <w:szCs w:val="19"/>
              </w:rPr>
              <w:t>Both Teams</w:t>
            </w:r>
          </w:p>
        </w:tc>
        <w:tc>
          <w:tcPr>
            <w:tcW w:w="1050" w:type="pct"/>
            <w:shd w:val="clear" w:color="auto" w:fill="F2F2F2" w:themeFill="background1" w:themeFillShade="F2"/>
            <w:tcMar>
              <w:top w:w="90" w:type="dxa"/>
              <w:left w:w="120" w:type="dxa"/>
              <w:bottom w:w="90" w:type="dxa"/>
              <w:right w:w="120" w:type="dxa"/>
            </w:tcMar>
            <w:vAlign w:val="center"/>
          </w:tcPr>
          <w:p w:rsidR="00821197" w:rsidRDefault="00000000" w14:paraId="0CCF0559" w14:textId="77777777">
            <w:r>
              <w:rPr>
                <w:b/>
                <w:bCs/>
                <w:color w:val="1F6F43"/>
                <w:sz w:val="19"/>
                <w:szCs w:val="19"/>
              </w:rPr>
              <w:t>Ongoing</w:t>
            </w:r>
          </w:p>
        </w:tc>
      </w:tr>
    </w:tbl>
    <w:p w:rsidR="287FEB74" w:rsidRDefault="287FEB74" w14:paraId="1520F49C" w14:textId="3051D21C"/>
    <w:p w:rsidR="00821197" w:rsidRDefault="00821197" w14:paraId="133D1CE0" w14:textId="77777777">
      <w:pPr>
        <w:spacing w:after="200"/>
      </w:pPr>
    </w:p>
    <w:p w:rsidR="00821197" w:rsidRDefault="00000000" w14:paraId="2A897D37" w14:textId="77777777">
      <w:pPr>
        <w:pStyle w:val="Heading1"/>
        <w:pBdr>
          <w:bottom w:val="single" w:color="2E74B5" w:sz="6" w:space="4"/>
        </w:pBdr>
        <w:spacing w:before="320" w:after="160"/>
      </w:pPr>
      <w:r>
        <w:rPr>
          <w:b/>
          <w:bCs/>
          <w:color w:val="1F3864"/>
          <w:sz w:val="27"/>
          <w:szCs w:val="27"/>
        </w:rPr>
        <w:t>Next Meeting</w:t>
      </w:r>
    </w:p>
    <w:p w:rsidR="00821197" w:rsidRDefault="00000000" w14:paraId="77957786" w14:textId="77777777">
      <w:pPr>
        <w:spacing w:after="100"/>
      </w:pPr>
      <w:r>
        <w:rPr>
          <w:b/>
          <w:bCs/>
          <w:color w:val="1F3864"/>
        </w:rPr>
        <w:t xml:space="preserve">Date:  </w:t>
      </w:r>
      <w:r>
        <w:t>Monday, 3 August 2026</w:t>
      </w:r>
    </w:p>
    <w:p w:rsidR="00821197" w:rsidRDefault="00000000" w14:paraId="3C1759FF" w14:textId="77777777">
      <w:pPr>
        <w:spacing w:after="100"/>
      </w:pPr>
      <w:r>
        <w:rPr>
          <w:b/>
          <w:bCs/>
          <w:color w:val="1F3864"/>
        </w:rPr>
        <w:t xml:space="preserve">Time:  </w:t>
      </w:r>
      <w:r>
        <w:t>To be confirmed</w:t>
      </w:r>
    </w:p>
    <w:p w:rsidR="00821197" w:rsidRDefault="00000000" w14:paraId="66E47176" w14:textId="77777777">
      <w:pPr>
        <w:spacing w:before="160" w:after="80"/>
      </w:pPr>
      <w:r>
        <w:rPr>
          <w:b/>
          <w:bCs/>
          <w:color w:val="2E74B5"/>
        </w:rPr>
        <w:t>Planned Topics</w:t>
      </w:r>
    </w:p>
    <w:p w:rsidR="00821197" w:rsidRDefault="00000000" w14:paraId="64E1B64C" w14:textId="77777777">
      <w:pPr>
        <w:pStyle w:val="ListParagraph"/>
        <w:numPr>
          <w:ilvl w:val="0"/>
          <w:numId w:val="2"/>
        </w:numPr>
        <w:spacing w:after="60"/>
      </w:pPr>
      <w:r>
        <w:t>UI/UX walkthrough</w:t>
      </w:r>
    </w:p>
    <w:p w:rsidR="00821197" w:rsidRDefault="00000000" w14:paraId="421B7A2B" w14:textId="77777777">
      <w:pPr>
        <w:pStyle w:val="ListParagraph"/>
        <w:numPr>
          <w:ilvl w:val="0"/>
          <w:numId w:val="2"/>
        </w:numPr>
        <w:spacing w:after="60"/>
      </w:pPr>
      <w:r>
        <w:t>TICVAI's vision for application flows (admission ticket, seat assignment, and related flows)</w:t>
      </w:r>
    </w:p>
    <w:p w:rsidR="00821197" w:rsidRDefault="00000000" w14:paraId="332AA76D" w14:textId="77777777">
      <w:pPr>
        <w:pStyle w:val="ListParagraph"/>
        <w:numPr>
          <w:ilvl w:val="0"/>
          <w:numId w:val="2"/>
        </w:numPr>
        <w:spacing w:after="60"/>
      </w:pPr>
      <w:r>
        <w:t>Wireframe review</w:t>
      </w:r>
    </w:p>
    <w:p w:rsidR="00821197" w:rsidRDefault="00000000" w14:paraId="0665D858" w14:textId="77777777">
      <w:pPr>
        <w:pStyle w:val="Heading1"/>
        <w:pBdr>
          <w:bottom w:val="single" w:color="2E74B5" w:sz="6" w:space="4"/>
        </w:pBdr>
        <w:spacing w:before="320" w:after="160"/>
      </w:pPr>
      <w:r>
        <w:rPr>
          <w:b/>
          <w:bCs/>
          <w:color w:val="1F3864"/>
          <w:sz w:val="27"/>
          <w:szCs w:val="27"/>
        </w:rPr>
        <w:t>Closing Remarks</w:t>
      </w:r>
    </w:p>
    <w:p w:rsidR="00821197" w:rsidRDefault="00000000" w14:paraId="0C294FFC" w14:textId="77777777">
      <w:pPr>
        <w:spacing w:after="120"/>
      </w:pPr>
      <w:r>
        <w:t>The meeting concluded with agreement to defer the multi-tenancy discussion, hold a dedicated UI/UX walkthrough on Monday, and begin wireframe development in parallel in the meantime. Both teams also aligned on adopting clearer, topic-specific email communication going forward, replacing the previous single-thread approach.</w:t>
      </w:r>
    </w:p>
    <w:sectPr w:rsidR="00821197">
      <w:headerReference w:type="default" r:id="rId7"/>
      <w:pgSz w:w="12240" w:h="15840" w:orient="portrait"/>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56375" w:rsidP="008D7A83" w:rsidRDefault="00056375" w14:paraId="3AF6CD22" w14:textId="77777777">
      <w:r>
        <w:separator/>
      </w:r>
    </w:p>
  </w:endnote>
  <w:endnote w:type="continuationSeparator" w:id="0">
    <w:p w:rsidR="00056375" w:rsidP="008D7A83" w:rsidRDefault="00056375" w14:paraId="0FAD7C9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56375" w:rsidP="008D7A83" w:rsidRDefault="00056375" w14:paraId="3C111036" w14:textId="77777777">
      <w:r>
        <w:separator/>
      </w:r>
    </w:p>
  </w:footnote>
  <w:footnote w:type="continuationSeparator" w:id="0">
    <w:p w:rsidR="00056375" w:rsidP="008D7A83" w:rsidRDefault="00056375" w14:paraId="3D2EB44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D7A83" w:rsidP="008D7A83" w:rsidRDefault="008D7A83" w14:paraId="14A7AA36" w14:textId="67A7FF7C">
    <w:pPr>
      <w:pStyle w:val="Header"/>
      <w:ind w:left="8640"/>
    </w:pPr>
    <w:r>
      <w:rPr>
        <w:noProof/>
      </w:rPr>
      <w:drawing>
        <wp:inline distT="0" distB="0" distL="0" distR="0" wp14:anchorId="7AD81EC5" wp14:editId="25B18BE0">
          <wp:extent cx="1428750" cy="266700"/>
          <wp:effectExtent l="0" t="0" r="0" b="0"/>
          <wp:docPr id="85413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266700"/>
                  </a:xfrm>
                  <a:prstGeom prst="rect">
                    <a:avLst/>
                  </a:prstGeom>
                  <a:noFill/>
                  <a:ln>
                    <a:noFill/>
                  </a:ln>
                </pic:spPr>
              </pic:pic>
            </a:graphicData>
          </a:graphic>
        </wp:inline>
      </w:drawing>
    </w:r>
    <w:r>
      <w:br/>
    </w:r>
    <w:r>
      <w:rPr>
        <w:noProof/>
      </w:rPr>
      <w:drawing>
        <wp:inline distT="0" distB="0" distL="0" distR="0" wp14:anchorId="3F1FC0DB" wp14:editId="0B697486">
          <wp:extent cx="1047750" cy="200025"/>
          <wp:effectExtent l="0" t="0" r="0" b="9525"/>
          <wp:docPr id="346445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7750" cy="200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F228B"/>
    <w:multiLevelType w:val="hybridMultilevel"/>
    <w:tmpl w:val="BDF05246"/>
    <w:lvl w:ilvl="0" w:tplc="D12E4F92">
      <w:start w:val="1"/>
      <w:numFmt w:val="bullet"/>
      <w:lvlText w:val="•"/>
      <w:lvlJc w:val="left"/>
      <w:pPr>
        <w:ind w:left="504" w:hanging="288"/>
      </w:pPr>
    </w:lvl>
    <w:lvl w:ilvl="1" w:tplc="21BA55D6">
      <w:start w:val="1"/>
      <w:numFmt w:val="bullet"/>
      <w:lvlText w:val="◦"/>
      <w:lvlJc w:val="left"/>
      <w:pPr>
        <w:ind w:left="1008" w:hanging="288"/>
      </w:pPr>
    </w:lvl>
    <w:lvl w:ilvl="2" w:tplc="7CBA4F40">
      <w:numFmt w:val="decimal"/>
      <w:lvlText w:val=""/>
      <w:lvlJc w:val="left"/>
    </w:lvl>
    <w:lvl w:ilvl="3" w:tplc="A2EE244C">
      <w:numFmt w:val="decimal"/>
      <w:lvlText w:val=""/>
      <w:lvlJc w:val="left"/>
    </w:lvl>
    <w:lvl w:ilvl="4" w:tplc="DC0A2426">
      <w:numFmt w:val="decimal"/>
      <w:lvlText w:val=""/>
      <w:lvlJc w:val="left"/>
    </w:lvl>
    <w:lvl w:ilvl="5" w:tplc="41189378">
      <w:numFmt w:val="decimal"/>
      <w:lvlText w:val=""/>
      <w:lvlJc w:val="left"/>
    </w:lvl>
    <w:lvl w:ilvl="6" w:tplc="FCE8FDD8">
      <w:numFmt w:val="decimal"/>
      <w:lvlText w:val=""/>
      <w:lvlJc w:val="left"/>
    </w:lvl>
    <w:lvl w:ilvl="7" w:tplc="E3DE6438">
      <w:numFmt w:val="decimal"/>
      <w:lvlText w:val=""/>
      <w:lvlJc w:val="left"/>
    </w:lvl>
    <w:lvl w:ilvl="8" w:tplc="566CEF56">
      <w:numFmt w:val="decimal"/>
      <w:lvlText w:val=""/>
      <w:lvlJc w:val="left"/>
    </w:lvl>
  </w:abstractNum>
  <w:abstractNum w:abstractNumId="1" w15:restartNumberingAfterBreak="0">
    <w:nsid w:val="3ECF5897"/>
    <w:multiLevelType w:val="hybridMultilevel"/>
    <w:tmpl w:val="D24A224A"/>
    <w:lvl w:ilvl="0" w:tplc="F4C27DA0">
      <w:start w:val="1"/>
      <w:numFmt w:val="decimal"/>
      <w:lvlText w:val="%1."/>
      <w:lvlJc w:val="left"/>
      <w:pPr>
        <w:ind w:left="576" w:hanging="431"/>
      </w:pPr>
    </w:lvl>
    <w:lvl w:ilvl="1" w:tplc="E174AE2C">
      <w:numFmt w:val="decimal"/>
      <w:lvlText w:val=""/>
      <w:lvlJc w:val="left"/>
    </w:lvl>
    <w:lvl w:ilvl="2" w:tplc="66B6B1BC">
      <w:numFmt w:val="decimal"/>
      <w:lvlText w:val=""/>
      <w:lvlJc w:val="left"/>
    </w:lvl>
    <w:lvl w:ilvl="3" w:tplc="E99E15F2">
      <w:numFmt w:val="decimal"/>
      <w:lvlText w:val=""/>
      <w:lvlJc w:val="left"/>
    </w:lvl>
    <w:lvl w:ilvl="4" w:tplc="6CA0B974">
      <w:numFmt w:val="decimal"/>
      <w:lvlText w:val=""/>
      <w:lvlJc w:val="left"/>
    </w:lvl>
    <w:lvl w:ilvl="5" w:tplc="4A2CD3A8">
      <w:numFmt w:val="decimal"/>
      <w:lvlText w:val=""/>
      <w:lvlJc w:val="left"/>
    </w:lvl>
    <w:lvl w:ilvl="6" w:tplc="8A5C797C">
      <w:numFmt w:val="decimal"/>
      <w:lvlText w:val=""/>
      <w:lvlJc w:val="left"/>
    </w:lvl>
    <w:lvl w:ilvl="7" w:tplc="031E058A">
      <w:numFmt w:val="decimal"/>
      <w:lvlText w:val=""/>
      <w:lvlJc w:val="left"/>
    </w:lvl>
    <w:lvl w:ilvl="8" w:tplc="F56846C2">
      <w:numFmt w:val="decimal"/>
      <w:lvlText w:val=""/>
      <w:lvlJc w:val="left"/>
    </w:lvl>
  </w:abstractNum>
  <w:abstractNum w:abstractNumId="2" w15:restartNumberingAfterBreak="0">
    <w:nsid w:val="4320557C"/>
    <w:multiLevelType w:val="hybridMultilevel"/>
    <w:tmpl w:val="AB4E73AC"/>
    <w:lvl w:ilvl="0" w:tplc="275A1378">
      <w:start w:val="1"/>
      <w:numFmt w:val="bullet"/>
      <w:lvlText w:val="●"/>
      <w:lvlJc w:val="left"/>
      <w:pPr>
        <w:ind w:left="720" w:hanging="360"/>
      </w:pPr>
    </w:lvl>
    <w:lvl w:ilvl="1" w:tplc="4E08F4B8">
      <w:start w:val="1"/>
      <w:numFmt w:val="bullet"/>
      <w:lvlText w:val="○"/>
      <w:lvlJc w:val="left"/>
      <w:pPr>
        <w:ind w:left="1440" w:hanging="360"/>
      </w:pPr>
    </w:lvl>
    <w:lvl w:ilvl="2" w:tplc="BC4E912A">
      <w:start w:val="1"/>
      <w:numFmt w:val="bullet"/>
      <w:lvlText w:val="■"/>
      <w:lvlJc w:val="left"/>
      <w:pPr>
        <w:ind w:left="2160" w:hanging="360"/>
      </w:pPr>
    </w:lvl>
    <w:lvl w:ilvl="3" w:tplc="5A38A732">
      <w:start w:val="1"/>
      <w:numFmt w:val="bullet"/>
      <w:lvlText w:val="●"/>
      <w:lvlJc w:val="left"/>
      <w:pPr>
        <w:ind w:left="2880" w:hanging="360"/>
      </w:pPr>
    </w:lvl>
    <w:lvl w:ilvl="4" w:tplc="95A0AF74">
      <w:start w:val="1"/>
      <w:numFmt w:val="bullet"/>
      <w:lvlText w:val="○"/>
      <w:lvlJc w:val="left"/>
      <w:pPr>
        <w:ind w:left="3600" w:hanging="360"/>
      </w:pPr>
    </w:lvl>
    <w:lvl w:ilvl="5" w:tplc="A942E2B0">
      <w:start w:val="1"/>
      <w:numFmt w:val="bullet"/>
      <w:lvlText w:val="■"/>
      <w:lvlJc w:val="left"/>
      <w:pPr>
        <w:ind w:left="4320" w:hanging="360"/>
      </w:pPr>
    </w:lvl>
    <w:lvl w:ilvl="6" w:tplc="1EB67040">
      <w:start w:val="1"/>
      <w:numFmt w:val="bullet"/>
      <w:lvlText w:val="●"/>
      <w:lvlJc w:val="left"/>
      <w:pPr>
        <w:ind w:left="5040" w:hanging="360"/>
      </w:pPr>
    </w:lvl>
    <w:lvl w:ilvl="7" w:tplc="C8002E58">
      <w:start w:val="1"/>
      <w:numFmt w:val="bullet"/>
      <w:lvlText w:val="●"/>
      <w:lvlJc w:val="left"/>
      <w:pPr>
        <w:ind w:left="5760" w:hanging="360"/>
      </w:pPr>
    </w:lvl>
    <w:lvl w:ilvl="8" w:tplc="46128DE2">
      <w:start w:val="1"/>
      <w:numFmt w:val="bullet"/>
      <w:lvlText w:val="●"/>
      <w:lvlJc w:val="left"/>
      <w:pPr>
        <w:ind w:left="6480" w:hanging="360"/>
      </w:pPr>
    </w:lvl>
  </w:abstractNum>
  <w:abstractNum w:abstractNumId="3" w15:restartNumberingAfterBreak="0">
    <w:nsid w:val="64073502"/>
    <w:multiLevelType w:val="hybridMultilevel"/>
    <w:tmpl w:val="AB22CD7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2100367600">
    <w:abstractNumId w:val="2"/>
    <w:lvlOverride w:ilvl="0">
      <w:startOverride w:val="1"/>
    </w:lvlOverride>
  </w:num>
  <w:num w:numId="2" w16cid:durableId="1530603097">
    <w:abstractNumId w:val="0"/>
    <w:lvlOverride w:ilvl="0">
      <w:startOverride w:val="1"/>
    </w:lvlOverride>
  </w:num>
  <w:num w:numId="3" w16cid:durableId="1322848939">
    <w:abstractNumId w:val="1"/>
    <w:lvlOverride w:ilvl="0">
      <w:startOverride w:val="1"/>
    </w:lvlOverride>
  </w:num>
  <w:num w:numId="4" w16cid:durableId="8758545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197"/>
    <w:rsid w:val="00056375"/>
    <w:rsid w:val="00821197"/>
    <w:rsid w:val="008D7A83"/>
    <w:rsid w:val="009E7134"/>
    <w:rsid w:val="00BC1329"/>
    <w:rsid w:val="287FEB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21D64"/>
  <w15:docId w15:val="{3992F310-503D-44A2-B96B-04147D69D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7A83"/>
    <w:pPr>
      <w:tabs>
        <w:tab w:val="center" w:pos="4513"/>
        <w:tab w:val="right" w:pos="9026"/>
      </w:tabs>
    </w:pPr>
  </w:style>
  <w:style w:type="character" w:styleId="HeaderChar" w:customStyle="1">
    <w:name w:val="Header Char"/>
    <w:basedOn w:val="DefaultParagraphFont"/>
    <w:link w:val="Header"/>
    <w:uiPriority w:val="99"/>
    <w:rsid w:val="008D7A83"/>
  </w:style>
  <w:style w:type="paragraph" w:styleId="Footer">
    <w:name w:val="footer"/>
    <w:basedOn w:val="Normal"/>
    <w:link w:val="FooterChar"/>
    <w:uiPriority w:val="99"/>
    <w:unhideWhenUsed/>
    <w:rsid w:val="008D7A83"/>
    <w:pPr>
      <w:tabs>
        <w:tab w:val="center" w:pos="4513"/>
        <w:tab w:val="right" w:pos="9026"/>
      </w:tabs>
    </w:pPr>
  </w:style>
  <w:style w:type="character" w:styleId="FooterChar" w:customStyle="1">
    <w:name w:val="Footer Char"/>
    <w:basedOn w:val="DefaultParagraphFont"/>
    <w:link w:val="Footer"/>
    <w:uiPriority w:val="99"/>
    <w:rsid w:val="008D7A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Chitrangi Mestry</lastModifiedBy>
  <revision>3</revision>
  <dcterms:created xsi:type="dcterms:W3CDTF">2026-07-31T07:02:00.0000000Z</dcterms:created>
  <dcterms:modified xsi:type="dcterms:W3CDTF">2026-07-31T07:38:23.2920964Z</dcterms:modified>
</coreProperties>
</file>