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D529F85" w:rsidRDefault="0D529F85" w14:paraId="7A7F3FD9" w14:textId="67FA8E1C"/>
    <w:p w:rsidR="0D529F85" w:rsidRDefault="0D529F85" w14:paraId="4B694B33" w14:textId="0D52C0CE"/>
    <w:p w:rsidR="0D529F85" w:rsidRDefault="0D529F85" w14:paraId="229E9796" w14:textId="79341C0C"/>
    <w:tbl>
      <w:tblPr>
        <w:tblStyle w:val="TableGrid"/>
        <w:tblW w:w="0" w:type="auto"/>
        <w:jc w:val="center"/>
        <w:tblLook w:val="04A0" w:firstRow="1" w:lastRow="0" w:firstColumn="1" w:lastColumn="0" w:noHBand="0" w:noVBand="1"/>
      </w:tblPr>
      <w:tblGrid>
        <w:gridCol w:w="9648"/>
      </w:tblGrid>
      <w:tr w:rsidR="00E6366C" w14:paraId="6FF44290" w14:textId="77777777">
        <w:trPr>
          <w:jc w:val="center"/>
        </w:trPr>
        <w:tc>
          <w:tcPr>
            <w:tcW w:w="9648" w:type="dxa"/>
            <w:shd w:val="clear" w:color="auto" w:fill="1F3864"/>
          </w:tcPr>
          <w:p w:rsidR="00E6366C" w:rsidRDefault="00D97CF1" w14:paraId="5BCC4114" w14:textId="77777777">
            <w:pPr>
              <w:spacing w:before="20" w:after="20"/>
            </w:pPr>
            <w:r>
              <w:rPr>
                <w:b/>
                <w:color w:val="FFFFFF"/>
                <w:sz w:val="19"/>
              </w:rPr>
              <w:t>Chapter 2 Technical Architecture &amp; Multi-Tenancy Strategy</w:t>
            </w:r>
          </w:p>
        </w:tc>
      </w:tr>
    </w:tbl>
    <w:p w:rsidR="00E6366C" w:rsidRDefault="00E6366C" w14:paraId="672A6659" w14:textId="77777777">
      <w:pPr>
        <w:spacing w:after="40"/>
      </w:pPr>
    </w:p>
    <w:p w:rsidR="00E6366C" w:rsidRDefault="00D97CF1" w14:paraId="16E70DBB" w14:textId="77777777">
      <w:pPr>
        <w:spacing w:after="80"/>
      </w:pPr>
      <w:r>
        <w:rPr>
          <w:i/>
          <w:color w:val="555555"/>
          <w:sz w:val="18"/>
        </w:rPr>
        <w:t>Figure 2.1 — TAIS System Architecture: Client Tier, API Gateway, Services, Data Tier and Infrastructure</w:t>
      </w:r>
    </w:p>
    <w:p w:rsidR="00E6366C" w:rsidRDefault="00D97CF1" w14:paraId="285F2D61" w14:textId="77777777">
      <w:pPr>
        <w:pStyle w:val="Heading1"/>
        <w:spacing w:before="280" w:after="120"/>
      </w:pPr>
      <w:r>
        <w:rPr>
          <w:color w:val="1F3864"/>
          <w:sz w:val="36"/>
        </w:rPr>
        <w:t>2. Technical Architecture</w:t>
      </w:r>
    </w:p>
    <w:p w:rsidR="00E6366C" w:rsidRDefault="00D97CF1" w14:paraId="0C20791E" w14:textId="77777777">
      <w:pPr>
        <w:pStyle w:val="Heading2"/>
        <w:spacing w:after="80"/>
      </w:pPr>
      <w:r>
        <w:rPr>
          <w:color w:val="2E75B6"/>
          <w:sz w:val="28"/>
        </w:rPr>
        <w:t>2.1 Architectural Philosophy</w:t>
      </w:r>
    </w:p>
    <w:p w:rsidR="00E6366C" w:rsidRDefault="00D97CF1" w14:paraId="5A520F28" w14:textId="77777777">
      <w:pPr>
        <w:spacing w:after="120" w:line="259" w:lineRule="auto"/>
      </w:pPr>
      <w:r>
        <w:rPr>
          <w:i/>
          <w:color w:val="555555"/>
        </w:rPr>
        <w:t>The TAIS platform is domain-driven, API-first, and cloud-agnostic. These are not marketing descriptors — they are architectural constraints that govern every decision in this document.</w:t>
      </w:r>
    </w:p>
    <w:p w:rsidR="00E6366C" w:rsidRDefault="00D97CF1" w14:paraId="3C70265E" w14:textId="77777777">
      <w:pPr>
        <w:spacing w:after="120" w:line="259" w:lineRule="auto"/>
      </w:pPr>
      <w:r>
        <w:t>Domain-driven means the platform’s internal structure mirrors the operational reality of a venue. Identity management is a separate concern from ticketing, which is separate from finance, which is separate from operations. Each domain owns its data, its business logic, and its deployment lifecycle. A bug in the marketing service cannot corrupt financial data. A peak-hour surge in ticketing traffic cannot starve POS terminals of database connections. A platform upgrade to the AI service does not require coordinated downtime across the estate.</w:t>
      </w:r>
    </w:p>
    <w:p w:rsidR="00E6366C" w:rsidRDefault="00D97CF1" w14:paraId="57F18E4D" w14:textId="77777777">
      <w:pPr>
        <w:spacing w:after="120" w:line="259" w:lineRule="auto"/>
      </w:pPr>
      <w:r>
        <w:t>API-first means no user interface, no integration, and no internal service-to-service call is built before the API contract that governs it is defined, documented, and agreed. This single discipline — enforced from day one — is what makes the platform maintainable by a client team that was not involved in building it. Everything the client’s internal developers need to extend the platform is expressed in versioned OpenAPI contracts. Nothing is buried in code that has to be read to be understood.</w:t>
      </w:r>
    </w:p>
    <w:p w:rsidR="00E6366C" w:rsidRDefault="00D97CF1" w14:paraId="5A2FD122" w14:textId="77777777">
      <w:pPr>
        <w:spacing w:after="120" w:line="259" w:lineRule="auto"/>
      </w:pPr>
      <w:r>
        <w:t>Cloud-agnostic means the platform runs on any cloud or private infrastructure without application code changes. The Terraform templates delivered at Phase 3 handover provision all environments on AWS, Azure, GCP, or private Kubernetes. No proprietary managed service is used that would create lock-in at the application layer. If the client decides to move cloud providers in three years, the platform moves with them.</w:t>
      </w:r>
    </w:p>
    <w:p w:rsidR="00E6366C" w:rsidRDefault="00D97CF1" w14:paraId="1CBBC712" w14:textId="77777777">
      <w:pPr>
        <w:spacing w:after="120" w:line="259" w:lineRule="auto"/>
      </w:pPr>
      <w:r>
        <w:t>These three constraints also serve two fundamentally different client types simultaneously. Thin clients — web browsers, admin dashboards, the guest-facing storefront — expect server-side business logic and fast page loads. Thick clients — POS terminals, ticket scanners, mobile staff apps — must continue operating when the network fails, then synchronise reliably when it returns. Both are first-class citizens. Neither is an afterthought bolted onto an architecture designed for the other.</w:t>
      </w:r>
    </w:p>
    <w:p w:rsidR="00E6366C" w:rsidRDefault="00D97CF1" w14:paraId="1B64AC43" w14:textId="77777777">
      <w:pPr>
        <w:pStyle w:val="Heading2"/>
        <w:spacing w:after="80"/>
      </w:pPr>
      <w:r>
        <w:rPr>
          <w:color w:val="2E75B6"/>
          <w:sz w:val="28"/>
        </w:rPr>
        <w:t>2.2 Technology Stack</w:t>
      </w:r>
    </w:p>
    <w:p w:rsidR="00E6366C" w:rsidRDefault="00D97CF1" w14:paraId="4C4FD971" w14:textId="77777777">
      <w:pPr>
        <w:spacing w:after="120" w:line="259" w:lineRule="auto"/>
      </w:pPr>
      <w:r>
        <w:t>The stack is multi-language by deliberate design. The instinct to standardise on a single language across a 12-domain platform is understandable but wrong — it optimises for team homogeneity at the cost of architectural fit. The TAIS stack selects the right tool for each job, accepting the complexity of polyglot development in exchange for better performance, safety, and maintainability where it matters most.</w:t>
      </w:r>
    </w:p>
    <w:p w:rsidR="00E6366C" w:rsidRDefault="00D97CF1" w14:paraId="43B5AAEA" w14:textId="77777777">
      <w:pPr>
        <w:spacing w:after="80"/>
      </w:pPr>
      <w:r>
        <w:rPr>
          <w:i/>
          <w:color w:val="555555"/>
          <w:sz w:val="18"/>
        </w:rPr>
        <w:t>Figure 2.2 — Technology Stack: Layer by Layer</w:t>
      </w:r>
    </w:p>
    <w:p w:rsidR="00E6366C" w:rsidRDefault="00D97CF1" w14:paraId="10988011" w14:textId="77777777">
      <w:pPr>
        <w:pStyle w:val="Heading3"/>
        <w:spacing w:before="160" w:after="60"/>
      </w:pPr>
      <w:r>
        <w:rPr>
          <w:color w:val="2E75B6"/>
          <w:sz w:val="23"/>
        </w:rPr>
        <w:t>Backend — Four Languages, Four Roles</w:t>
      </w:r>
    </w:p>
    <w:p w:rsidR="00E6366C" w:rsidRDefault="00D97CF1" w14:paraId="42D95C00" w14:textId="77777777">
      <w:pPr>
        <w:spacing w:after="120" w:line="259" w:lineRule="auto"/>
      </w:pPr>
      <w:r>
        <w:t>Node.js (TypeScript) is the primary backend language for all API services, real-time features, and event processing. It handles high concurrency efficiently without the thread overhead of synchronous languages, making it well-suited to the API gateway workload — thousands of simultaneous requests, each awaiting an upstream response, with minimal CPU consumption between await points. TypeScript provides the type safety that large teams need without the compile-time overhead that slows development cycles.</w:t>
      </w:r>
    </w:p>
    <w:p w:rsidR="00E6366C" w:rsidRDefault="00D97CF1" w14:paraId="0DA32A12" w14:textId="77777777">
      <w:pPr>
        <w:spacing w:after="120" w:line="259" w:lineRule="auto"/>
      </w:pPr>
      <w:r>
        <w:t>.NET (C#) owns the Finance domain exclusively. Financial accounting is one of the few engineering domains where the cost of a runtime error is potentially unrecoverable — a misposted journal entry, a VAT calculation error, a settlement reconciliation that silently drifts. .NET’s strong static typing, mature transaction management, and established ecosystem of financial libraries (including IFRS-aligned accounting primitives) make it the right choice for code that processes money. The Finance Service is the only place in the stack where correctness is prioritised absolutely over development velocity.</w:t>
      </w:r>
    </w:p>
    <w:p w:rsidR="00E6366C" w:rsidRDefault="00D97CF1" w14:paraId="253EBA04" w14:textId="77777777">
      <w:pPr>
        <w:spacing w:after="120" w:line="259" w:lineRule="auto"/>
      </w:pPr>
      <w:r>
        <w:t>Python handles all AI/ML workloads — the Configuration Assistant, Reporting Assistant, data pipeline consumers, and all future ML model models. This is non-negotiable: the ML ecosystem lives in Python. Attempting to implement production RAG pipelines, time-series forecasting models, or fraud detection systems in Node.js or .NET means building from scratch what Python has solved in battle-tested libraries. Every hour spent re-implementing what scikit-learn, HuggingFace, or LangChain provides is an hour not spent on TAIS-specific logic.</w:t>
      </w:r>
    </w:p>
    <w:p w:rsidR="00E6366C" w:rsidRDefault="00D97CF1" w14:paraId="06BC3167" w14:textId="77777777">
      <w:pPr>
        <w:spacing w:after="120" w:line="259" w:lineRule="auto"/>
      </w:pPr>
      <w:r>
        <w:t>Java (Spring Boot) handles access control hardware integration and device-level communication. Every major access control manufacturer — Axess, Skidata, CAME, KABA, Boon Edam — provides Java SDKs as their primary integration path. Using Java for this layer means working with the SDK the manufacturer intended, tested, and supports, rather than wrapping it in a foreign language runtime. The physical gate either opens or it does not — this is not a place for clever engineering.</w:t>
      </w:r>
    </w:p>
    <w:p w:rsidR="00E6366C" w:rsidRDefault="00D97CF1" w14:paraId="53C9754F" w14:textId="77777777">
      <w:pPr>
        <w:pStyle w:val="Heading3"/>
        <w:spacing w:before="160" w:after="60"/>
      </w:pPr>
      <w:r>
        <w:rPr>
          <w:color w:val="2E75B6"/>
          <w:sz w:val="23"/>
        </w:rPr>
        <w:t>Frontend and Mobile</w:t>
      </w:r>
    </w:p>
    <w:p w:rsidR="00E6366C" w:rsidRDefault="00D97CF1" w14:paraId="76BAD563" w14:textId="77777777">
      <w:pPr>
        <w:spacing w:after="120" w:line="259" w:lineRule="auto"/>
      </w:pPr>
      <w:r>
        <w:t>React with Next.js handles all web surfaces. The guest-facing storefront uses Next.js Server-Side Rendering because the pages it produces are indexed by search engines — a ticketing page that loads as a blank JavaScript shell is effectively invisible to Google. Admin dashboards and back-office interfaces use client-side rendering for the richer interactivity they need. Tailwind CSS is the styling framework throughout, chosen because its utility-first approach and support for CSS logical properties make Arabic RTL layout straightforward — a text-start alignment that works correctly in both LTR and RTL contexts without conditional logic.</w:t>
      </w:r>
    </w:p>
    <w:p w:rsidR="00E6366C" w:rsidRDefault="00D97CF1" w14:paraId="51179728" w14:textId="77777777">
      <w:pPr>
        <w:spacing w:after="120" w:line="259" w:lineRule="auto"/>
      </w:pPr>
      <w:r>
        <w:t>React Native delivers both mobile applications — the Guest App (iOS and Android) and the Staff Operations App (Android first) — from a single codebase. The practical benefit extends beyond the obvious code-sharing: React Native shares its component model with the React web codebase, meaning UI patterns, form validation logic, and data-fetching patterns developed for the web surface are directly reusable in mobile. The offline architecture uses WatermelonDB, a React Native-native database that provides the SQLite persistence and reactive query layer the offline-first POS and validation flows require.</w:t>
      </w:r>
    </w:p>
    <w:p w:rsidR="00E6366C" w:rsidRDefault="00D97CF1" w14:paraId="56EC5593" w14:textId="77777777">
      <w:pPr>
        <w:pStyle w:val="Heading3"/>
        <w:spacing w:before="160" w:after="60"/>
      </w:pPr>
      <w:r>
        <w:rPr>
          <w:color w:val="2E75B6"/>
          <w:sz w:val="23"/>
        </w:rPr>
        <w:t>Infrastructure Layer</w:t>
      </w:r>
    </w:p>
    <w:p w:rsidR="00E6366C" w:rsidRDefault="00D97CF1" w14:paraId="0E9A74C5" w14:textId="77777777">
      <w:pPr>
        <w:spacing w:after="120" w:line="259" w:lineRule="auto"/>
      </w:pPr>
      <w:r>
        <w:t>Apache Kafka is the messaging backbone. Every significant domain event — order placed, ticket validated, payment processed, staff shift opened — is published to Kafka as an immutable event. Services that need to react subscribe as consumer groups. This decoupling means the Commerce Service does not need to know about the Inventory Service or the Loyalty Service — it publishes an OrderPlaced event and those services react independently. Kafka also serves as the data pipeline foundation for the AI layer: every event that future ML model models need for training is being collected from Phase 1 day one, without any additional instrumentation work.</w:t>
      </w:r>
    </w:p>
    <w:p w:rsidR="00E6366C" w:rsidRDefault="00D97CF1" w14:paraId="4E25F498" w14:textId="77777777">
      <w:pPr>
        <w:spacing w:after="120" w:line="259" w:lineRule="auto"/>
      </w:pPr>
      <w:r>
        <w:t>Redis provides the operational hot layer — session tokens, API rate limiting counters, live inventory counts, ticket validation caches, and virtual queue state. These are all read-heavy, write-frequently, tolerance-for-loss workloads where Redis’s sub-millisecond latency and atomic operations are exactly what is needed. The ticket validation cache in particular is critical: a scanner reading a QR code needs to confirm in under 500ms whether the ticket is valid and not yet used. Redis holds a bloom filter of recently validated ticket IDs in memory, making this check a matter of microseconds.</w:t>
      </w:r>
    </w:p>
    <w:p w:rsidR="00E6366C" w:rsidRDefault="00D97CF1" w14:paraId="3BE85178" w14:textId="77777777">
      <w:pPr>
        <w:spacing w:after="120" w:line="259" w:lineRule="auto"/>
      </w:pPr>
      <w:r>
        <w:t>Kong, self-hosted, is the API gateway. It handles every inbound request — authentication via JWT validation, rate limiting per tenant and per API key, request routing to the appropriate microservice, and response logging for audit. Kong is chosen over cloud-native gateways (API Gateway on AWS, APIM on Azure) precisely because it runs identically on any infrastructure — it does not bind the platform to a cloud provider’s gateway service. The developer portal, sandbox environment, and API key self-service are all Kong-native capabilities that require no additional tooling.</w:t>
      </w:r>
    </w:p>
    <w:tbl>
      <w:tblPr>
        <w:tblStyle w:val="TableGrid"/>
        <w:tblW w:w="0" w:type="auto"/>
        <w:jc w:val="center"/>
        <w:tblLook w:val="04A0" w:firstRow="1" w:lastRow="0" w:firstColumn="1" w:lastColumn="0" w:noHBand="0" w:noVBand="1"/>
      </w:tblPr>
      <w:tblGrid>
        <w:gridCol w:w="3216"/>
        <w:gridCol w:w="3216"/>
        <w:gridCol w:w="3216"/>
      </w:tblGrid>
      <w:tr w:rsidR="00E6366C" w14:paraId="43459994" w14:textId="77777777">
        <w:trPr>
          <w:jc w:val="center"/>
        </w:trPr>
        <w:tc>
          <w:tcPr>
            <w:tcW w:w="3216" w:type="dxa"/>
            <w:shd w:val="clear" w:color="auto" w:fill="1F3864"/>
          </w:tcPr>
          <w:p w:rsidR="00E6366C" w:rsidRDefault="00D97CF1" w14:paraId="56EC3E7D" w14:textId="77777777">
            <w:pPr>
              <w:spacing w:before="20" w:after="20"/>
            </w:pPr>
            <w:r>
              <w:rPr>
                <w:b/>
                <w:color w:val="FFFFFF"/>
                <w:sz w:val="19"/>
              </w:rPr>
              <w:t>Technology</w:t>
            </w:r>
          </w:p>
        </w:tc>
        <w:tc>
          <w:tcPr>
            <w:tcW w:w="3216" w:type="dxa"/>
            <w:shd w:val="clear" w:color="auto" w:fill="1F3864"/>
          </w:tcPr>
          <w:p w:rsidR="00E6366C" w:rsidRDefault="00D97CF1" w14:paraId="7810568A" w14:textId="77777777">
            <w:pPr>
              <w:spacing w:before="20" w:after="20"/>
            </w:pPr>
            <w:r>
              <w:rPr>
                <w:b/>
                <w:color w:val="FFFFFF"/>
                <w:sz w:val="19"/>
              </w:rPr>
              <w:t>Role</w:t>
            </w:r>
          </w:p>
        </w:tc>
        <w:tc>
          <w:tcPr>
            <w:tcW w:w="3216" w:type="dxa"/>
            <w:shd w:val="clear" w:color="auto" w:fill="1F3864"/>
          </w:tcPr>
          <w:p w:rsidR="00E6366C" w:rsidRDefault="00D97CF1" w14:paraId="22547794" w14:textId="77777777">
            <w:pPr>
              <w:spacing w:before="20" w:after="20"/>
            </w:pPr>
            <w:r>
              <w:rPr>
                <w:b/>
                <w:color w:val="FFFFFF"/>
                <w:sz w:val="19"/>
              </w:rPr>
              <w:t>Why</w:t>
            </w:r>
          </w:p>
        </w:tc>
      </w:tr>
      <w:tr w:rsidR="00E6366C" w14:paraId="360E3ADB" w14:textId="77777777">
        <w:trPr>
          <w:jc w:val="center"/>
        </w:trPr>
        <w:tc>
          <w:tcPr>
            <w:tcW w:w="3216" w:type="dxa"/>
          </w:tcPr>
          <w:p w:rsidR="00E6366C" w:rsidRDefault="00D97CF1" w14:paraId="5BF453CA" w14:textId="77777777">
            <w:pPr>
              <w:spacing w:before="20" w:after="20"/>
            </w:pPr>
            <w:r>
              <w:rPr>
                <w:sz w:val="19"/>
              </w:rPr>
              <w:t>Node.js (TypeScript)</w:t>
            </w:r>
          </w:p>
        </w:tc>
        <w:tc>
          <w:tcPr>
            <w:tcW w:w="3216" w:type="dxa"/>
          </w:tcPr>
          <w:p w:rsidR="00E6366C" w:rsidRDefault="00D97CF1" w14:paraId="33D0E202" w14:textId="77777777">
            <w:pPr>
              <w:spacing w:before="20" w:after="20"/>
            </w:pPr>
            <w:r>
              <w:rPr>
                <w:sz w:val="19"/>
              </w:rPr>
              <w:t>API services, real-time features, event processing</w:t>
            </w:r>
          </w:p>
        </w:tc>
        <w:tc>
          <w:tcPr>
            <w:tcW w:w="3216" w:type="dxa"/>
          </w:tcPr>
          <w:p w:rsidR="00E6366C" w:rsidRDefault="00D97CF1" w14:paraId="1191A197" w14:textId="77777777">
            <w:pPr>
              <w:spacing w:before="20" w:after="20"/>
            </w:pPr>
            <w:r>
              <w:rPr>
                <w:sz w:val="19"/>
              </w:rPr>
              <w:t>High concurrency; async I/O; type safety for large teams</w:t>
            </w:r>
          </w:p>
        </w:tc>
      </w:tr>
      <w:tr w:rsidR="00E6366C" w14:paraId="2153728B" w14:textId="77777777">
        <w:trPr>
          <w:jc w:val="center"/>
        </w:trPr>
        <w:tc>
          <w:tcPr>
            <w:tcW w:w="3216" w:type="dxa"/>
            <w:shd w:val="clear" w:color="auto" w:fill="EEF3F8"/>
          </w:tcPr>
          <w:p w:rsidR="00E6366C" w:rsidRDefault="00D97CF1" w14:paraId="30ABE342" w14:textId="77777777">
            <w:pPr>
              <w:spacing w:before="20" w:after="20"/>
            </w:pPr>
            <w:r>
              <w:rPr>
                <w:sz w:val="19"/>
              </w:rPr>
              <w:t>.NET (C#)</w:t>
            </w:r>
          </w:p>
        </w:tc>
        <w:tc>
          <w:tcPr>
            <w:tcW w:w="3216" w:type="dxa"/>
            <w:shd w:val="clear" w:color="auto" w:fill="EEF3F8"/>
          </w:tcPr>
          <w:p w:rsidR="00E6366C" w:rsidRDefault="00D97CF1" w14:paraId="2A0DEEC0" w14:textId="77777777">
            <w:pPr>
              <w:spacing w:before="20" w:after="20"/>
            </w:pPr>
            <w:r>
              <w:rPr>
                <w:sz w:val="19"/>
              </w:rPr>
              <w:t>Finance domain — ledger, payments, reconciliation, VAT</w:t>
            </w:r>
          </w:p>
        </w:tc>
        <w:tc>
          <w:tcPr>
            <w:tcW w:w="3216" w:type="dxa"/>
            <w:shd w:val="clear" w:color="auto" w:fill="EEF3F8"/>
          </w:tcPr>
          <w:p w:rsidR="00E6366C" w:rsidRDefault="00D97CF1" w14:paraId="29F5731F" w14:textId="77777777">
            <w:pPr>
              <w:spacing w:before="20" w:after="20"/>
            </w:pPr>
            <w:r>
              <w:rPr>
                <w:sz w:val="19"/>
              </w:rPr>
              <w:t>ACID compliance; financial ecosystem maturity; static typing for correctness</w:t>
            </w:r>
          </w:p>
        </w:tc>
      </w:tr>
      <w:tr w:rsidR="00E6366C" w14:paraId="4C80F7FB" w14:textId="77777777">
        <w:trPr>
          <w:jc w:val="center"/>
        </w:trPr>
        <w:tc>
          <w:tcPr>
            <w:tcW w:w="3216" w:type="dxa"/>
          </w:tcPr>
          <w:p w:rsidR="00E6366C" w:rsidRDefault="00D97CF1" w14:paraId="0C1FDE03" w14:textId="77777777">
            <w:pPr>
              <w:spacing w:before="20" w:after="20"/>
            </w:pPr>
            <w:r>
              <w:rPr>
                <w:sz w:val="19"/>
              </w:rPr>
              <w:t>Python</w:t>
            </w:r>
          </w:p>
        </w:tc>
        <w:tc>
          <w:tcPr>
            <w:tcW w:w="3216" w:type="dxa"/>
          </w:tcPr>
          <w:p w:rsidR="00E6366C" w:rsidRDefault="00D97CF1" w14:paraId="707C40A6" w14:textId="77777777">
            <w:pPr>
              <w:spacing w:before="20" w:after="20"/>
            </w:pPr>
            <w:r>
              <w:rPr>
                <w:sz w:val="19"/>
              </w:rPr>
              <w:t>AI/ML — pipelines, model serving, RAG, data engineering</w:t>
            </w:r>
          </w:p>
        </w:tc>
        <w:tc>
          <w:tcPr>
            <w:tcW w:w="3216" w:type="dxa"/>
          </w:tcPr>
          <w:p w:rsidR="00E6366C" w:rsidRDefault="00D97CF1" w14:paraId="2123D01D" w14:textId="77777777">
            <w:pPr>
              <w:spacing w:before="20" w:after="20"/>
            </w:pPr>
            <w:r>
              <w:rPr>
                <w:sz w:val="19"/>
              </w:rPr>
              <w:t>Industry standard ML ecosystem; HuggingFace, LangChain, scikit-learn</w:t>
            </w:r>
          </w:p>
        </w:tc>
      </w:tr>
      <w:tr w:rsidR="00E6366C" w14:paraId="7CD78DCB" w14:textId="77777777">
        <w:trPr>
          <w:jc w:val="center"/>
        </w:trPr>
        <w:tc>
          <w:tcPr>
            <w:tcW w:w="3216" w:type="dxa"/>
            <w:shd w:val="clear" w:color="auto" w:fill="EEF3F8"/>
          </w:tcPr>
          <w:p w:rsidR="00E6366C" w:rsidRDefault="00D97CF1" w14:paraId="21154F67" w14:textId="77777777">
            <w:pPr>
              <w:spacing w:before="20" w:after="20"/>
            </w:pPr>
            <w:r>
              <w:rPr>
                <w:sz w:val="19"/>
              </w:rPr>
              <w:t>Java (Spring Boot)</w:t>
            </w:r>
          </w:p>
        </w:tc>
        <w:tc>
          <w:tcPr>
            <w:tcW w:w="3216" w:type="dxa"/>
            <w:shd w:val="clear" w:color="auto" w:fill="EEF3F8"/>
          </w:tcPr>
          <w:p w:rsidR="00E6366C" w:rsidRDefault="00D97CF1" w14:paraId="700F9421" w14:textId="77777777">
            <w:pPr>
              <w:spacing w:before="20" w:after="20"/>
            </w:pPr>
            <w:r>
              <w:rPr>
                <w:sz w:val="19"/>
              </w:rPr>
              <w:t>Access control hardware integration</w:t>
            </w:r>
          </w:p>
        </w:tc>
        <w:tc>
          <w:tcPr>
            <w:tcW w:w="3216" w:type="dxa"/>
            <w:shd w:val="clear" w:color="auto" w:fill="EEF3F8"/>
          </w:tcPr>
          <w:p w:rsidR="00E6366C" w:rsidRDefault="00D97CF1" w14:paraId="10AA9225" w14:textId="77777777">
            <w:pPr>
              <w:spacing w:before="20" w:after="20"/>
            </w:pPr>
            <w:r>
              <w:rPr>
                <w:sz w:val="19"/>
              </w:rPr>
              <w:t>Manufacturer SDK support; battle-tested device communication</w:t>
            </w:r>
          </w:p>
        </w:tc>
      </w:tr>
      <w:tr w:rsidR="00E6366C" w14:paraId="77EDBCFD" w14:textId="77777777">
        <w:trPr>
          <w:jc w:val="center"/>
        </w:trPr>
        <w:tc>
          <w:tcPr>
            <w:tcW w:w="3216" w:type="dxa"/>
          </w:tcPr>
          <w:p w:rsidR="00E6366C" w:rsidRDefault="00D97CF1" w14:paraId="0DF35667" w14:textId="77777777">
            <w:pPr>
              <w:spacing w:before="20" w:after="20"/>
            </w:pPr>
            <w:r>
              <w:rPr>
                <w:sz w:val="19"/>
              </w:rPr>
              <w:t>React + Next.js</w:t>
            </w:r>
          </w:p>
        </w:tc>
        <w:tc>
          <w:tcPr>
            <w:tcW w:w="3216" w:type="dxa"/>
          </w:tcPr>
          <w:p w:rsidR="00E6366C" w:rsidRDefault="00D97CF1" w14:paraId="39990323" w14:textId="77777777">
            <w:pPr>
              <w:spacing w:before="20" w:after="20"/>
            </w:pPr>
            <w:r>
              <w:rPr>
                <w:sz w:val="19"/>
              </w:rPr>
              <w:t>Web frontend — storefront (SSR), admin (CSR)</w:t>
            </w:r>
          </w:p>
        </w:tc>
        <w:tc>
          <w:tcPr>
            <w:tcW w:w="3216" w:type="dxa"/>
          </w:tcPr>
          <w:p w:rsidR="00E6366C" w:rsidRDefault="00D97CF1" w14:paraId="7C10FA7D" w14:textId="77777777">
            <w:pPr>
              <w:spacing w:before="20" w:after="20"/>
            </w:pPr>
            <w:r>
              <w:rPr>
                <w:sz w:val="19"/>
              </w:rPr>
              <w:t>SEO for storefront; shared component model with React Native</w:t>
            </w:r>
          </w:p>
        </w:tc>
      </w:tr>
      <w:tr w:rsidR="00E6366C" w14:paraId="69EDCEB9" w14:textId="77777777">
        <w:trPr>
          <w:jc w:val="center"/>
        </w:trPr>
        <w:tc>
          <w:tcPr>
            <w:tcW w:w="3216" w:type="dxa"/>
            <w:shd w:val="clear" w:color="auto" w:fill="EEF3F8"/>
          </w:tcPr>
          <w:p w:rsidR="00E6366C" w:rsidRDefault="00D97CF1" w14:paraId="7C2A5166" w14:textId="77777777">
            <w:pPr>
              <w:spacing w:before="20" w:after="20"/>
            </w:pPr>
            <w:r>
              <w:rPr>
                <w:sz w:val="19"/>
              </w:rPr>
              <w:t>Tailwind CSS</w:t>
            </w:r>
          </w:p>
        </w:tc>
        <w:tc>
          <w:tcPr>
            <w:tcW w:w="3216" w:type="dxa"/>
            <w:shd w:val="clear" w:color="auto" w:fill="EEF3F8"/>
          </w:tcPr>
          <w:p w:rsidR="00E6366C" w:rsidRDefault="00D97CF1" w14:paraId="6145F212" w14:textId="77777777">
            <w:pPr>
              <w:spacing w:before="20" w:after="20"/>
            </w:pPr>
            <w:r>
              <w:rPr>
                <w:sz w:val="19"/>
              </w:rPr>
              <w:t>Web styling</w:t>
            </w:r>
          </w:p>
        </w:tc>
        <w:tc>
          <w:tcPr>
            <w:tcW w:w="3216" w:type="dxa"/>
            <w:shd w:val="clear" w:color="auto" w:fill="EEF3F8"/>
          </w:tcPr>
          <w:p w:rsidR="00E6366C" w:rsidRDefault="00D97CF1" w14:paraId="760648F2" w14:textId="77777777">
            <w:pPr>
              <w:spacing w:before="20" w:after="20"/>
            </w:pPr>
            <w:r>
              <w:rPr>
                <w:sz w:val="19"/>
              </w:rPr>
              <w:t>CSS logical properties for RTL; utility-first; no conditional LTR/RTL logic</w:t>
            </w:r>
          </w:p>
        </w:tc>
      </w:tr>
      <w:tr w:rsidR="00E6366C" w14:paraId="689633E3" w14:textId="77777777">
        <w:trPr>
          <w:jc w:val="center"/>
        </w:trPr>
        <w:tc>
          <w:tcPr>
            <w:tcW w:w="3216" w:type="dxa"/>
          </w:tcPr>
          <w:p w:rsidR="00E6366C" w:rsidRDefault="00D97CF1" w14:paraId="5750D2D1" w14:textId="77777777">
            <w:pPr>
              <w:spacing w:before="20" w:after="20"/>
            </w:pPr>
            <w:r>
              <w:rPr>
                <w:sz w:val="19"/>
              </w:rPr>
              <w:t>React Native</w:t>
            </w:r>
          </w:p>
        </w:tc>
        <w:tc>
          <w:tcPr>
            <w:tcW w:w="3216" w:type="dxa"/>
          </w:tcPr>
          <w:p w:rsidR="00E6366C" w:rsidRDefault="00D97CF1" w14:paraId="54F5CED3" w14:textId="77777777">
            <w:pPr>
              <w:spacing w:before="20" w:after="20"/>
            </w:pPr>
            <w:r>
              <w:rPr>
                <w:sz w:val="19"/>
              </w:rPr>
              <w:t>Mobile — Guest app (iOS/Android), Staff app (Android)</w:t>
            </w:r>
          </w:p>
        </w:tc>
        <w:tc>
          <w:tcPr>
            <w:tcW w:w="3216" w:type="dxa"/>
          </w:tcPr>
          <w:p w:rsidR="00E6366C" w:rsidRDefault="00D97CF1" w14:paraId="7C76BC40" w14:textId="77777777">
            <w:pPr>
              <w:spacing w:before="20" w:after="20"/>
            </w:pPr>
            <w:r>
              <w:rPr>
                <w:sz w:val="19"/>
              </w:rPr>
              <w:t>Single codebase; shared logic with React web; WatermelonDB offline</w:t>
            </w:r>
          </w:p>
        </w:tc>
      </w:tr>
      <w:tr w:rsidR="00E6366C" w14:paraId="64C312E2" w14:textId="77777777">
        <w:trPr>
          <w:jc w:val="center"/>
        </w:trPr>
        <w:tc>
          <w:tcPr>
            <w:tcW w:w="3216" w:type="dxa"/>
            <w:shd w:val="clear" w:color="auto" w:fill="EEF3F8"/>
          </w:tcPr>
          <w:p w:rsidR="00E6366C" w:rsidRDefault="00D97CF1" w14:paraId="24EA2521" w14:textId="77777777">
            <w:pPr>
              <w:spacing w:before="20" w:after="20"/>
            </w:pPr>
            <w:r>
              <w:rPr>
                <w:sz w:val="19"/>
              </w:rPr>
              <w:t>Kong (self-hosted)</w:t>
            </w:r>
          </w:p>
        </w:tc>
        <w:tc>
          <w:tcPr>
            <w:tcW w:w="3216" w:type="dxa"/>
            <w:shd w:val="clear" w:color="auto" w:fill="EEF3F8"/>
          </w:tcPr>
          <w:p w:rsidR="00E6366C" w:rsidRDefault="00D97CF1" w14:paraId="375C5B38" w14:textId="77777777">
            <w:pPr>
              <w:spacing w:before="20" w:after="20"/>
            </w:pPr>
            <w:r>
              <w:rPr>
                <w:sz w:val="19"/>
              </w:rPr>
              <w:t>API gateway</w:t>
            </w:r>
          </w:p>
        </w:tc>
        <w:tc>
          <w:tcPr>
            <w:tcW w:w="3216" w:type="dxa"/>
            <w:shd w:val="clear" w:color="auto" w:fill="EEF3F8"/>
          </w:tcPr>
          <w:p w:rsidR="00E6366C" w:rsidRDefault="00D97CF1" w14:paraId="427016E2" w14:textId="77777777">
            <w:pPr>
              <w:spacing w:before="20" w:after="20"/>
            </w:pPr>
            <w:r>
              <w:rPr>
                <w:sz w:val="19"/>
              </w:rPr>
              <w:t>Cloud-agnostic; developer portal built-in; open-source core</w:t>
            </w:r>
          </w:p>
        </w:tc>
      </w:tr>
      <w:tr w:rsidR="00E6366C" w14:paraId="3BEC8E3C" w14:textId="77777777">
        <w:trPr>
          <w:jc w:val="center"/>
        </w:trPr>
        <w:tc>
          <w:tcPr>
            <w:tcW w:w="3216" w:type="dxa"/>
          </w:tcPr>
          <w:p w:rsidR="00E6366C" w:rsidRDefault="00D97CF1" w14:paraId="67E856CE" w14:textId="77777777">
            <w:pPr>
              <w:spacing w:before="20" w:after="20"/>
            </w:pPr>
            <w:r>
              <w:rPr>
                <w:sz w:val="19"/>
              </w:rPr>
              <w:t>Apache Kafka</w:t>
            </w:r>
          </w:p>
        </w:tc>
        <w:tc>
          <w:tcPr>
            <w:tcW w:w="3216" w:type="dxa"/>
          </w:tcPr>
          <w:p w:rsidR="00E6366C" w:rsidRDefault="00D97CF1" w14:paraId="21C0DF9D" w14:textId="77777777">
            <w:pPr>
              <w:spacing w:before="20" w:after="20"/>
            </w:pPr>
            <w:r>
              <w:rPr>
                <w:sz w:val="19"/>
              </w:rPr>
              <w:t>Event streaming + AI data pipeline</w:t>
            </w:r>
          </w:p>
        </w:tc>
        <w:tc>
          <w:tcPr>
            <w:tcW w:w="3216" w:type="dxa"/>
          </w:tcPr>
          <w:p w:rsidR="00E6366C" w:rsidRDefault="00D97CF1" w14:paraId="4E266C7F" w14:textId="77777777">
            <w:pPr>
              <w:spacing w:before="20" w:after="20"/>
            </w:pPr>
            <w:r>
              <w:rPr>
                <w:sz w:val="19"/>
              </w:rPr>
              <w:t>Domain decoupling; immutable audit log; ML training data from day one</w:t>
            </w:r>
          </w:p>
        </w:tc>
      </w:tr>
      <w:tr w:rsidR="00E6366C" w14:paraId="7DAC0E86" w14:textId="77777777">
        <w:trPr>
          <w:jc w:val="center"/>
        </w:trPr>
        <w:tc>
          <w:tcPr>
            <w:tcW w:w="3216" w:type="dxa"/>
            <w:shd w:val="clear" w:color="auto" w:fill="EEF3F8"/>
          </w:tcPr>
          <w:p w:rsidR="00E6366C" w:rsidRDefault="00D97CF1" w14:paraId="0F6473A4" w14:textId="77777777">
            <w:pPr>
              <w:spacing w:before="20" w:after="20"/>
            </w:pPr>
            <w:r>
              <w:rPr>
                <w:sz w:val="19"/>
              </w:rPr>
              <w:t>Redis</w:t>
            </w:r>
          </w:p>
        </w:tc>
        <w:tc>
          <w:tcPr>
            <w:tcW w:w="3216" w:type="dxa"/>
            <w:shd w:val="clear" w:color="auto" w:fill="EEF3F8"/>
          </w:tcPr>
          <w:p w:rsidR="00E6366C" w:rsidRDefault="00D97CF1" w14:paraId="3345EDC3" w14:textId="77777777">
            <w:pPr>
              <w:spacing w:before="20" w:after="20"/>
            </w:pPr>
            <w:r>
              <w:rPr>
                <w:sz w:val="19"/>
              </w:rPr>
              <w:t>Cache, sessions, real-time counters</w:t>
            </w:r>
          </w:p>
        </w:tc>
        <w:tc>
          <w:tcPr>
            <w:tcW w:w="3216" w:type="dxa"/>
            <w:shd w:val="clear" w:color="auto" w:fill="EEF3F8"/>
          </w:tcPr>
          <w:p w:rsidR="00E6366C" w:rsidRDefault="00D97CF1" w14:paraId="50E4FF2D" w14:textId="77777777">
            <w:pPr>
              <w:spacing w:before="20" w:after="20"/>
            </w:pPr>
            <w:r>
              <w:rPr>
                <w:sz w:val="19"/>
              </w:rPr>
              <w:t>Sub-millisecond latency; atomic operations; ticket validation bloom filter</w:t>
            </w:r>
          </w:p>
        </w:tc>
      </w:tr>
      <w:tr w:rsidR="00E6366C" w14:paraId="48125455" w14:textId="77777777">
        <w:trPr>
          <w:jc w:val="center"/>
        </w:trPr>
        <w:tc>
          <w:tcPr>
            <w:tcW w:w="3216" w:type="dxa"/>
          </w:tcPr>
          <w:p w:rsidR="00E6366C" w:rsidRDefault="00D97CF1" w14:paraId="6B560B76" w14:textId="77777777">
            <w:pPr>
              <w:spacing w:before="20" w:after="20"/>
            </w:pPr>
            <w:r>
              <w:rPr>
                <w:sz w:val="19"/>
              </w:rPr>
              <w:t>PostgreSQL</w:t>
            </w:r>
          </w:p>
        </w:tc>
        <w:tc>
          <w:tcPr>
            <w:tcW w:w="3216" w:type="dxa"/>
          </w:tcPr>
          <w:p w:rsidR="00E6366C" w:rsidRDefault="00D97CF1" w14:paraId="2EA328B5" w14:textId="77777777">
            <w:pPr>
              <w:spacing w:before="20" w:after="20"/>
            </w:pPr>
            <w:r>
              <w:rPr>
                <w:sz w:val="19"/>
              </w:rPr>
              <w:t>Primary database — all transactional and relational data</w:t>
            </w:r>
          </w:p>
        </w:tc>
        <w:tc>
          <w:tcPr>
            <w:tcW w:w="3216" w:type="dxa"/>
          </w:tcPr>
          <w:p w:rsidR="00E6366C" w:rsidRDefault="00D97CF1" w14:paraId="7E73F6DE" w14:textId="77777777">
            <w:pPr>
              <w:spacing w:before="20" w:after="20"/>
            </w:pPr>
            <w:r>
              <w:rPr>
                <w:sz w:val="19"/>
              </w:rPr>
              <w:t>ACID; Row-Level Security for multi-tenancy; JSONB for catalog</w:t>
            </w:r>
          </w:p>
        </w:tc>
      </w:tr>
      <w:tr w:rsidR="00E6366C" w14:paraId="23ACECD0" w14:textId="77777777">
        <w:trPr>
          <w:jc w:val="center"/>
        </w:trPr>
        <w:tc>
          <w:tcPr>
            <w:tcW w:w="3216" w:type="dxa"/>
            <w:shd w:val="clear" w:color="auto" w:fill="EEF3F8"/>
          </w:tcPr>
          <w:p w:rsidR="00E6366C" w:rsidRDefault="00D97CF1" w14:paraId="513272F0" w14:textId="77777777">
            <w:pPr>
              <w:spacing w:before="20" w:after="20"/>
            </w:pPr>
            <w:r>
              <w:rPr>
                <w:sz w:val="19"/>
              </w:rPr>
              <w:t>Qdrant (self-hosted)</w:t>
            </w:r>
          </w:p>
        </w:tc>
        <w:tc>
          <w:tcPr>
            <w:tcW w:w="3216" w:type="dxa"/>
            <w:shd w:val="clear" w:color="auto" w:fill="EEF3F8"/>
          </w:tcPr>
          <w:p w:rsidR="00E6366C" w:rsidRDefault="00D97CF1" w14:paraId="40B1F6D2" w14:textId="77777777">
            <w:pPr>
              <w:spacing w:before="20" w:after="20"/>
            </w:pPr>
            <w:r>
              <w:rPr>
                <w:sz w:val="19"/>
              </w:rPr>
              <w:t>Vector store for RAG</w:t>
            </w:r>
          </w:p>
        </w:tc>
        <w:tc>
          <w:tcPr>
            <w:tcW w:w="3216" w:type="dxa"/>
            <w:shd w:val="clear" w:color="auto" w:fill="EEF3F8"/>
          </w:tcPr>
          <w:p w:rsidR="00E6366C" w:rsidRDefault="00D97CF1" w14:paraId="2F913646" w14:textId="77777777">
            <w:pPr>
              <w:spacing w:before="20" w:after="20"/>
            </w:pPr>
            <w:r>
              <w:rPr>
                <w:sz w:val="19"/>
              </w:rPr>
              <w:t>Pre-filters by tenant_id during ANN search — not after; no cross-tenant scan</w:t>
            </w:r>
          </w:p>
        </w:tc>
      </w:tr>
      <w:tr w:rsidR="00E6366C" w14:paraId="66A11959" w14:textId="77777777">
        <w:trPr>
          <w:jc w:val="center"/>
        </w:trPr>
        <w:tc>
          <w:tcPr>
            <w:tcW w:w="3216" w:type="dxa"/>
          </w:tcPr>
          <w:p w:rsidR="00E6366C" w:rsidRDefault="00D97CF1" w14:paraId="166FD2C2" w14:textId="77777777">
            <w:pPr>
              <w:spacing w:before="20" w:after="20"/>
            </w:pPr>
            <w:r>
              <w:rPr>
                <w:sz w:val="19"/>
              </w:rPr>
              <w:t>Elasticsearch</w:t>
            </w:r>
          </w:p>
        </w:tc>
        <w:tc>
          <w:tcPr>
            <w:tcW w:w="3216" w:type="dxa"/>
          </w:tcPr>
          <w:p w:rsidR="00E6366C" w:rsidRDefault="00D97CF1" w14:paraId="6D20ED58" w14:textId="77777777">
            <w:pPr>
              <w:spacing w:before="20" w:after="20"/>
            </w:pPr>
            <w:r>
              <w:rPr>
                <w:sz w:val="19"/>
              </w:rPr>
              <w:t>Full-text search — Arabic-aware</w:t>
            </w:r>
          </w:p>
        </w:tc>
        <w:tc>
          <w:tcPr>
            <w:tcW w:w="3216" w:type="dxa"/>
          </w:tcPr>
          <w:p w:rsidR="00E6366C" w:rsidRDefault="00D97CF1" w14:paraId="32B668FE" w14:textId="77777777">
            <w:pPr>
              <w:spacing w:before="20" w:after="20"/>
            </w:pPr>
            <w:r>
              <w:rPr>
                <w:sz w:val="19"/>
              </w:rPr>
              <w:t>Arabic analyser built-in; separate index per tenant for isolation</w:t>
            </w:r>
          </w:p>
        </w:tc>
      </w:tr>
      <w:tr w:rsidR="00E6366C" w14:paraId="130DE84C" w14:textId="77777777">
        <w:trPr>
          <w:jc w:val="center"/>
        </w:trPr>
        <w:tc>
          <w:tcPr>
            <w:tcW w:w="3216" w:type="dxa"/>
            <w:shd w:val="clear" w:color="auto" w:fill="EEF3F8"/>
          </w:tcPr>
          <w:p w:rsidR="00E6366C" w:rsidRDefault="00D97CF1" w14:paraId="7A7AEE6C" w14:textId="77777777">
            <w:pPr>
              <w:spacing w:before="20" w:after="20"/>
            </w:pPr>
            <w:r>
              <w:rPr>
                <w:sz w:val="19"/>
              </w:rPr>
              <w:t>SQLite / WatermelonDB</w:t>
            </w:r>
          </w:p>
        </w:tc>
        <w:tc>
          <w:tcPr>
            <w:tcW w:w="3216" w:type="dxa"/>
            <w:shd w:val="clear" w:color="auto" w:fill="EEF3F8"/>
          </w:tcPr>
          <w:p w:rsidR="00E6366C" w:rsidRDefault="00D97CF1" w14:paraId="18F6A054" w14:textId="77777777">
            <w:pPr>
              <w:spacing w:before="20" w:after="20"/>
            </w:pPr>
            <w:r>
              <w:rPr>
                <w:sz w:val="19"/>
              </w:rPr>
              <w:t>Offline local store on POS and mobile</w:t>
            </w:r>
          </w:p>
        </w:tc>
        <w:tc>
          <w:tcPr>
            <w:tcW w:w="3216" w:type="dxa"/>
            <w:shd w:val="clear" w:color="auto" w:fill="EEF3F8"/>
          </w:tcPr>
          <w:p w:rsidR="00E6366C" w:rsidRDefault="00D97CF1" w14:paraId="7EFCBFD3" w14:textId="77777777">
            <w:pPr>
              <w:spacing w:before="20" w:after="20"/>
            </w:pPr>
            <w:r>
              <w:rPr>
                <w:sz w:val="19"/>
              </w:rPr>
              <w:t>Event-sourced persistence; reactive queries; sync on reconnect</w:t>
            </w:r>
          </w:p>
        </w:tc>
      </w:tr>
      <w:tr w:rsidR="00E6366C" w14:paraId="04782450" w14:textId="77777777">
        <w:trPr>
          <w:jc w:val="center"/>
        </w:trPr>
        <w:tc>
          <w:tcPr>
            <w:tcW w:w="3216" w:type="dxa"/>
          </w:tcPr>
          <w:p w:rsidR="00E6366C" w:rsidRDefault="00D97CF1" w14:paraId="200D8EA2" w14:textId="77777777">
            <w:pPr>
              <w:spacing w:before="20" w:after="20"/>
            </w:pPr>
            <w:r>
              <w:rPr>
                <w:sz w:val="19"/>
              </w:rPr>
              <w:t>Docker + Kubernetes</w:t>
            </w:r>
          </w:p>
        </w:tc>
        <w:tc>
          <w:tcPr>
            <w:tcW w:w="3216" w:type="dxa"/>
          </w:tcPr>
          <w:p w:rsidR="00E6366C" w:rsidRDefault="00D97CF1" w14:paraId="4FB1AC94" w14:textId="77777777">
            <w:pPr>
              <w:spacing w:before="20" w:after="20"/>
            </w:pPr>
            <w:r>
              <w:rPr>
                <w:sz w:val="19"/>
              </w:rPr>
              <w:t>Containerisation and orchestration</w:t>
            </w:r>
          </w:p>
        </w:tc>
        <w:tc>
          <w:tcPr>
            <w:tcW w:w="3216" w:type="dxa"/>
          </w:tcPr>
          <w:p w:rsidR="00E6366C" w:rsidRDefault="00D97CF1" w14:paraId="7044D2AA" w14:textId="77777777">
            <w:pPr>
              <w:spacing w:before="20" w:after="20"/>
            </w:pPr>
            <w:r>
              <w:rPr>
                <w:sz w:val="19"/>
              </w:rPr>
              <w:t>HPA auto-scaling; multi-zone HA; cloud-agnostic portability</w:t>
            </w:r>
          </w:p>
        </w:tc>
      </w:tr>
      <w:tr w:rsidR="00E6366C" w14:paraId="41D73D80" w14:textId="77777777">
        <w:trPr>
          <w:jc w:val="center"/>
        </w:trPr>
        <w:tc>
          <w:tcPr>
            <w:tcW w:w="3216" w:type="dxa"/>
            <w:shd w:val="clear" w:color="auto" w:fill="EEF3F8"/>
          </w:tcPr>
          <w:p w:rsidR="00E6366C" w:rsidRDefault="00D97CF1" w14:paraId="10091B2C" w14:textId="77777777">
            <w:pPr>
              <w:spacing w:before="20" w:after="20"/>
            </w:pPr>
            <w:r>
              <w:rPr>
                <w:sz w:val="19"/>
              </w:rPr>
              <w:t>Terraform</w:t>
            </w:r>
          </w:p>
        </w:tc>
        <w:tc>
          <w:tcPr>
            <w:tcW w:w="3216" w:type="dxa"/>
            <w:shd w:val="clear" w:color="auto" w:fill="EEF3F8"/>
          </w:tcPr>
          <w:p w:rsidR="00E6366C" w:rsidRDefault="00D97CF1" w14:paraId="59002ED1" w14:textId="77777777">
            <w:pPr>
              <w:spacing w:before="20" w:after="20"/>
            </w:pPr>
            <w:r>
              <w:rPr>
                <w:sz w:val="19"/>
              </w:rPr>
              <w:t>Infrastructure as Code</w:t>
            </w:r>
          </w:p>
        </w:tc>
        <w:tc>
          <w:tcPr>
            <w:tcW w:w="3216" w:type="dxa"/>
            <w:shd w:val="clear" w:color="auto" w:fill="EEF3F8"/>
          </w:tcPr>
          <w:p w:rsidR="00E6366C" w:rsidRDefault="00D97CF1" w14:paraId="1EF8E8DC" w14:textId="77777777">
            <w:pPr>
              <w:spacing w:before="20" w:after="20"/>
            </w:pPr>
            <w:r>
              <w:rPr>
                <w:sz w:val="19"/>
              </w:rPr>
              <w:t>Cloud-agnostic; 12 modules delivered as handover package</w:t>
            </w:r>
          </w:p>
        </w:tc>
      </w:tr>
      <w:tr w:rsidR="00E6366C" w14:paraId="775F164C" w14:textId="77777777">
        <w:trPr>
          <w:jc w:val="center"/>
        </w:trPr>
        <w:tc>
          <w:tcPr>
            <w:tcW w:w="3216" w:type="dxa"/>
          </w:tcPr>
          <w:p w:rsidR="00E6366C" w:rsidRDefault="00D97CF1" w14:paraId="26666AA5" w14:textId="77777777">
            <w:pPr>
              <w:spacing w:before="20" w:after="20"/>
            </w:pPr>
            <w:r>
              <w:rPr>
                <w:sz w:val="19"/>
              </w:rPr>
              <w:t>Prometheus + Grafana + OpenTelemetry</w:t>
            </w:r>
          </w:p>
        </w:tc>
        <w:tc>
          <w:tcPr>
            <w:tcW w:w="3216" w:type="dxa"/>
          </w:tcPr>
          <w:p w:rsidR="00E6366C" w:rsidRDefault="00D97CF1" w14:paraId="22AB3F23" w14:textId="77777777">
            <w:pPr>
              <w:spacing w:before="20" w:after="20"/>
            </w:pPr>
            <w:r>
              <w:rPr>
                <w:sz w:val="19"/>
              </w:rPr>
              <w:t>Observability</w:t>
            </w:r>
          </w:p>
        </w:tc>
        <w:tc>
          <w:tcPr>
            <w:tcW w:w="3216" w:type="dxa"/>
          </w:tcPr>
          <w:p w:rsidR="00E6366C" w:rsidRDefault="00D97CF1" w14:paraId="36CA3762" w14:textId="77777777">
            <w:pPr>
              <w:spacing w:before="20" w:after="20"/>
            </w:pPr>
            <w:r>
              <w:rPr>
                <w:sz w:val="19"/>
              </w:rPr>
              <w:t>Metrics, traces, health endpoints; 6 pre-built operational dashboards</w:t>
            </w:r>
          </w:p>
        </w:tc>
      </w:tr>
    </w:tbl>
    <w:p w:rsidR="00E6366C" w:rsidRDefault="00E6366C" w14:paraId="0A37501D" w14:textId="77777777">
      <w:pPr>
        <w:spacing w:after="40"/>
      </w:pPr>
    </w:p>
    <w:tbl>
      <w:tblPr>
        <w:tblStyle w:val="TableGrid"/>
        <w:tblW w:w="0" w:type="auto"/>
        <w:jc w:val="center"/>
        <w:tblLook w:val="04A0" w:firstRow="1" w:lastRow="0" w:firstColumn="1" w:lastColumn="0" w:noHBand="0" w:noVBand="1"/>
      </w:tblPr>
      <w:tblGrid>
        <w:gridCol w:w="9648"/>
      </w:tblGrid>
      <w:tr w:rsidR="00E6366C" w:rsidTr="6F8A5D9A" w14:paraId="334C9FDC" w14:textId="77777777">
        <w:trPr>
          <w:jc w:val="center"/>
          <w:trHeight w:val="2055"/>
        </w:trPr>
        <w:tc>
          <w:tcPr>
            <w:tcW w:w="9648" w:type="dxa"/>
            <w:shd w:val="clear" w:color="auto" w:fill="1F3864"/>
            <w:tcMar/>
          </w:tcPr>
          <w:p w:rsidR="00E6366C" w:rsidRDefault="00D97CF1" w14:paraId="5091A9BE" w14:textId="77777777">
            <w:pPr>
              <w:spacing w:before="20" w:after="20"/>
            </w:pPr>
            <w:r>
              <w:rPr>
                <w:b/>
                <w:color w:val="FFFFFF"/>
                <w:sz w:val="19"/>
              </w:rPr>
              <w:t>Database stack — PostgreSQL-first, DESC-aligned The table above reflects the committed Phase 1 stack: PostgreSQL, Qdrant, Redis, Elasticsearch, and SQLite/WatermelonDB. PostgreSQL is the single source of truth for all transactional, relational and analytics-time-series data at Phase 1 scale. Two databases previously considered as scale-up options — TimescaleDB and MongoDB — have been removed from the committed roadmap. MongoDB in particular does not currently hold Dubai Electronic Security Center (DESC) approval, and the platform infrastructure must be DESC-approved before implementation. Any future time-series or document-store optimisation will be assessed against DESC-approved options at that time; PostgreSQL handles all Phase 1 and Phase 2 workloads without them. The vector store (Qdrant) and search engine (Elasticsearch) — the two components hardest to introduce later — are already in the Phase 1 stack and are being verified against DESC compliance as part of architecture sign-off.</w:t>
            </w:r>
          </w:p>
        </w:tc>
      </w:tr>
    </w:tbl>
    <w:p w:rsidR="00E6366C" w:rsidRDefault="00E6366C" w14:paraId="5DAB6C7B" w14:textId="77777777">
      <w:pPr>
        <w:spacing w:after="40"/>
      </w:pPr>
    </w:p>
    <w:p w:rsidR="00E6366C" w:rsidRDefault="00D97CF1" w14:paraId="068E08D7" w14:textId="77777777">
      <w:pPr>
        <w:pStyle w:val="Heading2"/>
        <w:spacing w:after="80"/>
      </w:pPr>
      <w:r>
        <w:rPr>
          <w:color w:val="2E75B6"/>
          <w:sz w:val="28"/>
        </w:rPr>
        <w:t>2.3 Microservices and Domain Boundaries</w:t>
      </w:r>
    </w:p>
    <w:p w:rsidR="00E6366C" w:rsidRDefault="00D97CF1" w14:paraId="04AD3D35" w14:textId="77777777">
      <w:pPr>
        <w:spacing w:after="120" w:line="259" w:lineRule="auto"/>
      </w:pPr>
      <w:r>
        <w:t>Twelve domains map to twelve service groups. Each service group is independently deployable, maintains its own database schema, and scales independently based on its own traffic patterns. A peak-hour surge in ticket sales — driven by a flash promotion — scales the Commerce and Ticketing services horizontally without touching Finance or Operations.</w:t>
      </w:r>
    </w:p>
    <w:p w:rsidR="00E6366C" w:rsidRDefault="00D97CF1" w14:paraId="37563E22" w14:textId="77777777">
      <w:pPr>
        <w:spacing w:after="120" w:line="259" w:lineRule="auto"/>
      </w:pPr>
      <w:r>
        <w:t>Inter-service communication follows two patterns. Synchronous REST or gRPC is used where the caller needs an immediate result: ticket validation, payment processing, inventory checks at cart time. Asynchronous Kafka events are used where the originating service does not need to wait for downstream reactions: an OrderPlaced event triggers inventory reservation, loyalty points calculation, and notification dispatch in parallel, with none of those consumers blocking the order response. The Kafka backbone also means the AI/ML data pipeline is passive — it consumes the same events that already flow for operational reasons, without any additional instrumentation burden on source services.</w:t>
      </w:r>
    </w:p>
    <w:tbl>
      <w:tblPr>
        <w:tblStyle w:val="TableGrid"/>
        <w:tblW w:w="0" w:type="auto"/>
        <w:jc w:val="center"/>
        <w:tblLook w:val="04A0" w:firstRow="1" w:lastRow="0" w:firstColumn="1" w:lastColumn="0" w:noHBand="0" w:noVBand="1"/>
      </w:tblPr>
      <w:tblGrid>
        <w:gridCol w:w="4824"/>
        <w:gridCol w:w="4824"/>
      </w:tblGrid>
      <w:tr w:rsidR="00E6366C" w14:paraId="6834D343" w14:textId="77777777">
        <w:trPr>
          <w:jc w:val="center"/>
        </w:trPr>
        <w:tc>
          <w:tcPr>
            <w:tcW w:w="4824" w:type="dxa"/>
            <w:shd w:val="clear" w:color="auto" w:fill="1F3864"/>
          </w:tcPr>
          <w:p w:rsidR="00E6366C" w:rsidRDefault="00D97CF1" w14:paraId="319BEDDD" w14:textId="77777777">
            <w:pPr>
              <w:spacing w:before="20" w:after="20"/>
            </w:pPr>
            <w:r>
              <w:rPr>
                <w:b/>
                <w:color w:val="FFFFFF"/>
                <w:sz w:val="19"/>
              </w:rPr>
              <w:t>Service Group</w:t>
            </w:r>
          </w:p>
        </w:tc>
        <w:tc>
          <w:tcPr>
            <w:tcW w:w="4824" w:type="dxa"/>
            <w:shd w:val="clear" w:color="auto" w:fill="1F3864"/>
          </w:tcPr>
          <w:p w:rsidR="00E6366C" w:rsidRDefault="00D97CF1" w14:paraId="79CE2083" w14:textId="77777777">
            <w:pPr>
              <w:spacing w:before="20" w:after="20"/>
            </w:pPr>
            <w:r>
              <w:rPr>
                <w:b/>
                <w:color w:val="FFFFFF"/>
                <w:sz w:val="19"/>
              </w:rPr>
              <w:t>Domains and Responsibilities</w:t>
            </w:r>
          </w:p>
        </w:tc>
      </w:tr>
      <w:tr w:rsidR="00E6366C" w14:paraId="36C6BE2B" w14:textId="77777777">
        <w:trPr>
          <w:jc w:val="center"/>
        </w:trPr>
        <w:tc>
          <w:tcPr>
            <w:tcW w:w="4824" w:type="dxa"/>
          </w:tcPr>
          <w:p w:rsidR="00E6366C" w:rsidRDefault="00D97CF1" w14:paraId="6E67558D" w14:textId="77777777">
            <w:pPr>
              <w:spacing w:before="20" w:after="20"/>
            </w:pPr>
            <w:r>
              <w:rPr>
                <w:sz w:val="19"/>
              </w:rPr>
              <w:t>Identity Service</w:t>
            </w:r>
          </w:p>
        </w:tc>
        <w:tc>
          <w:tcPr>
            <w:tcW w:w="4824" w:type="dxa"/>
          </w:tcPr>
          <w:p w:rsidR="00E6366C" w:rsidRDefault="00D97CF1" w14:paraId="3A8BBB36" w14:textId="77777777">
            <w:pPr>
              <w:spacing w:before="20" w:after="20"/>
            </w:pPr>
            <w:r>
              <w:rPr>
                <w:sz w:val="19"/>
              </w:rPr>
              <w:t>Authentication, SSO, MFA, RBAC, Accreditation, Policy-based access control</w:t>
            </w:r>
          </w:p>
        </w:tc>
      </w:tr>
      <w:tr w:rsidR="00E6366C" w14:paraId="1226C657" w14:textId="77777777">
        <w:trPr>
          <w:jc w:val="center"/>
        </w:trPr>
        <w:tc>
          <w:tcPr>
            <w:tcW w:w="4824" w:type="dxa"/>
            <w:shd w:val="clear" w:color="auto" w:fill="EEF3F8"/>
          </w:tcPr>
          <w:p w:rsidR="00E6366C" w:rsidRDefault="00D97CF1" w14:paraId="7821D3E4" w14:textId="77777777">
            <w:pPr>
              <w:spacing w:before="20" w:after="20"/>
            </w:pPr>
            <w:r>
              <w:rPr>
                <w:sz w:val="19"/>
              </w:rPr>
              <w:t>Tenant &amp; Config Service</w:t>
            </w:r>
          </w:p>
        </w:tc>
        <w:tc>
          <w:tcPr>
            <w:tcW w:w="4824" w:type="dxa"/>
            <w:shd w:val="clear" w:color="auto" w:fill="EEF3F8"/>
          </w:tcPr>
          <w:p w:rsidR="00E6366C" w:rsidRDefault="00D97CF1" w14:paraId="5B4AEE09" w14:textId="77777777">
            <w:pPr>
              <w:spacing w:before="20" w:after="20"/>
            </w:pPr>
            <w:r>
              <w:rPr>
                <w:sz w:val="19"/>
              </w:rPr>
              <w:t>Multi-tenancy management, venue configuration, regional settings, feature flags</w:t>
            </w:r>
          </w:p>
        </w:tc>
      </w:tr>
      <w:tr w:rsidR="00E6366C" w14:paraId="6B7C9B33" w14:textId="77777777">
        <w:trPr>
          <w:jc w:val="center"/>
        </w:trPr>
        <w:tc>
          <w:tcPr>
            <w:tcW w:w="4824" w:type="dxa"/>
          </w:tcPr>
          <w:p w:rsidR="00E6366C" w:rsidRDefault="00D97CF1" w14:paraId="0FACC71B" w14:textId="77777777">
            <w:pPr>
              <w:spacing w:before="20" w:after="20"/>
            </w:pPr>
            <w:r>
              <w:rPr>
                <w:sz w:val="19"/>
              </w:rPr>
              <w:t>Finance Service (.NET)</w:t>
            </w:r>
          </w:p>
        </w:tc>
        <w:tc>
          <w:tcPr>
            <w:tcW w:w="4824" w:type="dxa"/>
          </w:tcPr>
          <w:p w:rsidR="00E6366C" w:rsidRDefault="00D97CF1" w14:paraId="70087441" w14:textId="77777777">
            <w:pPr>
              <w:spacing w:before="20" w:after="20"/>
            </w:pPr>
            <w:r>
              <w:rPr>
                <w:sz w:val="19"/>
              </w:rPr>
              <w:t>Double-entry ledger, Stripe payments, VAT, invoicing, reconciliation, ERP integration</w:t>
            </w:r>
          </w:p>
        </w:tc>
      </w:tr>
      <w:tr w:rsidR="00E6366C" w14:paraId="5FE802BD" w14:textId="77777777">
        <w:trPr>
          <w:jc w:val="center"/>
        </w:trPr>
        <w:tc>
          <w:tcPr>
            <w:tcW w:w="4824" w:type="dxa"/>
            <w:shd w:val="clear" w:color="auto" w:fill="EEF3F8"/>
          </w:tcPr>
          <w:p w:rsidR="00E6366C" w:rsidRDefault="00D97CF1" w14:paraId="67236CBD" w14:textId="77777777">
            <w:pPr>
              <w:spacing w:before="20" w:after="20"/>
            </w:pPr>
            <w:r>
              <w:rPr>
                <w:sz w:val="19"/>
              </w:rPr>
              <w:t>Ticketing Service</w:t>
            </w:r>
          </w:p>
        </w:tc>
        <w:tc>
          <w:tcPr>
            <w:tcW w:w="4824" w:type="dxa"/>
            <w:shd w:val="clear" w:color="auto" w:fill="EEF3F8"/>
          </w:tcPr>
          <w:p w:rsidR="00E6366C" w:rsidRDefault="00D97CF1" w14:paraId="6C5B3E70" w14:textId="77777777">
            <w:pPr>
              <w:spacing w:before="20" w:after="20"/>
            </w:pPr>
            <w:r>
              <w:rPr>
                <w:sz w:val="19"/>
              </w:rPr>
              <w:t>Ticket identity, entitlements, product catalog, seatmaps, access control integration</w:t>
            </w:r>
          </w:p>
        </w:tc>
      </w:tr>
      <w:tr w:rsidR="00E6366C" w14:paraId="6DF755D0" w14:textId="77777777">
        <w:trPr>
          <w:jc w:val="center"/>
        </w:trPr>
        <w:tc>
          <w:tcPr>
            <w:tcW w:w="4824" w:type="dxa"/>
          </w:tcPr>
          <w:p w:rsidR="00E6366C" w:rsidRDefault="00D97CF1" w14:paraId="1215C5C0" w14:textId="77777777">
            <w:pPr>
              <w:spacing w:before="20" w:after="20"/>
            </w:pPr>
            <w:r>
              <w:rPr>
                <w:sz w:val="19"/>
              </w:rPr>
              <w:t>Commerce Service</w:t>
            </w:r>
          </w:p>
        </w:tc>
        <w:tc>
          <w:tcPr>
            <w:tcW w:w="4824" w:type="dxa"/>
          </w:tcPr>
          <w:p w:rsidR="00E6366C" w:rsidRDefault="00D97CF1" w14:paraId="51203C6C" w14:textId="77777777">
            <w:pPr>
              <w:spacing w:before="20" w:after="20"/>
            </w:pPr>
            <w:r>
              <w:rPr>
                <w:sz w:val="19"/>
              </w:rPr>
              <w:t>Order management, shopping cart, bundles, channel management, promotions</w:t>
            </w:r>
          </w:p>
        </w:tc>
      </w:tr>
      <w:tr w:rsidR="00E6366C" w14:paraId="5B0B53FE" w14:textId="77777777">
        <w:trPr>
          <w:jc w:val="center"/>
        </w:trPr>
        <w:tc>
          <w:tcPr>
            <w:tcW w:w="4824" w:type="dxa"/>
            <w:shd w:val="clear" w:color="auto" w:fill="EEF3F8"/>
          </w:tcPr>
          <w:p w:rsidR="00E6366C" w:rsidRDefault="00D97CF1" w14:paraId="063C75D2" w14:textId="77777777">
            <w:pPr>
              <w:spacing w:before="20" w:after="20"/>
            </w:pPr>
            <w:r>
              <w:rPr>
                <w:sz w:val="19"/>
              </w:rPr>
              <w:t>Events Service</w:t>
            </w:r>
          </w:p>
        </w:tc>
        <w:tc>
          <w:tcPr>
            <w:tcW w:w="4824" w:type="dxa"/>
            <w:shd w:val="clear" w:color="auto" w:fill="EEF3F8"/>
          </w:tcPr>
          <w:p w:rsidR="00E6366C" w:rsidRDefault="00D97CF1" w14:paraId="1779A1AE" w14:textId="77777777">
            <w:pPr>
              <w:spacing w:before="20" w:after="20"/>
            </w:pPr>
            <w:r>
              <w:rPr>
                <w:sz w:val="19"/>
              </w:rPr>
              <w:t>Event scheduling, session management, capacity control, virtual queue, resource allocation</w:t>
            </w:r>
          </w:p>
        </w:tc>
      </w:tr>
      <w:tr w:rsidR="00E6366C" w14:paraId="1F4980AC" w14:textId="77777777">
        <w:trPr>
          <w:jc w:val="center"/>
        </w:trPr>
        <w:tc>
          <w:tcPr>
            <w:tcW w:w="4824" w:type="dxa"/>
          </w:tcPr>
          <w:p w:rsidR="00E6366C" w:rsidRDefault="00D97CF1" w14:paraId="7E5A1E4D" w14:textId="77777777">
            <w:pPr>
              <w:spacing w:before="20" w:after="20"/>
            </w:pPr>
            <w:r>
              <w:rPr>
                <w:sz w:val="19"/>
              </w:rPr>
              <w:t>POS Service</w:t>
            </w:r>
          </w:p>
        </w:tc>
        <w:tc>
          <w:tcPr>
            <w:tcW w:w="4824" w:type="dxa"/>
          </w:tcPr>
          <w:p w:rsidR="00E6366C" w:rsidRDefault="00D97CF1" w14:paraId="1E58273E" w14:textId="77777777">
            <w:pPr>
              <w:spacing w:before="20" w:after="20"/>
            </w:pPr>
            <w:r>
              <w:rPr>
                <w:sz w:val="19"/>
              </w:rPr>
              <w:t>Terminal management, cash management, shift management, offline sync engine</w:t>
            </w:r>
          </w:p>
        </w:tc>
      </w:tr>
      <w:tr w:rsidR="00E6366C" w14:paraId="739DE0FF" w14:textId="77777777">
        <w:trPr>
          <w:jc w:val="center"/>
        </w:trPr>
        <w:tc>
          <w:tcPr>
            <w:tcW w:w="4824" w:type="dxa"/>
            <w:shd w:val="clear" w:color="auto" w:fill="EEF3F8"/>
          </w:tcPr>
          <w:p w:rsidR="00E6366C" w:rsidRDefault="00D97CF1" w14:paraId="5228B81D" w14:textId="77777777">
            <w:pPr>
              <w:spacing w:before="20" w:after="20"/>
            </w:pPr>
            <w:r>
              <w:rPr>
                <w:sz w:val="19"/>
              </w:rPr>
              <w:t>Marketing Service</w:t>
            </w:r>
          </w:p>
        </w:tc>
        <w:tc>
          <w:tcPr>
            <w:tcW w:w="4824" w:type="dxa"/>
            <w:shd w:val="clear" w:color="auto" w:fill="EEF3F8"/>
          </w:tcPr>
          <w:p w:rsidR="00E6366C" w:rsidRDefault="00D97CF1" w14:paraId="5132C9FB" w14:textId="77777777">
            <w:pPr>
              <w:spacing w:before="20" w:after="20"/>
            </w:pPr>
            <w:r>
              <w:rPr>
                <w:sz w:val="19"/>
              </w:rPr>
              <w:t>Internal CRM, campaigns, loyalty, gamification, notifications, white-label CMS</w:t>
            </w:r>
          </w:p>
        </w:tc>
      </w:tr>
      <w:tr w:rsidR="00E6366C" w14:paraId="3E43E970" w14:textId="77777777">
        <w:trPr>
          <w:jc w:val="center"/>
        </w:trPr>
        <w:tc>
          <w:tcPr>
            <w:tcW w:w="4824" w:type="dxa"/>
          </w:tcPr>
          <w:p w:rsidR="00E6366C" w:rsidRDefault="00D97CF1" w14:paraId="68870807" w14:textId="77777777">
            <w:pPr>
              <w:spacing w:before="20" w:after="20"/>
            </w:pPr>
            <w:r>
              <w:rPr>
                <w:sz w:val="19"/>
              </w:rPr>
              <w:t>AI/ML Service (Python)</w:t>
            </w:r>
          </w:p>
        </w:tc>
        <w:tc>
          <w:tcPr>
            <w:tcW w:w="4824" w:type="dxa"/>
          </w:tcPr>
          <w:p w:rsidR="00E6366C" w:rsidRDefault="00D97CF1" w14:paraId="33F28232" w14:textId="77777777">
            <w:pPr>
              <w:spacing w:before="20" w:after="20"/>
            </w:pPr>
            <w:r>
              <w:rPr>
                <w:sz w:val="19"/>
              </w:rPr>
              <w:t>Config assistant, reporting assistant, BI dashboards, data pipeline, future ML capabilities</w:t>
            </w:r>
          </w:p>
        </w:tc>
      </w:tr>
      <w:tr w:rsidR="00E6366C" w14:paraId="42EA0070" w14:textId="77777777">
        <w:trPr>
          <w:jc w:val="center"/>
        </w:trPr>
        <w:tc>
          <w:tcPr>
            <w:tcW w:w="4824" w:type="dxa"/>
            <w:shd w:val="clear" w:color="auto" w:fill="EEF3F8"/>
          </w:tcPr>
          <w:p w:rsidR="00E6366C" w:rsidRDefault="00D97CF1" w14:paraId="0AD35389" w14:textId="77777777">
            <w:pPr>
              <w:spacing w:before="20" w:after="20"/>
            </w:pPr>
            <w:r>
              <w:rPr>
                <w:sz w:val="19"/>
              </w:rPr>
              <w:t>Operations Service</w:t>
            </w:r>
          </w:p>
        </w:tc>
        <w:tc>
          <w:tcPr>
            <w:tcW w:w="4824" w:type="dxa"/>
            <w:shd w:val="clear" w:color="auto" w:fill="EEF3F8"/>
          </w:tcPr>
          <w:p w:rsidR="00E6366C" w:rsidRDefault="00D97CF1" w14:paraId="1F792FD5" w14:textId="77777777">
            <w:pPr>
              <w:spacing w:before="20" w:after="20"/>
            </w:pPr>
            <w:r>
              <w:rPr>
                <w:sz w:val="19"/>
              </w:rPr>
              <w:t>Inventory management, procurement, staff rostering, KDS, command center, hotel PMS</w:t>
            </w:r>
          </w:p>
        </w:tc>
      </w:tr>
      <w:tr w:rsidR="00E6366C" w14:paraId="4BA0AC52" w14:textId="77777777">
        <w:trPr>
          <w:jc w:val="center"/>
        </w:trPr>
        <w:tc>
          <w:tcPr>
            <w:tcW w:w="4824" w:type="dxa"/>
          </w:tcPr>
          <w:p w:rsidR="00E6366C" w:rsidRDefault="00D97CF1" w14:paraId="3229D2C5" w14:textId="77777777">
            <w:pPr>
              <w:spacing w:before="20" w:after="20"/>
            </w:pPr>
            <w:r>
              <w:rPr>
                <w:sz w:val="19"/>
              </w:rPr>
              <w:t>Integration Service</w:t>
            </w:r>
          </w:p>
        </w:tc>
        <w:tc>
          <w:tcPr>
            <w:tcW w:w="4824" w:type="dxa"/>
          </w:tcPr>
          <w:p w:rsidR="00E6366C" w:rsidRDefault="00D97CF1" w14:paraId="77E43ADB" w14:textId="77777777">
            <w:pPr>
              <w:spacing w:before="20" w:after="20"/>
            </w:pPr>
            <w:r>
              <w:rPr>
                <w:sz w:val="19"/>
              </w:rPr>
              <w:t>Third-party adapter layer, webhook management, partner API management</w:t>
            </w:r>
          </w:p>
        </w:tc>
      </w:tr>
      <w:tr w:rsidR="00E6366C" w14:paraId="193C4135" w14:textId="77777777">
        <w:trPr>
          <w:jc w:val="center"/>
        </w:trPr>
        <w:tc>
          <w:tcPr>
            <w:tcW w:w="4824" w:type="dxa"/>
            <w:shd w:val="clear" w:color="auto" w:fill="EEF3F8"/>
          </w:tcPr>
          <w:p w:rsidR="00E6366C" w:rsidRDefault="00D97CF1" w14:paraId="2E548358" w14:textId="77777777">
            <w:pPr>
              <w:spacing w:before="20" w:after="20"/>
            </w:pPr>
            <w:r>
              <w:rPr>
                <w:sz w:val="19"/>
              </w:rPr>
              <w:t>Notification Service</w:t>
            </w:r>
          </w:p>
        </w:tc>
        <w:tc>
          <w:tcPr>
            <w:tcW w:w="4824" w:type="dxa"/>
            <w:shd w:val="clear" w:color="auto" w:fill="EEF3F8"/>
          </w:tcPr>
          <w:p w:rsidR="00E6366C" w:rsidRDefault="00D97CF1" w14:paraId="04C1CC7C" w14:textId="77777777">
            <w:pPr>
              <w:spacing w:before="20" w:after="20"/>
            </w:pPr>
            <w:r>
              <w:rPr>
                <w:sz w:val="19"/>
              </w:rPr>
              <w:t>SMS, email, WhatsApp, push — provider-agnostic routing layer</w:t>
            </w:r>
          </w:p>
        </w:tc>
      </w:tr>
    </w:tbl>
    <w:p w:rsidR="00E6366C" w:rsidRDefault="00E6366C" w14:paraId="02EB378F" w14:textId="77777777">
      <w:pPr>
        <w:spacing w:after="40"/>
      </w:pPr>
    </w:p>
    <w:p w:rsidR="00E6366C" w:rsidRDefault="00D97CF1" w14:paraId="093659AB" w14:textId="77777777">
      <w:pPr>
        <w:spacing w:after="80"/>
      </w:pPr>
      <w:r>
        <w:rPr>
          <w:i/>
          <w:color w:val="555555"/>
          <w:sz w:val="18"/>
        </w:rPr>
        <w:t>Figure 2.5 — Service Communication: Synchronous REST/gRPC vs Asynchronous Kafka Events</w:t>
      </w:r>
    </w:p>
    <w:p w:rsidR="00E6366C" w:rsidRDefault="00D97CF1" w14:paraId="0BD57E64" w14:textId="77777777">
      <w:pPr>
        <w:pStyle w:val="Heading2"/>
        <w:spacing w:after="80"/>
      </w:pPr>
      <w:r>
        <w:rPr>
          <w:color w:val="2E75B6"/>
          <w:sz w:val="28"/>
        </w:rPr>
        <w:t>2.4 API-First Design</w:t>
      </w:r>
    </w:p>
    <w:p w:rsidR="00E6366C" w:rsidRDefault="00D97CF1" w14:paraId="4F8A92EA" w14:textId="77777777">
      <w:pPr>
        <w:spacing w:after="120" w:line="259" w:lineRule="auto"/>
      </w:pPr>
      <w:r>
        <w:t>The API-first rule is enforced as a hard gate: no frontend is built before the API contract that backs it is written and reviewed, no integration is started before the API spec is agreed, and no inter-service call is made against an undocumented interface. This discipline creates a codebase where the contract is always the authoritative source of truth — not the implementation.</w:t>
      </w:r>
    </w:p>
    <w:p w:rsidR="00E6366C" w:rsidRDefault="00D97CF1" w14:paraId="2760CC6C" w14:textId="77777777">
      <w:pPr>
        <w:spacing w:after="120" w:line="259" w:lineRule="auto"/>
      </w:pPr>
      <w:r>
        <w:t>The practical implication for the client is significant. When the TAIS internal development team takes ownership at Month 16, they inherit a platform where every capability is accessible via documented, versioned REST APIs. They can build new front-ends, write new integrations, and extend existing features by reading the API documentation — not by reverse-engineering the application code. The developer portal, hosted on Kong, provides live interactive documentation (OpenAPI 3.0 / Swagger UI), API key self-service for integration partners, usage analytics per key, and a sandbox environment backed by realistic mock data.</w:t>
      </w:r>
    </w:p>
    <w:p w:rsidR="00E6366C" w:rsidRDefault="00D97CF1" w14:paraId="3238A9C0" w14:textId="77777777">
      <w:pPr>
        <w:spacing w:after="120" w:line="259" w:lineRule="auto"/>
      </w:pPr>
      <w:r>
        <w:t>API versioning uses a simple URL-path scheme: /v1/, /v2/. When a breaking change is required, the new version is deployed alongside the old one. Consumers migrate at their own pace. The old version is deprecated with advance notice and eventually retired. This model ensures that integrations built by the client’s partners or the client’s own team are not silently broken by a platform update — a contractual commitment baked into the architecture from day one.</w:t>
      </w:r>
    </w:p>
    <w:tbl>
      <w:tblPr>
        <w:tblStyle w:val="TableGrid"/>
        <w:tblW w:w="0" w:type="auto"/>
        <w:jc w:val="center"/>
        <w:tblLook w:val="04A0" w:firstRow="1" w:lastRow="0" w:firstColumn="1" w:lastColumn="0" w:noHBand="0" w:noVBand="1"/>
      </w:tblPr>
      <w:tblGrid>
        <w:gridCol w:w="9648"/>
      </w:tblGrid>
      <w:tr w:rsidR="00E6366C" w14:paraId="27074565" w14:textId="77777777">
        <w:trPr>
          <w:jc w:val="center"/>
        </w:trPr>
        <w:tc>
          <w:tcPr>
            <w:tcW w:w="9648" w:type="dxa"/>
            <w:shd w:val="clear" w:color="auto" w:fill="1F3864"/>
          </w:tcPr>
          <w:p w:rsidR="00E6366C" w:rsidRDefault="00D97CF1" w14:paraId="06446820" w14:textId="77777777">
            <w:pPr>
              <w:spacing w:before="20" w:after="20"/>
            </w:pPr>
            <w:r>
              <w:rPr>
                <w:b/>
                <w:color w:val="FFFFFF"/>
                <w:sz w:val="19"/>
              </w:rPr>
              <w:t>Developer Portal audience — Q&amp;A confirmation The Q&amp;A confirms the developer portal serves three audiences: internal development teams, integration partners, and third-party service providers. Kong’s developer portal supports all three with separate credential tiers, usage quotas, and documentation visibility controls per audience. Internal developers get full access including admin APIs. Integration partners see their permitted API surface only. Third-party providers access sandbox credentials scoped to their integration scope.</w:t>
            </w:r>
          </w:p>
        </w:tc>
      </w:tr>
    </w:tbl>
    <w:p w:rsidR="00E6366C" w:rsidRDefault="00E6366C" w14:paraId="6A05A809" w14:textId="77777777">
      <w:pPr>
        <w:spacing w:after="40"/>
      </w:pPr>
    </w:p>
    <w:p w:rsidR="00E6366C" w:rsidRDefault="00D97CF1" w14:paraId="09C17680" w14:textId="77777777">
      <w:pPr>
        <w:pStyle w:val="Heading2"/>
        <w:spacing w:after="80"/>
      </w:pPr>
      <w:r>
        <w:rPr>
          <w:color w:val="2E75B6"/>
          <w:sz w:val="28"/>
        </w:rPr>
        <w:t>2.5 Cloud-Agnostic Deployment and Hybrid Topology</w:t>
      </w:r>
    </w:p>
    <w:p w:rsidR="00E6366C" w:rsidRDefault="00D97CF1" w14:paraId="71F0D2AA" w14:textId="77777777">
      <w:pPr>
        <w:spacing w:after="120" w:line="259" w:lineRule="auto"/>
      </w:pPr>
      <w:r>
        <w:t>The platform runs on any cloud — AWS, Azure, GCP — or private infrastructure, without application code changes. Every cloud-specific component (Kubernetes, managed PostgreSQL, Redis, object storage) is abstracted behind the application layer. Swapping the cloud provider means changing a Terraform variable, not rewriting services.</w:t>
      </w:r>
    </w:p>
    <w:tbl>
      <w:tblPr>
        <w:tblStyle w:val="TableGrid"/>
        <w:tblW w:w="0" w:type="auto"/>
        <w:jc w:val="center"/>
        <w:tblLook w:val="04A0" w:firstRow="1" w:lastRow="0" w:firstColumn="1" w:lastColumn="0" w:noHBand="0" w:noVBand="1"/>
      </w:tblPr>
      <w:tblGrid>
        <w:gridCol w:w="1378"/>
        <w:gridCol w:w="1378"/>
        <w:gridCol w:w="1378"/>
        <w:gridCol w:w="1378"/>
        <w:gridCol w:w="1378"/>
        <w:gridCol w:w="1378"/>
        <w:gridCol w:w="1378"/>
      </w:tblGrid>
      <w:tr w:rsidR="00E6366C" w14:paraId="27EC9506" w14:textId="77777777">
        <w:trPr>
          <w:jc w:val="center"/>
        </w:trPr>
        <w:tc>
          <w:tcPr>
            <w:tcW w:w="1378" w:type="dxa"/>
            <w:shd w:val="clear" w:color="auto" w:fill="1F3864"/>
          </w:tcPr>
          <w:p w:rsidR="00E6366C" w:rsidRDefault="00D97CF1" w14:paraId="57BA7D9E" w14:textId="77777777">
            <w:pPr>
              <w:spacing w:before="20" w:after="20"/>
            </w:pPr>
            <w:r>
              <w:rPr>
                <w:b/>
                <w:color w:val="FFFFFF"/>
                <w:sz w:val="19"/>
              </w:rPr>
              <w:t>Provider</w:t>
            </w:r>
          </w:p>
        </w:tc>
        <w:tc>
          <w:tcPr>
            <w:tcW w:w="1378" w:type="dxa"/>
            <w:shd w:val="clear" w:color="auto" w:fill="1F3864"/>
          </w:tcPr>
          <w:p w:rsidR="00E6366C" w:rsidRDefault="00D97CF1" w14:paraId="5D758312" w14:textId="77777777">
            <w:pPr>
              <w:spacing w:before="20" w:after="20"/>
            </w:pPr>
            <w:r>
              <w:rPr>
                <w:b/>
                <w:color w:val="FFFFFF"/>
                <w:sz w:val="19"/>
              </w:rPr>
              <w:t>Kubernetes</w:t>
            </w:r>
          </w:p>
        </w:tc>
        <w:tc>
          <w:tcPr>
            <w:tcW w:w="1378" w:type="dxa"/>
            <w:shd w:val="clear" w:color="auto" w:fill="1F3864"/>
          </w:tcPr>
          <w:p w:rsidR="00E6366C" w:rsidRDefault="00D97CF1" w14:paraId="336B2033" w14:textId="77777777">
            <w:pPr>
              <w:spacing w:before="20" w:after="20"/>
            </w:pPr>
            <w:r>
              <w:rPr>
                <w:b/>
                <w:color w:val="FFFFFF"/>
                <w:sz w:val="19"/>
              </w:rPr>
              <w:t>Database</w:t>
            </w:r>
          </w:p>
        </w:tc>
        <w:tc>
          <w:tcPr>
            <w:tcW w:w="1378" w:type="dxa"/>
            <w:shd w:val="clear" w:color="auto" w:fill="1F3864"/>
          </w:tcPr>
          <w:p w:rsidR="00E6366C" w:rsidRDefault="00D97CF1" w14:paraId="5C1A75D3" w14:textId="77777777">
            <w:pPr>
              <w:spacing w:before="20" w:after="20"/>
            </w:pPr>
            <w:r>
              <w:rPr>
                <w:b/>
                <w:color w:val="FFFFFF"/>
                <w:sz w:val="19"/>
              </w:rPr>
              <w:t>Cache</w:t>
            </w:r>
          </w:p>
        </w:tc>
        <w:tc>
          <w:tcPr>
            <w:tcW w:w="1378" w:type="dxa"/>
            <w:shd w:val="clear" w:color="auto" w:fill="1F3864"/>
          </w:tcPr>
          <w:p w:rsidR="00E6366C" w:rsidRDefault="00D97CF1" w14:paraId="39011731" w14:textId="77777777">
            <w:pPr>
              <w:spacing w:before="20" w:after="20"/>
            </w:pPr>
            <w:r>
              <w:rPr>
                <w:b/>
                <w:color w:val="FFFFFF"/>
                <w:sz w:val="19"/>
              </w:rPr>
              <w:t>Messaging</w:t>
            </w:r>
          </w:p>
        </w:tc>
        <w:tc>
          <w:tcPr>
            <w:tcW w:w="1378" w:type="dxa"/>
            <w:shd w:val="clear" w:color="auto" w:fill="1F3864"/>
          </w:tcPr>
          <w:p w:rsidR="00E6366C" w:rsidRDefault="00D97CF1" w14:paraId="53EAFB8C" w14:textId="77777777">
            <w:pPr>
              <w:spacing w:before="20" w:after="20"/>
            </w:pPr>
            <w:r>
              <w:rPr>
                <w:b/>
                <w:color w:val="FFFFFF"/>
                <w:sz w:val="19"/>
              </w:rPr>
              <w:t>Storage</w:t>
            </w:r>
          </w:p>
        </w:tc>
        <w:tc>
          <w:tcPr>
            <w:tcW w:w="1378" w:type="dxa"/>
            <w:shd w:val="clear" w:color="auto" w:fill="1F3864"/>
          </w:tcPr>
          <w:p w:rsidR="00E6366C" w:rsidRDefault="00D97CF1" w14:paraId="4E41CD01" w14:textId="77777777">
            <w:pPr>
              <w:spacing w:before="20" w:after="20"/>
            </w:pPr>
            <w:r>
              <w:rPr>
                <w:b/>
                <w:color w:val="FFFFFF"/>
                <w:sz w:val="19"/>
              </w:rPr>
              <w:t>Vector</w:t>
            </w:r>
          </w:p>
        </w:tc>
      </w:tr>
      <w:tr w:rsidR="00E6366C" w14:paraId="11113CF1" w14:textId="77777777">
        <w:trPr>
          <w:jc w:val="center"/>
        </w:trPr>
        <w:tc>
          <w:tcPr>
            <w:tcW w:w="1378" w:type="dxa"/>
          </w:tcPr>
          <w:p w:rsidR="00E6366C" w:rsidRDefault="00D97CF1" w14:paraId="7C74DD7B" w14:textId="77777777">
            <w:pPr>
              <w:spacing w:before="20" w:after="20"/>
            </w:pPr>
            <w:r>
              <w:rPr>
                <w:sz w:val="19"/>
              </w:rPr>
              <w:t>AWS</w:t>
            </w:r>
          </w:p>
        </w:tc>
        <w:tc>
          <w:tcPr>
            <w:tcW w:w="1378" w:type="dxa"/>
          </w:tcPr>
          <w:p w:rsidR="00E6366C" w:rsidRDefault="00D97CF1" w14:paraId="70F9E363" w14:textId="77777777">
            <w:pPr>
              <w:spacing w:before="20" w:after="20"/>
            </w:pPr>
            <w:r>
              <w:rPr>
                <w:sz w:val="19"/>
              </w:rPr>
              <w:t>EKS</w:t>
            </w:r>
          </w:p>
        </w:tc>
        <w:tc>
          <w:tcPr>
            <w:tcW w:w="1378" w:type="dxa"/>
          </w:tcPr>
          <w:p w:rsidR="00E6366C" w:rsidRDefault="00D97CF1" w14:paraId="41E548D2" w14:textId="77777777">
            <w:pPr>
              <w:spacing w:before="20" w:after="20"/>
            </w:pPr>
            <w:r>
              <w:rPr>
                <w:sz w:val="19"/>
              </w:rPr>
              <w:t>RDS PostgreSQL</w:t>
            </w:r>
          </w:p>
        </w:tc>
        <w:tc>
          <w:tcPr>
            <w:tcW w:w="1378" w:type="dxa"/>
          </w:tcPr>
          <w:p w:rsidR="00E6366C" w:rsidRDefault="00D97CF1" w14:paraId="5B5BFA92" w14:textId="77777777">
            <w:pPr>
              <w:spacing w:before="20" w:after="20"/>
            </w:pPr>
            <w:r>
              <w:rPr>
                <w:sz w:val="19"/>
              </w:rPr>
              <w:t>ElastiCache</w:t>
            </w:r>
          </w:p>
        </w:tc>
        <w:tc>
          <w:tcPr>
            <w:tcW w:w="1378" w:type="dxa"/>
          </w:tcPr>
          <w:p w:rsidR="00E6366C" w:rsidRDefault="00D97CF1" w14:paraId="3B3D0B80" w14:textId="77777777">
            <w:pPr>
              <w:spacing w:before="20" w:after="20"/>
            </w:pPr>
            <w:r>
              <w:rPr>
                <w:sz w:val="19"/>
              </w:rPr>
              <w:t>MSK Kafka</w:t>
            </w:r>
          </w:p>
        </w:tc>
        <w:tc>
          <w:tcPr>
            <w:tcW w:w="1378" w:type="dxa"/>
          </w:tcPr>
          <w:p w:rsidR="00E6366C" w:rsidRDefault="00D97CF1" w14:paraId="5E7173A3" w14:textId="77777777">
            <w:pPr>
              <w:spacing w:before="20" w:after="20"/>
            </w:pPr>
            <w:r>
              <w:rPr>
                <w:sz w:val="19"/>
              </w:rPr>
              <w:t>S3</w:t>
            </w:r>
          </w:p>
        </w:tc>
        <w:tc>
          <w:tcPr>
            <w:tcW w:w="1378" w:type="dxa"/>
          </w:tcPr>
          <w:p w:rsidR="00E6366C" w:rsidRDefault="00D97CF1" w14:paraId="32919D6F" w14:textId="77777777">
            <w:pPr>
              <w:spacing w:before="20" w:after="20"/>
            </w:pPr>
            <w:r>
              <w:rPr>
                <w:sz w:val="19"/>
              </w:rPr>
              <w:t>Qdrant in K8s</w:t>
            </w:r>
          </w:p>
        </w:tc>
      </w:tr>
      <w:tr w:rsidR="00E6366C" w14:paraId="6D92A741" w14:textId="77777777">
        <w:trPr>
          <w:jc w:val="center"/>
        </w:trPr>
        <w:tc>
          <w:tcPr>
            <w:tcW w:w="1378" w:type="dxa"/>
            <w:shd w:val="clear" w:color="auto" w:fill="EEF3F8"/>
          </w:tcPr>
          <w:p w:rsidR="00E6366C" w:rsidRDefault="00D97CF1" w14:paraId="43C5E15C" w14:textId="77777777">
            <w:pPr>
              <w:spacing w:before="20" w:after="20"/>
            </w:pPr>
            <w:r>
              <w:rPr>
                <w:sz w:val="19"/>
              </w:rPr>
              <w:t>Azure</w:t>
            </w:r>
          </w:p>
        </w:tc>
        <w:tc>
          <w:tcPr>
            <w:tcW w:w="1378" w:type="dxa"/>
            <w:shd w:val="clear" w:color="auto" w:fill="EEF3F8"/>
          </w:tcPr>
          <w:p w:rsidR="00E6366C" w:rsidRDefault="00D97CF1" w14:paraId="68E878BC" w14:textId="77777777">
            <w:pPr>
              <w:spacing w:before="20" w:after="20"/>
            </w:pPr>
            <w:r>
              <w:rPr>
                <w:sz w:val="19"/>
              </w:rPr>
              <w:t>AKS</w:t>
            </w:r>
          </w:p>
        </w:tc>
        <w:tc>
          <w:tcPr>
            <w:tcW w:w="1378" w:type="dxa"/>
            <w:shd w:val="clear" w:color="auto" w:fill="EEF3F8"/>
          </w:tcPr>
          <w:p w:rsidR="00E6366C" w:rsidRDefault="00D97CF1" w14:paraId="35BC90F7" w14:textId="77777777">
            <w:pPr>
              <w:spacing w:before="20" w:after="20"/>
            </w:pPr>
            <w:r>
              <w:rPr>
                <w:sz w:val="19"/>
              </w:rPr>
              <w:t>Azure DB for PostgreSQL</w:t>
            </w:r>
          </w:p>
        </w:tc>
        <w:tc>
          <w:tcPr>
            <w:tcW w:w="1378" w:type="dxa"/>
            <w:shd w:val="clear" w:color="auto" w:fill="EEF3F8"/>
          </w:tcPr>
          <w:p w:rsidR="00E6366C" w:rsidRDefault="00D97CF1" w14:paraId="6D844E2F" w14:textId="77777777">
            <w:pPr>
              <w:spacing w:before="20" w:after="20"/>
            </w:pPr>
            <w:r>
              <w:rPr>
                <w:sz w:val="19"/>
              </w:rPr>
              <w:t>Azure Cache for Redis</w:t>
            </w:r>
          </w:p>
        </w:tc>
        <w:tc>
          <w:tcPr>
            <w:tcW w:w="1378" w:type="dxa"/>
            <w:shd w:val="clear" w:color="auto" w:fill="EEF3F8"/>
          </w:tcPr>
          <w:p w:rsidR="00E6366C" w:rsidRDefault="00D97CF1" w14:paraId="617CF328" w14:textId="77777777">
            <w:pPr>
              <w:spacing w:before="20" w:after="20"/>
            </w:pPr>
            <w:r>
              <w:rPr>
                <w:sz w:val="19"/>
              </w:rPr>
              <w:t>Event Hubs</w:t>
            </w:r>
          </w:p>
        </w:tc>
        <w:tc>
          <w:tcPr>
            <w:tcW w:w="1378" w:type="dxa"/>
            <w:shd w:val="clear" w:color="auto" w:fill="EEF3F8"/>
          </w:tcPr>
          <w:p w:rsidR="00E6366C" w:rsidRDefault="00D97CF1" w14:paraId="2BB86B8E" w14:textId="77777777">
            <w:pPr>
              <w:spacing w:before="20" w:after="20"/>
            </w:pPr>
            <w:r>
              <w:rPr>
                <w:sz w:val="19"/>
              </w:rPr>
              <w:t>Blob Storage</w:t>
            </w:r>
          </w:p>
        </w:tc>
        <w:tc>
          <w:tcPr>
            <w:tcW w:w="1378" w:type="dxa"/>
            <w:shd w:val="clear" w:color="auto" w:fill="EEF3F8"/>
          </w:tcPr>
          <w:p w:rsidR="00E6366C" w:rsidRDefault="00D97CF1" w14:paraId="75E91180" w14:textId="77777777">
            <w:pPr>
              <w:spacing w:before="20" w:after="20"/>
            </w:pPr>
            <w:r>
              <w:rPr>
                <w:sz w:val="19"/>
              </w:rPr>
              <w:t>Qdrant in K8s</w:t>
            </w:r>
          </w:p>
        </w:tc>
      </w:tr>
      <w:tr w:rsidR="00E6366C" w14:paraId="07A8D19F" w14:textId="77777777">
        <w:trPr>
          <w:jc w:val="center"/>
        </w:trPr>
        <w:tc>
          <w:tcPr>
            <w:tcW w:w="1378" w:type="dxa"/>
          </w:tcPr>
          <w:p w:rsidR="00E6366C" w:rsidRDefault="00D97CF1" w14:paraId="632F05AA" w14:textId="77777777">
            <w:pPr>
              <w:spacing w:before="20" w:after="20"/>
            </w:pPr>
            <w:r>
              <w:rPr>
                <w:sz w:val="19"/>
              </w:rPr>
              <w:t>GCP</w:t>
            </w:r>
          </w:p>
        </w:tc>
        <w:tc>
          <w:tcPr>
            <w:tcW w:w="1378" w:type="dxa"/>
          </w:tcPr>
          <w:p w:rsidR="00E6366C" w:rsidRDefault="00D97CF1" w14:paraId="653068B7" w14:textId="77777777">
            <w:pPr>
              <w:spacing w:before="20" w:after="20"/>
            </w:pPr>
            <w:r>
              <w:rPr>
                <w:sz w:val="19"/>
              </w:rPr>
              <w:t>GKE</w:t>
            </w:r>
          </w:p>
        </w:tc>
        <w:tc>
          <w:tcPr>
            <w:tcW w:w="1378" w:type="dxa"/>
          </w:tcPr>
          <w:p w:rsidR="00E6366C" w:rsidRDefault="00D97CF1" w14:paraId="3BE0ECF3" w14:textId="77777777">
            <w:pPr>
              <w:spacing w:before="20" w:after="20"/>
            </w:pPr>
            <w:r>
              <w:rPr>
                <w:sz w:val="19"/>
              </w:rPr>
              <w:t>Cloud SQL PostgreSQL</w:t>
            </w:r>
          </w:p>
        </w:tc>
        <w:tc>
          <w:tcPr>
            <w:tcW w:w="1378" w:type="dxa"/>
          </w:tcPr>
          <w:p w:rsidR="00E6366C" w:rsidRDefault="00D97CF1" w14:paraId="59AC1D24" w14:textId="77777777">
            <w:pPr>
              <w:spacing w:before="20" w:after="20"/>
            </w:pPr>
            <w:r>
              <w:rPr>
                <w:sz w:val="19"/>
              </w:rPr>
              <w:t>Memorystore</w:t>
            </w:r>
          </w:p>
        </w:tc>
        <w:tc>
          <w:tcPr>
            <w:tcW w:w="1378" w:type="dxa"/>
          </w:tcPr>
          <w:p w:rsidR="00E6366C" w:rsidRDefault="00D97CF1" w14:paraId="46B9725D" w14:textId="77777777">
            <w:pPr>
              <w:spacing w:before="20" w:after="20"/>
            </w:pPr>
            <w:r>
              <w:rPr>
                <w:sz w:val="19"/>
              </w:rPr>
              <w:t>Pub/Sub</w:t>
            </w:r>
          </w:p>
        </w:tc>
        <w:tc>
          <w:tcPr>
            <w:tcW w:w="1378" w:type="dxa"/>
          </w:tcPr>
          <w:p w:rsidR="00E6366C" w:rsidRDefault="00D97CF1" w14:paraId="2875FE0F" w14:textId="77777777">
            <w:pPr>
              <w:spacing w:before="20" w:after="20"/>
            </w:pPr>
            <w:r>
              <w:rPr>
                <w:sz w:val="19"/>
              </w:rPr>
              <w:t>Cloud Storage</w:t>
            </w:r>
          </w:p>
        </w:tc>
        <w:tc>
          <w:tcPr>
            <w:tcW w:w="1378" w:type="dxa"/>
          </w:tcPr>
          <w:p w:rsidR="00E6366C" w:rsidRDefault="00D97CF1" w14:paraId="4070B057" w14:textId="77777777">
            <w:pPr>
              <w:spacing w:before="20" w:after="20"/>
            </w:pPr>
            <w:r>
              <w:rPr>
                <w:sz w:val="19"/>
              </w:rPr>
              <w:t>Qdrant in K8s</w:t>
            </w:r>
          </w:p>
        </w:tc>
      </w:tr>
      <w:tr w:rsidR="00E6366C" w14:paraId="488AD8D5" w14:textId="77777777">
        <w:trPr>
          <w:jc w:val="center"/>
        </w:trPr>
        <w:tc>
          <w:tcPr>
            <w:tcW w:w="1378" w:type="dxa"/>
            <w:shd w:val="clear" w:color="auto" w:fill="EEF3F8"/>
          </w:tcPr>
          <w:p w:rsidR="00E6366C" w:rsidRDefault="00D97CF1" w14:paraId="62C6C355" w14:textId="77777777">
            <w:pPr>
              <w:spacing w:before="20" w:after="20"/>
            </w:pPr>
            <w:r>
              <w:rPr>
                <w:sz w:val="19"/>
              </w:rPr>
              <w:t>Private</w:t>
            </w:r>
          </w:p>
        </w:tc>
        <w:tc>
          <w:tcPr>
            <w:tcW w:w="1378" w:type="dxa"/>
            <w:shd w:val="clear" w:color="auto" w:fill="EEF3F8"/>
          </w:tcPr>
          <w:p w:rsidR="00E6366C" w:rsidRDefault="00D97CF1" w14:paraId="7E533CAE" w14:textId="77777777">
            <w:pPr>
              <w:spacing w:before="20" w:after="20"/>
            </w:pPr>
            <w:r>
              <w:rPr>
                <w:sz w:val="19"/>
              </w:rPr>
              <w:t>Self-managed K8s</w:t>
            </w:r>
          </w:p>
        </w:tc>
        <w:tc>
          <w:tcPr>
            <w:tcW w:w="1378" w:type="dxa"/>
            <w:shd w:val="clear" w:color="auto" w:fill="EEF3F8"/>
          </w:tcPr>
          <w:p w:rsidR="00E6366C" w:rsidRDefault="00D97CF1" w14:paraId="5AEFED8C" w14:textId="77777777">
            <w:pPr>
              <w:spacing w:before="20" w:after="20"/>
            </w:pPr>
            <w:r>
              <w:rPr>
                <w:sz w:val="19"/>
              </w:rPr>
              <w:t>Self-hosted PostgreSQL</w:t>
            </w:r>
          </w:p>
        </w:tc>
        <w:tc>
          <w:tcPr>
            <w:tcW w:w="1378" w:type="dxa"/>
            <w:shd w:val="clear" w:color="auto" w:fill="EEF3F8"/>
          </w:tcPr>
          <w:p w:rsidR="00E6366C" w:rsidRDefault="00D97CF1" w14:paraId="40137C65" w14:textId="77777777">
            <w:pPr>
              <w:spacing w:before="20" w:after="20"/>
            </w:pPr>
            <w:r>
              <w:rPr>
                <w:sz w:val="19"/>
              </w:rPr>
              <w:t>Self-hosted Redis</w:t>
            </w:r>
          </w:p>
        </w:tc>
        <w:tc>
          <w:tcPr>
            <w:tcW w:w="1378" w:type="dxa"/>
            <w:shd w:val="clear" w:color="auto" w:fill="EEF3F8"/>
          </w:tcPr>
          <w:p w:rsidR="00E6366C" w:rsidRDefault="00D97CF1" w14:paraId="5E45488A" w14:textId="77777777">
            <w:pPr>
              <w:spacing w:before="20" w:after="20"/>
            </w:pPr>
            <w:r>
              <w:rPr>
                <w:sz w:val="19"/>
              </w:rPr>
              <w:t>Self-hosted Kafka</w:t>
            </w:r>
          </w:p>
        </w:tc>
        <w:tc>
          <w:tcPr>
            <w:tcW w:w="1378" w:type="dxa"/>
            <w:shd w:val="clear" w:color="auto" w:fill="EEF3F8"/>
          </w:tcPr>
          <w:p w:rsidR="00E6366C" w:rsidRDefault="00D97CF1" w14:paraId="699BF60E" w14:textId="77777777">
            <w:pPr>
              <w:spacing w:before="20" w:after="20"/>
            </w:pPr>
            <w:r>
              <w:rPr>
                <w:sz w:val="19"/>
              </w:rPr>
              <w:t>MinIO</w:t>
            </w:r>
          </w:p>
        </w:tc>
        <w:tc>
          <w:tcPr>
            <w:tcW w:w="1378" w:type="dxa"/>
            <w:shd w:val="clear" w:color="auto" w:fill="EEF3F8"/>
          </w:tcPr>
          <w:p w:rsidR="00E6366C" w:rsidRDefault="00D97CF1" w14:paraId="2EB1658B" w14:textId="77777777">
            <w:pPr>
              <w:spacing w:before="20" w:after="20"/>
            </w:pPr>
            <w:r>
              <w:rPr>
                <w:sz w:val="19"/>
              </w:rPr>
              <w:t>Qdrant in K8s</w:t>
            </w:r>
          </w:p>
        </w:tc>
      </w:tr>
    </w:tbl>
    <w:p w:rsidR="00E6366C" w:rsidRDefault="00E6366C" w14:paraId="5A39BBE3" w14:textId="77777777">
      <w:pPr>
        <w:spacing w:after="40"/>
      </w:pPr>
    </w:p>
    <w:p w:rsidR="00E6366C" w:rsidRDefault="00D97CF1" w14:paraId="3980662A" w14:textId="77777777">
      <w:pPr>
        <w:spacing w:after="120" w:line="259" w:lineRule="auto"/>
      </w:pPr>
      <w:r>
        <w:t>Qdrant is deployed self-hosted in all environments. This is deliberate: no cloud provider offers Qdrant as a managed service, and Qdrant’s multi-tenant payload pre-filtering capability — which is critical to the TAIS isolation model — is not replicated by cloud-native vector services. Self-hosting Qdrant within the Kubernetes cluster adds minimal operational overhead while preserving the isolation guarantees the platform requires.</w:t>
      </w:r>
    </w:p>
    <w:p w:rsidR="00E6366C" w:rsidRDefault="00D97CF1" w14:paraId="3819E92D" w14:textId="77777777">
      <w:pPr>
        <w:pStyle w:val="Heading3"/>
        <w:spacing w:before="160" w:after="60"/>
      </w:pPr>
      <w:r>
        <w:rPr>
          <w:color w:val="2E75B6"/>
          <w:sz w:val="23"/>
        </w:rPr>
        <w:t>Hybrid Deployment — Cloud Brain, Venue Hands</w:t>
      </w:r>
    </w:p>
    <w:p w:rsidR="00E6366C" w:rsidRDefault="00D97CF1" w14:paraId="71F63743" w14:textId="77777777">
      <w:pPr>
        <w:spacing w:after="120" w:line="259" w:lineRule="auto"/>
      </w:pPr>
      <w:r>
        <w:t>The initial deployment is cloud-based, as confirmed in the Q&amp;A, but the architecture is inherently hybrid from day one. The cloud tier hosts all core platform services: the API layer, databases, AI/ML services, CRM, finance, commerce engine, and integrations. The venue-local tier runs the thick client applications: POS terminals, ticket scanners, kiosks, and staff mobile devices.</w:t>
      </w:r>
    </w:p>
    <w:p w:rsidR="00E6366C" w:rsidRDefault="00D97CF1" w14:paraId="648CCE65" w14:textId="77777777">
      <w:pPr>
        <w:spacing w:after="120" w:line="259" w:lineRule="auto"/>
      </w:pPr>
      <w:r>
        <w:t>When venue-local devices lose connectivity to the cloud — which will happen, because networks fail at the worst possible times — the offline-first architecture ensures they continue operating at full capability. A POS terminal mid-shift during a sold-out event never shows a “connecting…” spinner. A scanner at the gate never stops validating tickets because the Wi-Fi access point went down. The offline architecture is described in full in Chapter 7. For the purposes of this section, the point is that hybrid deployment requires no special architectural work — the offline-first design makes it the default.</w:t>
      </w:r>
    </w:p>
    <w:p w:rsidR="00E6366C" w:rsidRDefault="00D97CF1" w14:paraId="0E405076" w14:textId="77777777">
      <w:pPr>
        <w:pStyle w:val="Heading3"/>
        <w:spacing w:before="160" w:after="60"/>
      </w:pPr>
      <w:r>
        <w:rPr>
          <w:color w:val="2E75B6"/>
          <w:sz w:val="23"/>
        </w:rPr>
        <w:t>Three Environment Model</w:t>
      </w:r>
    </w:p>
    <w:p w:rsidR="00E6366C" w:rsidRDefault="00D97CF1" w14:paraId="2A94D68E" w14:textId="77777777">
      <w:pPr>
        <w:spacing w:after="120" w:line="259" w:lineRule="auto"/>
      </w:pPr>
      <w:r>
        <w:t>All three environments — Development, Pre-Production, and Production — are provisioned from the same Terraform codebase, ensuring what the vendor tests in Development is structurally identical to what the client operates in Production. The environments differ in scale and data, not in configuration.</w:t>
      </w:r>
    </w:p>
    <w:tbl>
      <w:tblPr>
        <w:tblStyle w:val="TableGrid"/>
        <w:tblW w:w="0" w:type="auto"/>
        <w:jc w:val="center"/>
        <w:tblLook w:val="04A0" w:firstRow="1" w:lastRow="0" w:firstColumn="1" w:lastColumn="0" w:noHBand="0" w:noVBand="1"/>
      </w:tblPr>
      <w:tblGrid>
        <w:gridCol w:w="2412"/>
        <w:gridCol w:w="2412"/>
        <w:gridCol w:w="2412"/>
        <w:gridCol w:w="2412"/>
      </w:tblGrid>
      <w:tr w:rsidR="00E6366C" w14:paraId="63630A8C" w14:textId="77777777">
        <w:trPr>
          <w:jc w:val="center"/>
        </w:trPr>
        <w:tc>
          <w:tcPr>
            <w:tcW w:w="2412" w:type="dxa"/>
            <w:shd w:val="clear" w:color="auto" w:fill="1F3864"/>
          </w:tcPr>
          <w:p w:rsidR="00E6366C" w:rsidRDefault="00D97CF1" w14:paraId="7C7255D6" w14:textId="77777777">
            <w:pPr>
              <w:spacing w:before="20" w:after="20"/>
            </w:pPr>
            <w:r>
              <w:rPr>
                <w:b/>
                <w:color w:val="FFFFFF"/>
                <w:sz w:val="19"/>
              </w:rPr>
              <w:t>Environment</w:t>
            </w:r>
          </w:p>
        </w:tc>
        <w:tc>
          <w:tcPr>
            <w:tcW w:w="2412" w:type="dxa"/>
            <w:shd w:val="clear" w:color="auto" w:fill="1F3864"/>
          </w:tcPr>
          <w:p w:rsidR="00E6366C" w:rsidRDefault="00D97CF1" w14:paraId="39EC13BE" w14:textId="77777777">
            <w:pPr>
              <w:spacing w:before="20" w:after="20"/>
            </w:pPr>
            <w:r>
              <w:rPr>
                <w:b/>
                <w:color w:val="FFFFFF"/>
                <w:sz w:val="19"/>
              </w:rPr>
              <w:t>Purpose</w:t>
            </w:r>
          </w:p>
        </w:tc>
        <w:tc>
          <w:tcPr>
            <w:tcW w:w="2412" w:type="dxa"/>
            <w:shd w:val="clear" w:color="auto" w:fill="1F3864"/>
          </w:tcPr>
          <w:p w:rsidR="00E6366C" w:rsidRDefault="00D97CF1" w14:paraId="33454A3B" w14:textId="77777777">
            <w:pPr>
              <w:spacing w:before="20" w:after="20"/>
            </w:pPr>
            <w:r>
              <w:rPr>
                <w:b/>
                <w:color w:val="FFFFFF"/>
                <w:sz w:val="19"/>
              </w:rPr>
              <w:t>Managed By</w:t>
            </w:r>
          </w:p>
        </w:tc>
        <w:tc>
          <w:tcPr>
            <w:tcW w:w="2412" w:type="dxa"/>
            <w:shd w:val="clear" w:color="auto" w:fill="1F3864"/>
          </w:tcPr>
          <w:p w:rsidR="00E6366C" w:rsidRDefault="00D97CF1" w14:paraId="682FDBD8" w14:textId="77777777">
            <w:pPr>
              <w:spacing w:before="20" w:after="20"/>
            </w:pPr>
            <w:r>
              <w:rPr>
                <w:b/>
                <w:color w:val="FFFFFF"/>
                <w:sz w:val="19"/>
              </w:rPr>
              <w:t>Provisioned By</w:t>
            </w:r>
          </w:p>
        </w:tc>
      </w:tr>
      <w:tr w:rsidR="00E6366C" w14:paraId="2ACD05C5" w14:textId="77777777">
        <w:trPr>
          <w:jc w:val="center"/>
        </w:trPr>
        <w:tc>
          <w:tcPr>
            <w:tcW w:w="2412" w:type="dxa"/>
          </w:tcPr>
          <w:p w:rsidR="00E6366C" w:rsidRDefault="00D97CF1" w14:paraId="68BBDFB2" w14:textId="77777777">
            <w:pPr>
              <w:spacing w:before="20" w:after="20"/>
            </w:pPr>
            <w:r>
              <w:rPr>
                <w:sz w:val="19"/>
              </w:rPr>
              <w:t>Development</w:t>
            </w:r>
          </w:p>
        </w:tc>
        <w:tc>
          <w:tcPr>
            <w:tcW w:w="2412" w:type="dxa"/>
          </w:tcPr>
          <w:p w:rsidR="00E6366C" w:rsidRDefault="00D97CF1" w14:paraId="416A1427" w14:textId="77777777">
            <w:pPr>
              <w:spacing w:before="20" w:after="20"/>
            </w:pPr>
            <w:r>
              <w:rPr>
                <w:sz w:val="19"/>
              </w:rPr>
              <w:t>Active development, unit and integration testing, internal QA</w:t>
            </w:r>
          </w:p>
        </w:tc>
        <w:tc>
          <w:tcPr>
            <w:tcW w:w="2412" w:type="dxa"/>
          </w:tcPr>
          <w:p w:rsidR="00E6366C" w:rsidRDefault="00D97CF1" w14:paraId="05C3498E" w14:textId="77777777">
            <w:pPr>
              <w:spacing w:before="20" w:after="20"/>
            </w:pPr>
            <w:r>
              <w:rPr>
                <w:sz w:val="19"/>
              </w:rPr>
              <w:t>Vendor (during project)</w:t>
            </w:r>
          </w:p>
        </w:tc>
        <w:tc>
          <w:tcPr>
            <w:tcW w:w="2412" w:type="dxa"/>
          </w:tcPr>
          <w:p w:rsidR="00E6366C" w:rsidRDefault="00D97CF1" w14:paraId="799AAB72" w14:textId="77777777">
            <w:pPr>
              <w:spacing w:before="20" w:after="20"/>
            </w:pPr>
            <w:r>
              <w:rPr>
                <w:sz w:val="19"/>
              </w:rPr>
              <w:t>Vendor</w:t>
            </w:r>
          </w:p>
        </w:tc>
      </w:tr>
      <w:tr w:rsidR="00E6366C" w14:paraId="4A849F17" w14:textId="77777777">
        <w:trPr>
          <w:jc w:val="center"/>
        </w:trPr>
        <w:tc>
          <w:tcPr>
            <w:tcW w:w="2412" w:type="dxa"/>
            <w:shd w:val="clear" w:color="auto" w:fill="EEF3F8"/>
          </w:tcPr>
          <w:p w:rsidR="00E6366C" w:rsidRDefault="00D97CF1" w14:paraId="34116407" w14:textId="77777777">
            <w:pPr>
              <w:spacing w:before="20" w:after="20"/>
            </w:pPr>
            <w:r>
              <w:rPr>
                <w:sz w:val="19"/>
              </w:rPr>
              <w:t>Pre-Production</w:t>
            </w:r>
          </w:p>
        </w:tc>
        <w:tc>
          <w:tcPr>
            <w:tcW w:w="2412" w:type="dxa"/>
            <w:shd w:val="clear" w:color="auto" w:fill="EEF3F8"/>
          </w:tcPr>
          <w:p w:rsidR="00E6366C" w:rsidRDefault="00D97CF1" w14:paraId="73985B46" w14:textId="77777777">
            <w:pPr>
              <w:spacing w:before="20" w:after="20"/>
            </w:pPr>
            <w:r>
              <w:rPr>
                <w:sz w:val="19"/>
              </w:rPr>
              <w:t>UAT, performance testing, security validation, pilot venue validation</w:t>
            </w:r>
          </w:p>
        </w:tc>
        <w:tc>
          <w:tcPr>
            <w:tcW w:w="2412" w:type="dxa"/>
            <w:shd w:val="clear" w:color="auto" w:fill="EEF3F8"/>
          </w:tcPr>
          <w:p w:rsidR="00E6366C" w:rsidRDefault="00D97CF1" w14:paraId="263F9610" w14:textId="77777777">
            <w:pPr>
              <w:spacing w:before="20" w:after="20"/>
            </w:pPr>
            <w:r>
              <w:rPr>
                <w:sz w:val="19"/>
              </w:rPr>
              <w:t>Shared — vendor + client</w:t>
            </w:r>
          </w:p>
        </w:tc>
        <w:tc>
          <w:tcPr>
            <w:tcW w:w="2412" w:type="dxa"/>
            <w:shd w:val="clear" w:color="auto" w:fill="EEF3F8"/>
          </w:tcPr>
          <w:p w:rsidR="00E6366C" w:rsidRDefault="00D97CF1" w14:paraId="77ACA443" w14:textId="77777777">
            <w:pPr>
              <w:spacing w:before="20" w:after="20"/>
            </w:pPr>
            <w:r>
              <w:rPr>
                <w:sz w:val="19"/>
              </w:rPr>
              <w:t>Client (with vendor guidance)</w:t>
            </w:r>
          </w:p>
        </w:tc>
      </w:tr>
      <w:tr w:rsidR="00E6366C" w14:paraId="28D2A558" w14:textId="77777777">
        <w:trPr>
          <w:jc w:val="center"/>
        </w:trPr>
        <w:tc>
          <w:tcPr>
            <w:tcW w:w="2412" w:type="dxa"/>
          </w:tcPr>
          <w:p w:rsidR="00E6366C" w:rsidRDefault="00D97CF1" w14:paraId="7644BB6E" w14:textId="77777777">
            <w:pPr>
              <w:spacing w:before="20" w:after="20"/>
            </w:pPr>
            <w:r>
              <w:rPr>
                <w:sz w:val="19"/>
              </w:rPr>
              <w:t>Production</w:t>
            </w:r>
          </w:p>
        </w:tc>
        <w:tc>
          <w:tcPr>
            <w:tcW w:w="2412" w:type="dxa"/>
          </w:tcPr>
          <w:p w:rsidR="00E6366C" w:rsidRDefault="00D97CF1" w14:paraId="64438659" w14:textId="77777777">
            <w:pPr>
              <w:spacing w:before="20" w:after="20"/>
            </w:pPr>
            <w:r>
              <w:rPr>
                <w:sz w:val="19"/>
              </w:rPr>
              <w:t>Live platform operation across all venues</w:t>
            </w:r>
          </w:p>
        </w:tc>
        <w:tc>
          <w:tcPr>
            <w:tcW w:w="2412" w:type="dxa"/>
          </w:tcPr>
          <w:p w:rsidR="00E6366C" w:rsidRDefault="00D97CF1" w14:paraId="299B3C39" w14:textId="77777777">
            <w:pPr>
              <w:spacing w:before="20" w:after="20"/>
            </w:pPr>
            <w:r>
              <w:rPr>
                <w:sz w:val="19"/>
              </w:rPr>
              <w:t>Client</w:t>
            </w:r>
          </w:p>
        </w:tc>
        <w:tc>
          <w:tcPr>
            <w:tcW w:w="2412" w:type="dxa"/>
          </w:tcPr>
          <w:p w:rsidR="00E6366C" w:rsidRDefault="00D97CF1" w14:paraId="4E262A1E" w14:textId="77777777">
            <w:pPr>
              <w:spacing w:before="20" w:after="20"/>
            </w:pPr>
            <w:r>
              <w:rPr>
                <w:sz w:val="19"/>
              </w:rPr>
              <w:t>Client</w:t>
            </w:r>
          </w:p>
        </w:tc>
      </w:tr>
    </w:tbl>
    <w:p w:rsidR="00E6366C" w:rsidRDefault="00E6366C" w14:paraId="41C8F396" w14:textId="77777777">
      <w:pPr>
        <w:spacing w:after="40"/>
      </w:pPr>
    </w:p>
    <w:p w:rsidR="00E6366C" w:rsidRDefault="00D97CF1" w14:paraId="1C92918F" w14:textId="77777777">
      <w:pPr>
        <w:pStyle w:val="Heading2"/>
        <w:spacing w:after="80"/>
      </w:pPr>
      <w:r>
        <w:rPr>
          <w:color w:val="2E75B6"/>
          <w:sz w:val="28"/>
        </w:rPr>
        <w:t>2.6 Scalability and Performance</w:t>
      </w:r>
    </w:p>
    <w:p w:rsidR="00E6366C" w:rsidRDefault="00D97CF1" w14:paraId="072E7FBA" w14:textId="65667511">
      <w:pPr>
        <w:spacing w:after="120" w:line="259" w:lineRule="auto"/>
      </w:pPr>
      <w:r w:rsidR="00D97CF1">
        <w:rPr/>
        <w:t xml:space="preserve">The architecture is designed not just to meet the stated targets but to </w:t>
      </w:r>
      <w:r w:rsidR="00D97CF1">
        <w:rPr/>
        <w:t>maintain</w:t>
      </w:r>
      <w:r w:rsidR="00D97CF1">
        <w:rPr/>
        <w:t xml:space="preserve"> them as the estate grows from seven venues to twenty-plus without infrastructure </w:t>
      </w:r>
      <w:r w:rsidR="00D97CF1">
        <w:rPr/>
        <w:t>redesign</w:t>
      </w:r>
      <w:r w:rsidR="00D97CF1">
        <w:rPr/>
        <w:t xml:space="preserve">. Every service is stateless — no server-side session state, no sticky routing. Horizontal pod autoscaling in Kubernetes ties directly to CPU </w:t>
      </w:r>
      <w:r w:rsidR="3105F67C">
        <w:rPr/>
        <w:t>utilization</w:t>
      </w:r>
      <w:r w:rsidR="00D97CF1">
        <w:rPr/>
        <w:t>, memory pressure, and custom metrics like Kafka consumer lag and API request queue depth. When ticket sales spike at the start of a peak booking window, the Commerce and Ticketing services add pods in seconds. When the window closes, they scale back.</w:t>
      </w:r>
    </w:p>
    <w:p w:rsidR="00E6366C" w:rsidRDefault="00D97CF1" w14:paraId="3BFB656F" w14:textId="77777777">
      <w:pPr>
        <w:spacing w:after="120" w:line="259" w:lineRule="auto"/>
      </w:pPr>
      <w:r>
        <w:t>The sub-500ms ticket validation target deserves specific treatment because it operates differently online and offline. Online, validation reads from a Redis bloom filter of recently used ticket IDs — a sub-millisecond in-memory check — and writes the validation event to Kafka asynchronously, so the response path carries no database write latency. Offline, validation is entirely local: the scanner holds the venue’s public key, reads the QR payload, verifies the cryptographic signature, checks the ticket’s time window against the device clock, and queries its local SQLite cache for duplicate usage. No network involved, no server round-trip — under 50ms in practice.</w:t>
      </w:r>
    </w:p>
    <w:tbl>
      <w:tblPr>
        <w:tblStyle w:val="TableGrid"/>
        <w:tblW w:w="0" w:type="auto"/>
        <w:jc w:val="center"/>
        <w:tblLook w:val="04A0" w:firstRow="1" w:lastRow="0" w:firstColumn="1" w:lastColumn="0" w:noHBand="0" w:noVBand="1"/>
      </w:tblPr>
      <w:tblGrid>
        <w:gridCol w:w="3216"/>
        <w:gridCol w:w="3216"/>
        <w:gridCol w:w="3216"/>
      </w:tblGrid>
      <w:tr w:rsidR="00E6366C" w14:paraId="0B1B162C" w14:textId="77777777">
        <w:trPr>
          <w:jc w:val="center"/>
        </w:trPr>
        <w:tc>
          <w:tcPr>
            <w:tcW w:w="3216" w:type="dxa"/>
            <w:shd w:val="clear" w:color="auto" w:fill="1F3864"/>
          </w:tcPr>
          <w:p w:rsidR="00E6366C" w:rsidRDefault="00D97CF1" w14:paraId="461A4C5F" w14:textId="77777777">
            <w:pPr>
              <w:spacing w:before="20" w:after="20"/>
            </w:pPr>
            <w:r>
              <w:rPr>
                <w:b/>
                <w:color w:val="FFFFFF"/>
                <w:sz w:val="19"/>
              </w:rPr>
              <w:t>Target</w:t>
            </w:r>
          </w:p>
        </w:tc>
        <w:tc>
          <w:tcPr>
            <w:tcW w:w="3216" w:type="dxa"/>
            <w:shd w:val="clear" w:color="auto" w:fill="1F3864"/>
          </w:tcPr>
          <w:p w:rsidR="00E6366C" w:rsidRDefault="00D97CF1" w14:paraId="5C50FC28" w14:textId="77777777">
            <w:pPr>
              <w:spacing w:before="20" w:after="20"/>
            </w:pPr>
            <w:r>
              <w:rPr>
                <w:b/>
                <w:color w:val="FFFFFF"/>
                <w:sz w:val="19"/>
              </w:rPr>
              <w:t>Benchmark</w:t>
            </w:r>
          </w:p>
        </w:tc>
        <w:tc>
          <w:tcPr>
            <w:tcW w:w="3216" w:type="dxa"/>
            <w:shd w:val="clear" w:color="auto" w:fill="1F3864"/>
          </w:tcPr>
          <w:p w:rsidR="00E6366C" w:rsidRDefault="00D97CF1" w14:paraId="6B4CDA0A" w14:textId="77777777">
            <w:pPr>
              <w:spacing w:before="20" w:after="20"/>
            </w:pPr>
            <w:r>
              <w:rPr>
                <w:b/>
                <w:color w:val="FFFFFF"/>
                <w:sz w:val="19"/>
              </w:rPr>
              <w:t>How It Is Achieved</w:t>
            </w:r>
          </w:p>
        </w:tc>
      </w:tr>
      <w:tr w:rsidR="00E6366C" w14:paraId="3E79155A" w14:textId="77777777">
        <w:trPr>
          <w:jc w:val="center"/>
        </w:trPr>
        <w:tc>
          <w:tcPr>
            <w:tcW w:w="3216" w:type="dxa"/>
          </w:tcPr>
          <w:p w:rsidR="00E6366C" w:rsidRDefault="00D97CF1" w14:paraId="4F4013B9" w14:textId="77777777">
            <w:pPr>
              <w:spacing w:before="20" w:after="20"/>
            </w:pPr>
            <w:r>
              <w:rPr>
                <w:sz w:val="19"/>
              </w:rPr>
              <w:t>Ticket validation</w:t>
            </w:r>
          </w:p>
        </w:tc>
        <w:tc>
          <w:tcPr>
            <w:tcW w:w="3216" w:type="dxa"/>
          </w:tcPr>
          <w:p w:rsidR="00E6366C" w:rsidRDefault="00D97CF1" w14:paraId="3EC7C47C" w14:textId="77777777">
            <w:pPr>
              <w:spacing w:before="20" w:after="20"/>
            </w:pPr>
            <w:r>
              <w:rPr>
                <w:sz w:val="19"/>
              </w:rPr>
              <w:t>Under 500ms</w:t>
            </w:r>
          </w:p>
        </w:tc>
        <w:tc>
          <w:tcPr>
            <w:tcW w:w="3216" w:type="dxa"/>
          </w:tcPr>
          <w:p w:rsidR="00E6366C" w:rsidRDefault="00D97CF1" w14:paraId="6BB9F3B9" w14:textId="77777777">
            <w:pPr>
              <w:spacing w:before="20" w:after="20"/>
            </w:pPr>
            <w:r>
              <w:rPr>
                <w:sz w:val="19"/>
              </w:rPr>
              <w:t>Redis bloom filter check (online); cryptographic local validation (offline); async ledger write</w:t>
            </w:r>
          </w:p>
        </w:tc>
      </w:tr>
      <w:tr w:rsidR="00E6366C" w14:paraId="72A0175D" w14:textId="77777777">
        <w:trPr>
          <w:jc w:val="center"/>
        </w:trPr>
        <w:tc>
          <w:tcPr>
            <w:tcW w:w="3216" w:type="dxa"/>
            <w:shd w:val="clear" w:color="auto" w:fill="EEF3F8"/>
          </w:tcPr>
          <w:p w:rsidR="00E6366C" w:rsidRDefault="00D97CF1" w14:paraId="5D28FF0D" w14:textId="77777777">
            <w:pPr>
              <w:spacing w:before="20" w:after="20"/>
            </w:pPr>
            <w:r>
              <w:rPr>
                <w:sz w:val="19"/>
              </w:rPr>
              <w:t>Web page load</w:t>
            </w:r>
          </w:p>
        </w:tc>
        <w:tc>
          <w:tcPr>
            <w:tcW w:w="3216" w:type="dxa"/>
            <w:shd w:val="clear" w:color="auto" w:fill="EEF3F8"/>
          </w:tcPr>
          <w:p w:rsidR="00E6366C" w:rsidRDefault="00D97CF1" w14:paraId="05DE4B60" w14:textId="77777777">
            <w:pPr>
              <w:spacing w:before="20" w:after="20"/>
            </w:pPr>
            <w:r>
              <w:rPr>
                <w:sz w:val="19"/>
              </w:rPr>
              <w:t>Under 3 seconds</w:t>
            </w:r>
          </w:p>
        </w:tc>
        <w:tc>
          <w:tcPr>
            <w:tcW w:w="3216" w:type="dxa"/>
            <w:shd w:val="clear" w:color="auto" w:fill="EEF3F8"/>
          </w:tcPr>
          <w:p w:rsidR="00E6366C" w:rsidRDefault="00D97CF1" w14:paraId="4BF94B69" w14:textId="77777777">
            <w:pPr>
              <w:spacing w:before="20" w:after="20"/>
            </w:pPr>
            <w:r>
              <w:rPr>
                <w:sz w:val="19"/>
              </w:rPr>
              <w:t>Next.js SSR + CDN for static assets; code splitting; lazy loading of non-critical paths</w:t>
            </w:r>
          </w:p>
        </w:tc>
      </w:tr>
      <w:tr w:rsidR="00E6366C" w14:paraId="09CB8904" w14:textId="77777777">
        <w:trPr>
          <w:jc w:val="center"/>
        </w:trPr>
        <w:tc>
          <w:tcPr>
            <w:tcW w:w="3216" w:type="dxa"/>
          </w:tcPr>
          <w:p w:rsidR="00E6366C" w:rsidRDefault="00D97CF1" w14:paraId="646D8B74" w14:textId="77777777">
            <w:pPr>
              <w:spacing w:before="20" w:after="20"/>
            </w:pPr>
            <w:r>
              <w:rPr>
                <w:sz w:val="19"/>
              </w:rPr>
              <w:t>Mobile app load</w:t>
            </w:r>
          </w:p>
        </w:tc>
        <w:tc>
          <w:tcPr>
            <w:tcW w:w="3216" w:type="dxa"/>
          </w:tcPr>
          <w:p w:rsidR="00E6366C" w:rsidRDefault="00D97CF1" w14:paraId="05F8DE80" w14:textId="77777777">
            <w:pPr>
              <w:spacing w:before="20" w:after="20"/>
            </w:pPr>
            <w:r>
              <w:rPr>
                <w:sz w:val="19"/>
              </w:rPr>
              <w:t>Under 2 seconds</w:t>
            </w:r>
          </w:p>
        </w:tc>
        <w:tc>
          <w:tcPr>
            <w:tcW w:w="3216" w:type="dxa"/>
          </w:tcPr>
          <w:p w:rsidR="00E6366C" w:rsidRDefault="00D97CF1" w14:paraId="2E1B1C29" w14:textId="77777777">
            <w:pPr>
              <w:spacing w:before="20" w:after="20"/>
            </w:pPr>
            <w:r>
              <w:rPr>
                <w:sz w:val="19"/>
              </w:rPr>
              <w:t>Pre-fetched data on launch; optimistic UI; WatermelonDB reactive queries from local cache</w:t>
            </w:r>
          </w:p>
        </w:tc>
      </w:tr>
      <w:tr w:rsidR="00E6366C" w14:paraId="1EC1004B" w14:textId="77777777">
        <w:trPr>
          <w:jc w:val="center"/>
        </w:trPr>
        <w:tc>
          <w:tcPr>
            <w:tcW w:w="3216" w:type="dxa"/>
            <w:shd w:val="clear" w:color="auto" w:fill="EEF3F8"/>
          </w:tcPr>
          <w:p w:rsidR="00E6366C" w:rsidRDefault="00D97CF1" w14:paraId="17F1D2DB" w14:textId="77777777">
            <w:pPr>
              <w:spacing w:before="20" w:after="20"/>
            </w:pPr>
            <w:r>
              <w:rPr>
                <w:sz w:val="19"/>
              </w:rPr>
              <w:t>Concurrent guests</w:t>
            </w:r>
          </w:p>
        </w:tc>
        <w:tc>
          <w:tcPr>
            <w:tcW w:w="3216" w:type="dxa"/>
            <w:shd w:val="clear" w:color="auto" w:fill="EEF3F8"/>
          </w:tcPr>
          <w:p w:rsidR="00E6366C" w:rsidRDefault="00D97CF1" w14:paraId="68E91A5D" w14:textId="77777777">
            <w:pPr>
              <w:spacing w:before="20" w:after="20"/>
              <w:rPr>
                <w:sz w:val="19"/>
              </w:rPr>
            </w:pPr>
            <w:r>
              <w:rPr>
                <w:sz w:val="19"/>
              </w:rPr>
              <w:t>5,000-15,000</w:t>
            </w:r>
          </w:p>
          <w:p w:rsidR="00581CBA" w:rsidRDefault="00581CBA" w14:paraId="6428FDBC" w14:textId="77777777">
            <w:pPr>
              <w:spacing w:before="20" w:after="20"/>
            </w:pPr>
          </w:p>
        </w:tc>
        <w:tc>
          <w:tcPr>
            <w:tcW w:w="3216" w:type="dxa"/>
            <w:shd w:val="clear" w:color="auto" w:fill="EEF3F8"/>
          </w:tcPr>
          <w:p w:rsidR="00E6366C" w:rsidRDefault="00D97CF1" w14:paraId="1D2AEB7C" w14:textId="77777777">
            <w:pPr>
              <w:spacing w:before="20" w:after="20"/>
            </w:pPr>
            <w:r>
              <w:rPr>
                <w:sz w:val="19"/>
              </w:rPr>
              <w:t>Kubernetes HPA on all API services; stateless pods; Redis session store; connection pooling</w:t>
            </w:r>
          </w:p>
        </w:tc>
      </w:tr>
      <w:tr w:rsidR="00E6366C" w14:paraId="08474A99" w14:textId="77777777">
        <w:trPr>
          <w:jc w:val="center"/>
        </w:trPr>
        <w:tc>
          <w:tcPr>
            <w:tcW w:w="3216" w:type="dxa"/>
          </w:tcPr>
          <w:p w:rsidR="00E6366C" w:rsidRDefault="00D97CF1" w14:paraId="29CB861D" w14:textId="77777777">
            <w:pPr>
              <w:spacing w:before="20" w:after="20"/>
            </w:pPr>
            <w:r>
              <w:rPr>
                <w:sz w:val="19"/>
              </w:rPr>
              <w:t>API throughput</w:t>
            </w:r>
          </w:p>
        </w:tc>
        <w:tc>
          <w:tcPr>
            <w:tcW w:w="3216" w:type="dxa"/>
          </w:tcPr>
          <w:p w:rsidR="00E6366C" w:rsidRDefault="00D97CF1" w14:paraId="057CF9F2" w14:textId="77777777">
            <w:pPr>
              <w:spacing w:before="20" w:after="20"/>
            </w:pPr>
            <w:r>
              <w:rPr>
                <w:sz w:val="19"/>
              </w:rPr>
              <w:t>200-1,000 req/sec peak</w:t>
            </w:r>
          </w:p>
        </w:tc>
        <w:tc>
          <w:tcPr>
            <w:tcW w:w="3216" w:type="dxa"/>
          </w:tcPr>
          <w:p w:rsidR="00E6366C" w:rsidRDefault="00D97CF1" w14:paraId="5E0BB7DE" w14:textId="77777777">
            <w:pPr>
              <w:spacing w:before="20" w:after="20"/>
            </w:pPr>
            <w:r>
              <w:rPr>
                <w:sz w:val="19"/>
              </w:rPr>
              <w:t>Kong rate limiting and request queuing; auto-scaling backend pods; Kafka async offload</w:t>
            </w:r>
          </w:p>
        </w:tc>
      </w:tr>
      <w:tr w:rsidR="00E6366C" w14:paraId="4F360012" w14:textId="77777777">
        <w:trPr>
          <w:jc w:val="center"/>
        </w:trPr>
        <w:tc>
          <w:tcPr>
            <w:tcW w:w="3216" w:type="dxa"/>
            <w:shd w:val="clear" w:color="auto" w:fill="EEF3F8"/>
          </w:tcPr>
          <w:p w:rsidR="00E6366C" w:rsidRDefault="00D97CF1" w14:paraId="77E55D37" w14:textId="77777777">
            <w:pPr>
              <w:spacing w:before="20" w:after="20"/>
            </w:pPr>
            <w:r>
              <w:rPr>
                <w:sz w:val="19"/>
              </w:rPr>
              <w:t>Platform uptime</w:t>
            </w:r>
          </w:p>
        </w:tc>
        <w:tc>
          <w:tcPr>
            <w:tcW w:w="3216" w:type="dxa"/>
            <w:shd w:val="clear" w:color="auto" w:fill="EEF3F8"/>
          </w:tcPr>
          <w:p w:rsidR="00E6366C" w:rsidRDefault="00D97CF1" w14:paraId="4B0F4C96" w14:textId="77777777">
            <w:pPr>
              <w:spacing w:before="20" w:after="20"/>
            </w:pPr>
            <w:r>
              <w:rPr>
                <w:sz w:val="19"/>
              </w:rPr>
              <w:t>99.9% (application layer)</w:t>
            </w:r>
          </w:p>
        </w:tc>
        <w:tc>
          <w:tcPr>
            <w:tcW w:w="3216" w:type="dxa"/>
            <w:shd w:val="clear" w:color="auto" w:fill="EEF3F8"/>
          </w:tcPr>
          <w:p w:rsidR="00E6366C" w:rsidRDefault="00D97CF1" w14:paraId="125A99E0" w14:textId="77777777">
            <w:pPr>
              <w:spacing w:before="20" w:after="20"/>
            </w:pPr>
            <w:r>
              <w:rPr>
                <w:sz w:val="19"/>
              </w:rPr>
              <w:t>Multi-zone K8s; health checks with automatic pod restart; circuit breakers between services</w:t>
            </w:r>
          </w:p>
        </w:tc>
      </w:tr>
    </w:tbl>
    <w:p w:rsidR="00E6366C" w:rsidRDefault="00E6366C" w14:paraId="72A3D3EC" w14:textId="77777777">
      <w:pPr>
        <w:spacing w:after="40"/>
      </w:pPr>
    </w:p>
    <w:p w:rsidR="00E6366C" w:rsidRDefault="00D97CF1" w14:paraId="59B11BD1" w14:textId="77777777">
      <w:pPr>
        <w:pStyle w:val="Heading3"/>
        <w:spacing w:before="160" w:after="60"/>
      </w:pPr>
      <w:r>
        <w:rPr>
          <w:color w:val="2E75B6"/>
          <w:sz w:val="23"/>
        </w:rPr>
        <w:t>Virtual Waiting Room — Demand Admission Control</w:t>
      </w:r>
    </w:p>
    <w:p w:rsidR="00E6366C" w:rsidRDefault="00D97CF1" w14:paraId="5CECD3D1" w14:textId="77777777">
      <w:pPr>
        <w:spacing w:after="120" w:line="259" w:lineRule="auto"/>
      </w:pPr>
      <w:r>
        <w:t>Autoscaling answers one half of a high-demand event; admission control answers the other. When a marquee event goes on sale and tens of thousands of guests hit the storefront in the same minute, scaling the backend up is necessary but not sufficient — the platform must also protect itself and the payment path from a thundering herd that would otherwise degrade the experience for everyone. TAIS therefore includes a configurable virtual waiting room that sits in front of the B2C purchase flow.</w:t>
      </w:r>
    </w:p>
    <w:p w:rsidR="00E6366C" w:rsidRDefault="00D97CF1" w14:paraId="52BCD941" w14:textId="77777777">
      <w:pPr>
        <w:spacing w:after="120" w:line="259" w:lineRule="auto"/>
      </w:pPr>
      <w:r>
        <w:t>The mechanism is a hard, configurable admission cap. The operator sets, per event, how many guests are admitted into the active purchase session concurrently — a typical baseline is one to two thousand — and a release rate at which queued guests are admitted as others complete or abandon checkout, for example one to two hundred per minute on a defined interval. Guests beyond the cap are held in a queue and shown a fully branded waiting-room page reflecting the venue’s identity, with their position and an estimated wait. The cap and release rate are configurable in the back office because the right numbers depend entirely on the event and the expected demand profile.</w:t>
      </w:r>
    </w:p>
    <w:p w:rsidR="00E6366C" w:rsidRDefault="00D97CF1" w14:paraId="70E917C9" w14:textId="77777777">
      <w:pPr>
        <w:spacing w:after="120" w:line="259" w:lineRule="auto"/>
      </w:pPr>
      <w:r>
        <w:t>This is a deliberate complement to horizontal autoscaling, not a replacement for it. Autoscaling adds capacity to serve admitted traffic; the waiting room ensures admitted traffic never exceeds what the system — and the payment gateway — can serve cleanly. The two work together so that a 20,000-guest on-sale results in a smooth, ordered purchase experience rather than a crashed storefront. The waiting room is implemented as a dedicated edge service so that the queue itself remains available even under extreme load.</w:t>
      </w:r>
    </w:p>
    <w:p w:rsidR="00E6366C" w:rsidRDefault="00D97CF1" w14:paraId="3225CCE2" w14:textId="77777777">
      <w:pPr>
        <w:pStyle w:val="Heading2"/>
        <w:spacing w:after="80"/>
      </w:pPr>
      <w:r>
        <w:rPr>
          <w:color w:val="2E75B6"/>
          <w:sz w:val="28"/>
        </w:rPr>
        <w:t>2.7 Database Architecture</w:t>
      </w:r>
    </w:p>
    <w:p w:rsidR="00E6366C" w:rsidRDefault="00D97CF1" w14:paraId="7A392A77" w14:textId="77777777">
      <w:pPr>
        <w:spacing w:after="120" w:line="259" w:lineRule="auto"/>
      </w:pPr>
      <w:r>
        <w:t>Database selection for a platform of this scope is not a single decision — it is a set of decisions made per workload type. Using PostgreSQL for everything is safe but suboptimal in some narrow cases; using every database that exists is sophisticated but unmaintainable and, in a DESC-governed environment, often not permissible. The TAIS Phase 1 stack selects four server types that cover all Phase 1 and Phase 2 workloads well, with PostgreSQL as the transactional and analytics foundation. Any further specialisation would be assessed against DESC-approved options and handled as a formal change.</w:t>
      </w:r>
    </w:p>
    <w:p w:rsidR="00E6366C" w:rsidRDefault="00D97CF1" w14:paraId="14797F11" w14:textId="77777777">
      <w:pPr>
        <w:pStyle w:val="Heading3"/>
        <w:spacing w:before="160" w:after="60"/>
      </w:pPr>
      <w:r>
        <w:rPr>
          <w:color w:val="2E75B6"/>
          <w:sz w:val="23"/>
        </w:rPr>
        <w:t>PostgreSQL — The Transactional Foundation</w:t>
      </w:r>
    </w:p>
    <w:p w:rsidR="00E6366C" w:rsidRDefault="00D97CF1" w14:paraId="0FB4704A" w14:textId="77777777">
      <w:pPr>
        <w:spacing w:after="120" w:line="259" w:lineRule="auto"/>
      </w:pPr>
      <w:r>
        <w:t>PostgreSQL is the primary store for everything relational: financial ledger entries, orders, users, tenant configurations, product catalogs, event schedules, staff records, and analytics time series (date-partitioned tables). The choice of PostgreSQL for financial data is deliberate and non-negotiable — the Finance Service is built on .NET with PostgreSQL specifically because this combination has the deepest production history in financial systems among the available options. ACID compliance, mature transaction isolation levels, and point-in-time recovery are table stakes for a double-entry ledger. PostgreSQL delivers all three.</w:t>
      </w:r>
    </w:p>
    <w:p w:rsidR="00E6366C" w:rsidRDefault="00D97CF1" w14:paraId="1E119044" w14:textId="77777777">
      <w:pPr>
        <w:spacing w:after="120" w:line="259" w:lineRule="auto"/>
      </w:pPr>
      <w:r>
        <w:t>Multi-tenant isolation is enforced at the PostgreSQL layer using Row-Level Security. Every table containing tenant-specific data has a tenant_id column. RLS policies ensure that every query — regardless of which application service or user account initiates it — can only read and write rows belonging to the requesting tenant. The tenant_id is injected from the authenticated JWT into the database session context at connection time. An application bug that attempts to read another tenant’s data does not see that data — it sees an empty result set. The isolation is enforced by the database engine, not by application logic that could be bypassed.</w:t>
      </w:r>
    </w:p>
    <w:p w:rsidR="00E6366C" w:rsidRDefault="00D97CF1" w14:paraId="1E76F423" w14:textId="77777777">
      <w:pPr>
        <w:pStyle w:val="Heading3"/>
        <w:spacing w:before="160" w:after="60"/>
      </w:pPr>
      <w:r>
        <w:rPr>
          <w:color w:val="2E75B6"/>
          <w:sz w:val="23"/>
        </w:rPr>
        <w:t>Qdrant — Vector Store for RAG and Semantic Search</w:t>
      </w:r>
    </w:p>
    <w:p w:rsidR="00E6366C" w:rsidRDefault="00D97CF1" w14:paraId="20E69E0F" w14:textId="77777777">
      <w:pPr>
        <w:spacing w:after="120" w:line="259" w:lineRule="auto"/>
      </w:pPr>
      <w:r>
        <w:t>Qdrant is the vector store for all RAG (Retrieval-Augmented Generation) workloads: the Configuration Assistant, Reporting Assistant, and the semantic search layer that powers product discovery and support automation. The critical reason Qdrant is chosen over pgvector (the PostgreSQL extension) is how each handles multi-tenant queries.</w:t>
      </w:r>
    </w:p>
    <w:p w:rsidR="00E6366C" w:rsidRDefault="00D97CF1" w14:paraId="105D794E" w14:textId="77777777">
      <w:pPr>
        <w:spacing w:after="120" w:line="259" w:lineRule="auto"/>
      </w:pPr>
      <w:r>
        <w:t>pgvector applies tenant filters after the approximate nearest-neighbour search completes — this is post-filtering. It scans all tenants’ embedding vectors, finds the top-k candidates, and then discards those belonging to other tenants. At scale, this means scanning millions of vectors that will never be returned. Qdrant applies payload filters during the ANN search — this is pre-filtering. The tenant_id payload field excludes other tenants’ vectors from consideration before the search begins. They are never scanned, never ranked, never returned. At TAIS scale — potentially millions of documents across dozens of venues — the difference between pre-filtering and post-filtering is between a 200ms query and a several-second one. Qdrant is included in the Option A default stack, not deferred to the scale-up path, because multi-tenant vector isolation is a Phase 1 requirement.</w:t>
      </w:r>
    </w:p>
    <w:p w:rsidR="00E6366C" w:rsidRDefault="00D97CF1" w14:paraId="1530480B" w14:textId="77777777">
      <w:pPr>
        <w:pStyle w:val="Heading3"/>
        <w:spacing w:before="160" w:after="60"/>
      </w:pPr>
      <w:r>
        <w:rPr>
          <w:color w:val="2E75B6"/>
          <w:sz w:val="23"/>
        </w:rPr>
        <w:t>Scale-Up Path — PostgreSQL-First, DESC-Constrained</w:t>
      </w:r>
    </w:p>
    <w:p w:rsidR="00E6366C" w:rsidRDefault="00D97CF1" w14:paraId="74B7DB5A" w14:textId="77777777">
      <w:pPr>
        <w:spacing w:after="120" w:line="259" w:lineRule="auto"/>
      </w:pPr>
      <w:r>
        <w:t>The Phase 1 stack handles Phase 1 and Phase 2 scale on PostgreSQL as the transactional and analytics foundation. TimescaleDB and MongoDB, previously listed as optional scale-up additions, have been removed from the committed roadmap for two reasons. First, PostgreSQL — with date-partitioned tables for analytics time-series and JSONB for catalog flexibility — meets the platform’s performance requirements at the scale this RFP describes without a second engine. Second, and decisively for a UAE government-adjacent deployment, any database introduced into the stack must hold Dubai Electronic Security Center (DESC) approval; MongoDB does not currently hold that approval, so it is not a candidate.</w:t>
      </w:r>
    </w:p>
    <w:p w:rsidR="00E6366C" w:rsidRDefault="00D97CF1" w14:paraId="020408A4" w14:textId="77777777">
      <w:pPr>
        <w:spacing w:after="120" w:line="259" w:lineRule="auto"/>
      </w:pPr>
      <w:r>
        <w:t>If a future workload ever justifies a dedicated time-series or document store, the selection will be made from DESC-approved options at that time and treated as a formal change. The two components that are genuinely hard to introduce later — the vector store (Qdrant) and the search engine (Elasticsearch) — are already in the Phase 1 stack, and both are being confirmed DESC-compliant as part of architecture sign-off.</w:t>
      </w:r>
    </w:p>
    <w:p w:rsidR="00E6366C" w:rsidRDefault="00D97CF1" w14:paraId="1A3DAC57" w14:textId="77777777">
      <w:pPr>
        <w:spacing w:after="80"/>
      </w:pPr>
      <w:r>
        <w:rPr>
          <w:i/>
          <w:color w:val="555555"/>
          <w:sz w:val="18"/>
        </w:rPr>
        <w:t>Figure 2.6 — Database Stack: PostgreSQL-First, DESC-Aligned</w:t>
      </w:r>
    </w:p>
    <w:p w:rsidR="00E6366C" w:rsidRDefault="00D97CF1" w14:paraId="0A2A4B94" w14:textId="77777777">
      <w:pPr>
        <w:pStyle w:val="Heading2"/>
        <w:spacing w:after="80"/>
      </w:pPr>
      <w:r>
        <w:rPr>
          <w:color w:val="2E75B6"/>
          <w:sz w:val="28"/>
        </w:rPr>
        <w:t>2.8 Internationalisation and Arabic RTL Support</w:t>
      </w:r>
    </w:p>
    <w:p w:rsidR="00E6366C" w:rsidRDefault="00D97CF1" w14:paraId="632A5C51" w14:textId="77777777">
      <w:pPr>
        <w:spacing w:after="120" w:line="259" w:lineRule="auto"/>
      </w:pPr>
      <w:r>
        <w:t>Arabic is not a localisation afterthought — it is a first-class requirement for a platform operating in the UAE entertainment market. The TAIS i18n architecture is designed so that Arabic and English operate as equals, not as default-and-translation.</w:t>
      </w:r>
    </w:p>
    <w:p w:rsidR="00E6366C" w:rsidRDefault="00D97CF1" w14:paraId="6259FF23" w14:textId="77777777">
      <w:pPr>
        <w:spacing w:after="120" w:line="259" w:lineRule="auto"/>
      </w:pPr>
      <w:r>
        <w:t>All translation strings across every guest-facing surface — web storefront, mobile app, kiosk, email templates, push notifications — are externalised to JSON resource files keyed by locale. The admin CMS provides a translation management interface where content administrators can add, update, and publish translations without touching code or triggering deployments. Adding a third language in Phase 3 is a content operation, not a development effort.</w:t>
      </w:r>
    </w:p>
    <w:p w:rsidR="00E6366C" w:rsidRDefault="00D97CF1" w14:paraId="69C926A3" w14:textId="77777777">
      <w:pPr>
        <w:spacing w:after="120" w:line="259" w:lineRule="auto"/>
      </w:pPr>
      <w:r>
        <w:t>Arabic RTL layout is implemented at the component level using CSS logical properties rather than direction overrides. A button with padding-inline-start renders correctly in both LTR and RTL without conditional CSS — the browser handles the physical direction based on the document’s lang attribute. React Native’s built-in RTL support is activated with a single configuration flag, at which point the entire layout tree mirrors automatically. The result is a single component codebase serving both language directions, rather than parallel component trees that diverge in maintenance.</w:t>
      </w:r>
    </w:p>
    <w:p w:rsidR="00E6366C" w:rsidRDefault="00D97CF1" w14:paraId="093F01E3" w14:textId="77777777">
      <w:pPr>
        <w:spacing w:after="120" w:line="259" w:lineRule="auto"/>
      </w:pPr>
      <w:r>
        <w:t>The platform fully supports Universal Acceptance standards: internationalized domain names (IDNs) and Email Address Internationalisation (EAI) are processed correctly at every layer — authentication, notification delivery, invoice generation, and CRM records. An Arabic-script email address used to register a guest account functions correctly throughout the entire platform lifecycle.</w:t>
      </w:r>
    </w:p>
    <w:p w:rsidR="00E6366C" w:rsidRDefault="00D97CF1" w14:paraId="413D1F20" w14:textId="77777777">
      <w:pPr>
        <w:spacing w:after="120" w:line="259" w:lineRule="auto"/>
      </w:pPr>
      <w:r>
        <w:t>Staff-facing interfaces operate in English at launch, consistent with the Q&amp;A confirmation. The i18n architecture supports future staff interface localisation without code changes — additional languages are added through the CMS translation management. This is not a caveat; it is how the architecture was designed.</w:t>
      </w:r>
    </w:p>
    <w:p w:rsidR="00E6366C" w:rsidRDefault="00D97CF1" w14:paraId="38B13C8C" w14:textId="77777777">
      <w:pPr>
        <w:pStyle w:val="Heading2"/>
        <w:spacing w:after="80"/>
      </w:pPr>
      <w:r>
        <w:rPr>
          <w:color w:val="2E75B6"/>
          <w:sz w:val="28"/>
        </w:rPr>
        <w:t>2.9 Key Technology Decisions — The Reasoning</w:t>
      </w:r>
    </w:p>
    <w:p w:rsidR="00E6366C" w:rsidRDefault="00D97CF1" w14:paraId="14972E28" w14:textId="77777777">
      <w:pPr>
        <w:spacing w:after="120" w:line="259" w:lineRule="auto"/>
      </w:pPr>
      <w:r>
        <w:t>Every significant technology choice in this stack was made for a specific reason. The table below states that reason plainly. Understanding the reasoning is as important as knowing the choice — it is what allows the client’s internal team to make good decisions about future evolution.</w:t>
      </w:r>
    </w:p>
    <w:tbl>
      <w:tblPr>
        <w:tblStyle w:val="TableGrid"/>
        <w:tblW w:w="0" w:type="auto"/>
        <w:jc w:val="center"/>
        <w:tblLook w:val="04A0" w:firstRow="1" w:lastRow="0" w:firstColumn="1" w:lastColumn="0" w:noHBand="0" w:noVBand="1"/>
      </w:tblPr>
      <w:tblGrid>
        <w:gridCol w:w="3216"/>
        <w:gridCol w:w="3216"/>
        <w:gridCol w:w="3216"/>
      </w:tblGrid>
      <w:tr w:rsidR="00E6366C" w14:paraId="0E1B1C97" w14:textId="77777777">
        <w:trPr>
          <w:jc w:val="center"/>
        </w:trPr>
        <w:tc>
          <w:tcPr>
            <w:tcW w:w="3216" w:type="dxa"/>
            <w:shd w:val="clear" w:color="auto" w:fill="1F3864"/>
          </w:tcPr>
          <w:p w:rsidR="00E6366C" w:rsidRDefault="00D97CF1" w14:paraId="3449B647" w14:textId="77777777">
            <w:pPr>
              <w:spacing w:before="20" w:after="20"/>
            </w:pPr>
            <w:r>
              <w:rPr>
                <w:b/>
                <w:color w:val="FFFFFF"/>
                <w:sz w:val="19"/>
              </w:rPr>
              <w:t>Decision</w:t>
            </w:r>
          </w:p>
        </w:tc>
        <w:tc>
          <w:tcPr>
            <w:tcW w:w="3216" w:type="dxa"/>
            <w:shd w:val="clear" w:color="auto" w:fill="1F3864"/>
          </w:tcPr>
          <w:p w:rsidR="00E6366C" w:rsidRDefault="00D97CF1" w14:paraId="63220416" w14:textId="77777777">
            <w:pPr>
              <w:spacing w:before="20" w:after="20"/>
            </w:pPr>
            <w:r>
              <w:rPr>
                <w:b/>
                <w:color w:val="FFFFFF"/>
                <w:sz w:val="19"/>
              </w:rPr>
              <w:t>Choice</w:t>
            </w:r>
          </w:p>
        </w:tc>
        <w:tc>
          <w:tcPr>
            <w:tcW w:w="3216" w:type="dxa"/>
            <w:shd w:val="clear" w:color="auto" w:fill="1F3864"/>
          </w:tcPr>
          <w:p w:rsidR="00E6366C" w:rsidRDefault="00D97CF1" w14:paraId="39E3CCD0" w14:textId="77777777">
            <w:pPr>
              <w:spacing w:before="20" w:after="20"/>
            </w:pPr>
            <w:r>
              <w:rPr>
                <w:b/>
                <w:color w:val="FFFFFF"/>
                <w:sz w:val="19"/>
              </w:rPr>
              <w:t>Reasoning</w:t>
            </w:r>
          </w:p>
        </w:tc>
      </w:tr>
      <w:tr w:rsidR="00E6366C" w14:paraId="12D944BA" w14:textId="77777777">
        <w:trPr>
          <w:jc w:val="center"/>
        </w:trPr>
        <w:tc>
          <w:tcPr>
            <w:tcW w:w="3216" w:type="dxa"/>
          </w:tcPr>
          <w:p w:rsidR="00E6366C" w:rsidRDefault="00D97CF1" w14:paraId="5C687A50" w14:textId="77777777">
            <w:pPr>
              <w:spacing w:before="20" w:after="20"/>
            </w:pPr>
            <w:r>
              <w:rPr>
                <w:sz w:val="19"/>
              </w:rPr>
              <w:t>Multi-language backend</w:t>
            </w:r>
          </w:p>
        </w:tc>
        <w:tc>
          <w:tcPr>
            <w:tcW w:w="3216" w:type="dxa"/>
          </w:tcPr>
          <w:p w:rsidR="00E6366C" w:rsidRDefault="00D97CF1" w14:paraId="35492B50" w14:textId="77777777">
            <w:pPr>
              <w:spacing w:before="20" w:after="20"/>
            </w:pPr>
            <w:r>
              <w:rPr>
                <w:sz w:val="19"/>
              </w:rPr>
              <w:t>Node.js + .NET + Python + Java</w:t>
            </w:r>
          </w:p>
        </w:tc>
        <w:tc>
          <w:tcPr>
            <w:tcW w:w="3216" w:type="dxa"/>
          </w:tcPr>
          <w:p w:rsidR="00E6366C" w:rsidRDefault="00D97CF1" w14:paraId="300F6886" w14:textId="77777777">
            <w:pPr>
              <w:spacing w:before="20" w:after="20"/>
            </w:pPr>
            <w:r>
              <w:rPr>
                <w:sz w:val="19"/>
              </w:rPr>
              <w:t>Matching language to workload type — concurrency (Node), financial safety (.NET), ML ecosystem (Python), hardware SDKs (Java) — produces better software than forcing a single language to do everything badly</w:t>
            </w:r>
          </w:p>
        </w:tc>
      </w:tr>
      <w:tr w:rsidR="00E6366C" w14:paraId="799B4372" w14:textId="77777777">
        <w:trPr>
          <w:jc w:val="center"/>
        </w:trPr>
        <w:tc>
          <w:tcPr>
            <w:tcW w:w="3216" w:type="dxa"/>
            <w:shd w:val="clear" w:color="auto" w:fill="EEF3F8"/>
          </w:tcPr>
          <w:p w:rsidR="00E6366C" w:rsidRDefault="00D97CF1" w14:paraId="19B49D7B" w14:textId="77777777">
            <w:pPr>
              <w:spacing w:before="20" w:after="20"/>
            </w:pPr>
            <w:r>
              <w:rPr>
                <w:sz w:val="19"/>
              </w:rPr>
              <w:t>React Native for mobile</w:t>
            </w:r>
          </w:p>
        </w:tc>
        <w:tc>
          <w:tcPr>
            <w:tcW w:w="3216" w:type="dxa"/>
            <w:shd w:val="clear" w:color="auto" w:fill="EEF3F8"/>
          </w:tcPr>
          <w:p w:rsidR="00E6366C" w:rsidRDefault="00D97CF1" w14:paraId="5CA1B870" w14:textId="77777777">
            <w:pPr>
              <w:spacing w:before="20" w:after="20"/>
            </w:pPr>
            <w:r>
              <w:rPr>
                <w:sz w:val="19"/>
              </w:rPr>
              <w:t>Single codebase, two platforms</w:t>
            </w:r>
          </w:p>
        </w:tc>
        <w:tc>
          <w:tcPr>
            <w:tcW w:w="3216" w:type="dxa"/>
            <w:shd w:val="clear" w:color="auto" w:fill="EEF3F8"/>
          </w:tcPr>
          <w:p w:rsidR="00E6366C" w:rsidRDefault="00D97CF1" w14:paraId="254F1D63" w14:textId="77777777">
            <w:pPr>
              <w:spacing w:before="20" w:after="20"/>
            </w:pPr>
            <w:r>
              <w:rPr>
                <w:sz w:val="19"/>
              </w:rPr>
              <w:t>Shared logic with React web; WatermelonDB offline capability; OTA updates via Expo/CodePush for JS bundle changes without App Store submissions</w:t>
            </w:r>
          </w:p>
        </w:tc>
      </w:tr>
      <w:tr w:rsidR="00E6366C" w14:paraId="179A9104" w14:textId="77777777">
        <w:trPr>
          <w:jc w:val="center"/>
        </w:trPr>
        <w:tc>
          <w:tcPr>
            <w:tcW w:w="3216" w:type="dxa"/>
          </w:tcPr>
          <w:p w:rsidR="00E6366C" w:rsidRDefault="00D97CF1" w14:paraId="670A1BF9" w14:textId="77777777">
            <w:pPr>
              <w:spacing w:before="20" w:after="20"/>
            </w:pPr>
            <w:r>
              <w:rPr>
                <w:sz w:val="19"/>
              </w:rPr>
              <w:t>Kafka for messaging</w:t>
            </w:r>
          </w:p>
        </w:tc>
        <w:tc>
          <w:tcPr>
            <w:tcW w:w="3216" w:type="dxa"/>
          </w:tcPr>
          <w:p w:rsidR="00E6366C" w:rsidRDefault="00D97CF1" w14:paraId="7D414835" w14:textId="77777777">
            <w:pPr>
              <w:spacing w:before="20" w:after="20"/>
            </w:pPr>
            <w:r>
              <w:rPr>
                <w:sz w:val="19"/>
              </w:rPr>
              <w:t>Event streaming over REST calls</w:t>
            </w:r>
          </w:p>
        </w:tc>
        <w:tc>
          <w:tcPr>
            <w:tcW w:w="3216" w:type="dxa"/>
          </w:tcPr>
          <w:p w:rsidR="00E6366C" w:rsidRDefault="00D97CF1" w14:paraId="5B5BDDA8" w14:textId="77777777">
            <w:pPr>
              <w:spacing w:before="20" w:after="20"/>
            </w:pPr>
            <w:r>
              <w:rPr>
                <w:sz w:val="19"/>
              </w:rPr>
              <w:t>Domain decoupling without tight coupling; immutable event log for audit; replay capability for debugging; AI/ML data pipeline for free as a side effect</w:t>
            </w:r>
          </w:p>
        </w:tc>
      </w:tr>
      <w:tr w:rsidR="00E6366C" w14:paraId="55A0538B" w14:textId="77777777">
        <w:trPr>
          <w:jc w:val="center"/>
        </w:trPr>
        <w:tc>
          <w:tcPr>
            <w:tcW w:w="3216" w:type="dxa"/>
            <w:shd w:val="clear" w:color="auto" w:fill="EEF3F8"/>
          </w:tcPr>
          <w:p w:rsidR="00E6366C" w:rsidRDefault="00D97CF1" w14:paraId="0EAA8D8B" w14:textId="77777777">
            <w:pPr>
              <w:spacing w:before="20" w:after="20"/>
            </w:pPr>
            <w:r>
              <w:rPr>
                <w:sz w:val="19"/>
              </w:rPr>
              <w:t>Qdrant over pgvector</w:t>
            </w:r>
          </w:p>
        </w:tc>
        <w:tc>
          <w:tcPr>
            <w:tcW w:w="3216" w:type="dxa"/>
            <w:shd w:val="clear" w:color="auto" w:fill="EEF3F8"/>
          </w:tcPr>
          <w:p w:rsidR="00E6366C" w:rsidRDefault="00D97CF1" w14:paraId="2BA78602" w14:textId="77777777">
            <w:pPr>
              <w:spacing w:before="20" w:after="20"/>
            </w:pPr>
            <w:r>
              <w:rPr>
                <w:sz w:val="19"/>
              </w:rPr>
              <w:t>Dedicated vector store</w:t>
            </w:r>
          </w:p>
        </w:tc>
        <w:tc>
          <w:tcPr>
            <w:tcW w:w="3216" w:type="dxa"/>
            <w:shd w:val="clear" w:color="auto" w:fill="EEF3F8"/>
          </w:tcPr>
          <w:p w:rsidR="00E6366C" w:rsidRDefault="00D97CF1" w14:paraId="259BA620" w14:textId="77777777">
            <w:pPr>
              <w:spacing w:before="20" w:after="20"/>
            </w:pPr>
            <w:r>
              <w:rPr>
                <w:sz w:val="19"/>
              </w:rPr>
              <w:t>Pre-filters by tenant_id during ANN search, not after — critical at multi-tenant scale. pgvector scans all tenants’ vectors before discarding; Qdrant never touches them.</w:t>
            </w:r>
          </w:p>
        </w:tc>
      </w:tr>
      <w:tr w:rsidR="00E6366C" w14:paraId="4EFAC8BE" w14:textId="77777777">
        <w:trPr>
          <w:jc w:val="center"/>
        </w:trPr>
        <w:tc>
          <w:tcPr>
            <w:tcW w:w="3216" w:type="dxa"/>
          </w:tcPr>
          <w:p w:rsidR="00E6366C" w:rsidRDefault="00D97CF1" w14:paraId="13A1DE5F" w14:textId="77777777">
            <w:pPr>
              <w:spacing w:before="20" w:after="20"/>
            </w:pPr>
            <w:r>
              <w:rPr>
                <w:sz w:val="19"/>
              </w:rPr>
              <w:t>Kong self-hosted over cloud gateway</w:t>
            </w:r>
          </w:p>
        </w:tc>
        <w:tc>
          <w:tcPr>
            <w:tcW w:w="3216" w:type="dxa"/>
          </w:tcPr>
          <w:p w:rsidR="00E6366C" w:rsidRDefault="00D97CF1" w14:paraId="36451820" w14:textId="77777777">
            <w:pPr>
              <w:spacing w:before="20" w:after="20"/>
            </w:pPr>
            <w:r>
              <w:rPr>
                <w:sz w:val="19"/>
              </w:rPr>
              <w:t>Cloud-agnostic API management</w:t>
            </w:r>
          </w:p>
        </w:tc>
        <w:tc>
          <w:tcPr>
            <w:tcW w:w="3216" w:type="dxa"/>
          </w:tcPr>
          <w:p w:rsidR="00E6366C" w:rsidRDefault="00D97CF1" w14:paraId="5D38E51E" w14:textId="77777777">
            <w:pPr>
              <w:spacing w:before="20" w:after="20"/>
            </w:pPr>
            <w:r>
              <w:rPr>
                <w:sz w:val="19"/>
              </w:rPr>
              <w:t>AWS API Gateway and Azure APIM are excellent but cloud-specific. Kong runs identically everywhere — the developer portal, rate limiting, and auth features work the same on AWS, on-prem, or during a cloud migration.</w:t>
            </w:r>
          </w:p>
        </w:tc>
      </w:tr>
      <w:tr w:rsidR="00E6366C" w14:paraId="0FCA0A0B" w14:textId="77777777">
        <w:trPr>
          <w:jc w:val="center"/>
        </w:trPr>
        <w:tc>
          <w:tcPr>
            <w:tcW w:w="3216" w:type="dxa"/>
            <w:shd w:val="clear" w:color="auto" w:fill="EEF3F8"/>
          </w:tcPr>
          <w:p w:rsidR="00E6366C" w:rsidRDefault="00D97CF1" w14:paraId="5777935D" w14:textId="77777777">
            <w:pPr>
              <w:spacing w:before="20" w:after="20"/>
            </w:pPr>
            <w:r>
              <w:rPr>
                <w:sz w:val="19"/>
              </w:rPr>
              <w:t>Kubernetes over managed PaaS</w:t>
            </w:r>
          </w:p>
        </w:tc>
        <w:tc>
          <w:tcPr>
            <w:tcW w:w="3216" w:type="dxa"/>
            <w:shd w:val="clear" w:color="auto" w:fill="EEF3F8"/>
          </w:tcPr>
          <w:p w:rsidR="00E6366C" w:rsidRDefault="00D97CF1" w14:paraId="663AF05D" w14:textId="77777777">
            <w:pPr>
              <w:spacing w:before="20" w:after="20"/>
            </w:pPr>
            <w:r>
              <w:rPr>
                <w:sz w:val="19"/>
              </w:rPr>
              <w:t>Infrastructure portability</w:t>
            </w:r>
          </w:p>
        </w:tc>
        <w:tc>
          <w:tcPr>
            <w:tcW w:w="3216" w:type="dxa"/>
            <w:shd w:val="clear" w:color="auto" w:fill="EEF3F8"/>
          </w:tcPr>
          <w:p w:rsidR="00E6366C" w:rsidRDefault="00D97CF1" w14:paraId="79D82062" w14:textId="77777777">
            <w:pPr>
              <w:spacing w:before="20" w:after="20"/>
            </w:pPr>
            <w:r>
              <w:rPr>
                <w:sz w:val="19"/>
              </w:rPr>
              <w:t>PaaS lock-in is invisible until you want to leave. Kubernetes runs on every cloud and on private infrastructure. The Terraform IaC delivered at handover means the client’s team can provision, modify, and migrate without vendor involvement.</w:t>
            </w:r>
          </w:p>
        </w:tc>
      </w:tr>
      <w:tr w:rsidR="00E6366C" w14:paraId="4B0F99D6" w14:textId="77777777">
        <w:trPr>
          <w:jc w:val="center"/>
        </w:trPr>
        <w:tc>
          <w:tcPr>
            <w:tcW w:w="3216" w:type="dxa"/>
          </w:tcPr>
          <w:p w:rsidR="00E6366C" w:rsidRDefault="00D97CF1" w14:paraId="080A065C" w14:textId="77777777">
            <w:pPr>
              <w:spacing w:before="20" w:after="20"/>
            </w:pPr>
            <w:r>
              <w:rPr>
                <w:sz w:val="19"/>
              </w:rPr>
              <w:t>PostgreSQL for financial data</w:t>
            </w:r>
          </w:p>
        </w:tc>
        <w:tc>
          <w:tcPr>
            <w:tcW w:w="3216" w:type="dxa"/>
          </w:tcPr>
          <w:p w:rsidR="00E6366C" w:rsidRDefault="00D97CF1" w14:paraId="0BFB5DFC" w14:textId="77777777">
            <w:pPr>
              <w:spacing w:before="20" w:after="20"/>
            </w:pPr>
            <w:r>
              <w:rPr>
                <w:sz w:val="19"/>
              </w:rPr>
              <w:t>.NET + PostgreSQL for Finance Service</w:t>
            </w:r>
          </w:p>
        </w:tc>
        <w:tc>
          <w:tcPr>
            <w:tcW w:w="3216" w:type="dxa"/>
          </w:tcPr>
          <w:p w:rsidR="00E6366C" w:rsidRDefault="00D97CF1" w14:paraId="0C668A79" w14:textId="77777777">
            <w:pPr>
              <w:spacing w:before="20" w:after="20"/>
            </w:pPr>
            <w:r>
              <w:rPr>
                <w:sz w:val="19"/>
              </w:rPr>
              <w:t>This combination has the deepest production history in financial systems. ACID compliance, mature transaction isolation, and point-in-time recovery are non-negotiable for a double-entry ledger. No other combination in the available stack provides all three at production scale.</w:t>
            </w:r>
          </w:p>
        </w:tc>
      </w:tr>
    </w:tbl>
    <w:p w:rsidR="00E6366C" w:rsidRDefault="00E6366C" w14:paraId="0D0B940D" w14:textId="77777777">
      <w:pPr>
        <w:spacing w:after="40"/>
      </w:pPr>
    </w:p>
    <w:tbl>
      <w:tblPr>
        <w:tblStyle w:val="TableGrid"/>
        <w:tblW w:w="0" w:type="auto"/>
        <w:jc w:val="center"/>
        <w:tblLook w:val="04A0" w:firstRow="1" w:lastRow="0" w:firstColumn="1" w:lastColumn="0" w:noHBand="0" w:noVBand="1"/>
      </w:tblPr>
      <w:tblGrid>
        <w:gridCol w:w="9648"/>
      </w:tblGrid>
      <w:tr w:rsidR="00E6366C" w14:paraId="1AD38FB8" w14:textId="77777777">
        <w:trPr>
          <w:jc w:val="center"/>
        </w:trPr>
        <w:tc>
          <w:tcPr>
            <w:tcW w:w="9648" w:type="dxa"/>
            <w:shd w:val="clear" w:color="auto" w:fill="1F3864"/>
          </w:tcPr>
          <w:p w:rsidR="00E6366C" w:rsidRDefault="00D97CF1" w14:paraId="1FFE8C6C" w14:textId="77777777">
            <w:pPr>
              <w:spacing w:before="20" w:after="20"/>
            </w:pPr>
            <w:r>
              <w:rPr>
                <w:b/>
                <w:color w:val="FFFFFF"/>
                <w:sz w:val="19"/>
              </w:rPr>
              <w:t>Chapter 2 (continued) Multi-Tenancy Strategy</w:t>
            </w:r>
          </w:p>
        </w:tc>
      </w:tr>
    </w:tbl>
    <w:p w:rsidR="00E6366C" w:rsidRDefault="00E6366C" w14:paraId="0E27B00A" w14:textId="77777777">
      <w:pPr>
        <w:spacing w:after="40"/>
      </w:pPr>
    </w:p>
    <w:p w:rsidR="00E6366C" w:rsidRDefault="00D97CF1" w14:paraId="2AE12A5C" w14:textId="77777777">
      <w:pPr>
        <w:spacing w:after="80"/>
      </w:pPr>
      <w:r>
        <w:rPr>
          <w:i/>
          <w:color w:val="555555"/>
          <w:sz w:val="18"/>
        </w:rPr>
        <w:t>Figure 2.3 — Tenancy Hierarchy: Six Levels from Tenant to Department</w:t>
      </w:r>
    </w:p>
    <w:p w:rsidR="00E6366C" w:rsidRDefault="00D97CF1" w14:paraId="4BCEF2B8" w14:textId="77777777">
      <w:pPr>
        <w:pStyle w:val="Heading1"/>
        <w:spacing w:before="280" w:after="120"/>
      </w:pPr>
      <w:r>
        <w:rPr>
          <w:color w:val="1F3864"/>
          <w:sz w:val="36"/>
        </w:rPr>
        <w:t>Multi-Tenancy Strategy</w:t>
      </w:r>
    </w:p>
    <w:p w:rsidR="00E6366C" w:rsidRDefault="00D97CF1" w14:paraId="0464DE35" w14:textId="77777777">
      <w:pPr>
        <w:spacing w:after="120" w:line="259" w:lineRule="auto"/>
      </w:pPr>
      <w:r>
        <w:rPr>
          <w:i/>
          <w:color w:val="555555"/>
        </w:rPr>
        <w:t>The tenancy model is the most consequential architectural decision in a SaaS platform. Get it wrong and you face security incidents, performance problems that are architectural in nature and therefore expensive to fix, and a commercial distribution model that does not work.</w:t>
      </w:r>
    </w:p>
    <w:p w:rsidR="00E6366C" w:rsidRDefault="00D97CF1" w14:paraId="5D3B23CE" w14:textId="77777777">
      <w:pPr>
        <w:spacing w:after="120" w:line="259" w:lineRule="auto"/>
      </w:pPr>
      <w:r>
        <w:t>TAIS uses a hybrid tenancy model: shared application infrastructure with logical data isolation as the default, plus optional dedicated database resources for tenants that require it. This is not a compromise position — it is the correct model for a platform that must serve both small venues launching on shared infrastructure and large enterprise operators with regulatory data sovereignty requirements, from the same codebase and the same admin interface.</w:t>
      </w:r>
    </w:p>
    <w:p w:rsidR="00E6366C" w:rsidRDefault="00D97CF1" w14:paraId="79F3CF13" w14:textId="77777777">
      <w:pPr>
        <w:pStyle w:val="Heading2"/>
        <w:spacing w:after="80"/>
      </w:pPr>
      <w:r>
        <w:rPr>
          <w:color w:val="2E75B6"/>
          <w:sz w:val="28"/>
        </w:rPr>
        <w:t>Tenancy Hierarchy</w:t>
      </w:r>
    </w:p>
    <w:p w:rsidR="00E6366C" w:rsidRDefault="00D97CF1" w14:paraId="72057122" w14:textId="77777777">
      <w:pPr>
        <w:spacing w:after="120" w:line="259" w:lineRule="auto"/>
      </w:pPr>
      <w:r>
        <w:t>The platform organises the operational world into six levels, each reflecting a real structure in how venue groups operate. The hierarchy is ordered so that regional consolidation sits directly beneath the tenant — a venue group can answer "which region is generating the most business" before drilling into individual brands and venues.</w:t>
      </w:r>
    </w:p>
    <w:tbl>
      <w:tblPr>
        <w:tblStyle w:val="TableGrid"/>
        <w:tblW w:w="0" w:type="auto"/>
        <w:jc w:val="center"/>
        <w:tblLook w:val="04A0" w:firstRow="1" w:lastRow="0" w:firstColumn="1" w:lastColumn="0" w:noHBand="0" w:noVBand="1"/>
      </w:tblPr>
      <w:tblGrid>
        <w:gridCol w:w="4824"/>
        <w:gridCol w:w="4824"/>
      </w:tblGrid>
      <w:tr w:rsidR="00E6366C" w14:paraId="65119B0F" w14:textId="77777777">
        <w:trPr>
          <w:jc w:val="center"/>
        </w:trPr>
        <w:tc>
          <w:tcPr>
            <w:tcW w:w="4824" w:type="dxa"/>
            <w:shd w:val="clear" w:color="auto" w:fill="1F3864"/>
          </w:tcPr>
          <w:p w:rsidR="00E6366C" w:rsidRDefault="00D97CF1" w14:paraId="0CFFFD6B" w14:textId="77777777">
            <w:pPr>
              <w:spacing w:before="20" w:after="20"/>
            </w:pPr>
            <w:r>
              <w:rPr>
                <w:b/>
                <w:color w:val="FFFFFF"/>
                <w:sz w:val="19"/>
              </w:rPr>
              <w:t>Level</w:t>
            </w:r>
          </w:p>
        </w:tc>
        <w:tc>
          <w:tcPr>
            <w:tcW w:w="4824" w:type="dxa"/>
            <w:shd w:val="clear" w:color="auto" w:fill="1F3864"/>
          </w:tcPr>
          <w:p w:rsidR="00E6366C" w:rsidRDefault="00D97CF1" w14:paraId="31FF54C8" w14:textId="77777777">
            <w:pPr>
              <w:spacing w:before="20" w:after="20"/>
            </w:pPr>
            <w:r>
              <w:rPr>
                <w:b/>
                <w:color w:val="FFFFFF"/>
                <w:sz w:val="19"/>
              </w:rPr>
              <w:t>Description</w:t>
            </w:r>
          </w:p>
        </w:tc>
      </w:tr>
      <w:tr w:rsidR="00E6366C" w14:paraId="0645B4F5" w14:textId="77777777">
        <w:trPr>
          <w:jc w:val="center"/>
        </w:trPr>
        <w:tc>
          <w:tcPr>
            <w:tcW w:w="4824" w:type="dxa"/>
          </w:tcPr>
          <w:p w:rsidR="00E6366C" w:rsidRDefault="00D97CF1" w14:paraId="2FE75405" w14:textId="77777777">
            <w:pPr>
              <w:spacing w:before="20" w:after="20"/>
            </w:pPr>
            <w:r>
              <w:rPr>
                <w:sz w:val="19"/>
              </w:rPr>
              <w:t>Tenant</w:t>
            </w:r>
          </w:p>
        </w:tc>
        <w:tc>
          <w:tcPr>
            <w:tcW w:w="4824" w:type="dxa"/>
          </w:tcPr>
          <w:p w:rsidR="00E6366C" w:rsidRDefault="00D97CF1" w14:paraId="1F410720" w14:textId="77777777">
            <w:pPr>
              <w:spacing w:before="20" w:after="20"/>
            </w:pPr>
            <w:r>
              <w:rPr>
                <w:sz w:val="19"/>
              </w:rPr>
              <w:t>The top-level commercial entity. A theme park group operating multiple brands across multiple emirates is a single tenant. The entire organisation’s configuration, billing, and branding lives here.</w:t>
            </w:r>
          </w:p>
        </w:tc>
      </w:tr>
      <w:tr w:rsidR="00E6366C" w14:paraId="4B0C91D4" w14:textId="77777777">
        <w:trPr>
          <w:jc w:val="center"/>
        </w:trPr>
        <w:tc>
          <w:tcPr>
            <w:tcW w:w="4824" w:type="dxa"/>
            <w:shd w:val="clear" w:color="auto" w:fill="EEF3F8"/>
          </w:tcPr>
          <w:p w:rsidR="00E6366C" w:rsidRDefault="00D97CF1" w14:paraId="455C471F" w14:textId="77777777">
            <w:pPr>
              <w:spacing w:before="20" w:after="20"/>
            </w:pPr>
            <w:r>
              <w:rPr>
                <w:sz w:val="19"/>
              </w:rPr>
              <w:t>Region</w:t>
            </w:r>
          </w:p>
        </w:tc>
        <w:tc>
          <w:tcPr>
            <w:tcW w:w="4824" w:type="dxa"/>
            <w:shd w:val="clear" w:color="auto" w:fill="EEF3F8"/>
          </w:tcPr>
          <w:p w:rsidR="00E6366C" w:rsidRDefault="00D97CF1" w14:paraId="25E53B7F" w14:textId="77777777">
            <w:pPr>
              <w:spacing w:before="20" w:after="20"/>
            </w:pPr>
            <w:r>
              <w:rPr>
                <w:sz w:val="19"/>
              </w:rPr>
              <w:t>Geographic grouping directly beneath the tenant — for example Dubai and Abu Dhabi. Regional consolidation is a first-class reporting and governance boundary: a tenant can compare performance across regions, then drill down into the brands and venues within each.</w:t>
            </w:r>
          </w:p>
        </w:tc>
      </w:tr>
      <w:tr w:rsidR="00E6366C" w14:paraId="2456E59B" w14:textId="77777777">
        <w:trPr>
          <w:jc w:val="center"/>
        </w:trPr>
        <w:tc>
          <w:tcPr>
            <w:tcW w:w="4824" w:type="dxa"/>
          </w:tcPr>
          <w:p w:rsidR="00E6366C" w:rsidRDefault="00D97CF1" w14:paraId="035CCE5B" w14:textId="77777777">
            <w:pPr>
              <w:spacing w:before="20" w:after="20"/>
            </w:pPr>
            <w:r>
              <w:rPr>
                <w:sz w:val="19"/>
              </w:rPr>
              <w:t>Organisation / Brand</w:t>
            </w:r>
          </w:p>
        </w:tc>
        <w:tc>
          <w:tcPr>
            <w:tcW w:w="4824" w:type="dxa"/>
          </w:tcPr>
          <w:p w:rsidR="00E6366C" w:rsidRDefault="00D97CF1" w14:paraId="3EAAE882" w14:textId="77777777">
            <w:pPr>
              <w:spacing w:before="20" w:after="20"/>
            </w:pPr>
            <w:r>
              <w:rPr>
                <w:sz w:val="19"/>
              </w:rPr>
              <w:t>A brand or sub-entity within a region. WaterWorld and Adventure Park are separate organisations — different guest-facing identities, different product catalogs — consolidated under their region and tenant.</w:t>
            </w:r>
          </w:p>
        </w:tc>
      </w:tr>
      <w:tr w:rsidR="00E6366C" w14:paraId="300A1772" w14:textId="77777777">
        <w:trPr>
          <w:jc w:val="center"/>
        </w:trPr>
        <w:tc>
          <w:tcPr>
            <w:tcW w:w="4824" w:type="dxa"/>
            <w:shd w:val="clear" w:color="auto" w:fill="EEF3F8"/>
          </w:tcPr>
          <w:p w:rsidR="00E6366C" w:rsidRDefault="00D97CF1" w14:paraId="73C2FB78" w14:textId="77777777">
            <w:pPr>
              <w:spacing w:before="20" w:after="20"/>
            </w:pPr>
            <w:r>
              <w:rPr>
                <w:sz w:val="19"/>
              </w:rPr>
              <w:t>Venue</w:t>
            </w:r>
          </w:p>
        </w:tc>
        <w:tc>
          <w:tcPr>
            <w:tcW w:w="4824" w:type="dxa"/>
            <w:shd w:val="clear" w:color="auto" w:fill="EEF3F8"/>
          </w:tcPr>
          <w:p w:rsidR="00E6366C" w:rsidRDefault="00D97CF1" w14:paraId="30E55B7A" w14:textId="77777777">
            <w:pPr>
              <w:spacing w:before="20" w:after="20"/>
            </w:pPr>
            <w:r>
              <w:rPr>
                <w:sz w:val="19"/>
              </w:rPr>
              <w:t>A physical location with its own operational rules, opening hours, pricing configuration, ticketing zones, and access control setup. The unit where day-to-day operations happen.</w:t>
            </w:r>
          </w:p>
        </w:tc>
      </w:tr>
      <w:tr w:rsidR="00E6366C" w14:paraId="45107C49" w14:textId="77777777">
        <w:trPr>
          <w:jc w:val="center"/>
        </w:trPr>
        <w:tc>
          <w:tcPr>
            <w:tcW w:w="4824" w:type="dxa"/>
          </w:tcPr>
          <w:p w:rsidR="00E6366C" w:rsidRDefault="00D97CF1" w14:paraId="51EE812C" w14:textId="77777777">
            <w:pPr>
              <w:spacing w:before="20" w:after="20"/>
            </w:pPr>
            <w:r>
              <w:rPr>
                <w:sz w:val="19"/>
              </w:rPr>
              <w:t>Department Type</w:t>
            </w:r>
          </w:p>
        </w:tc>
        <w:tc>
          <w:tcPr>
            <w:tcW w:w="4824" w:type="dxa"/>
          </w:tcPr>
          <w:p w:rsidR="00E6366C" w:rsidRDefault="00D97CF1" w14:paraId="72DE6780" w14:textId="77777777">
            <w:pPr>
              <w:spacing w:before="20" w:after="20"/>
            </w:pPr>
            <w:r>
              <w:rPr>
                <w:sz w:val="19"/>
              </w:rPr>
              <w:t>A classification layer within a venue: Ticketing, F&amp;B, Retail, Attractions. Department Types group the venue’s operational areas and drive consolidated reporting by function across the estate.</w:t>
            </w:r>
          </w:p>
        </w:tc>
      </w:tr>
      <w:tr w:rsidR="00E6366C" w14:paraId="4F6BCA5D" w14:textId="77777777">
        <w:trPr>
          <w:jc w:val="center"/>
        </w:trPr>
        <w:tc>
          <w:tcPr>
            <w:tcW w:w="4824" w:type="dxa"/>
            <w:shd w:val="clear" w:color="auto" w:fill="EEF3F8"/>
          </w:tcPr>
          <w:p w:rsidR="00E6366C" w:rsidRDefault="00D97CF1" w14:paraId="62338ADB" w14:textId="77777777">
            <w:pPr>
              <w:spacing w:before="20" w:after="20"/>
            </w:pPr>
            <w:r>
              <w:rPr>
                <w:sz w:val="19"/>
              </w:rPr>
              <w:t>Department / Outlet</w:t>
            </w:r>
          </w:p>
        </w:tc>
        <w:tc>
          <w:tcPr>
            <w:tcW w:w="4824" w:type="dxa"/>
            <w:shd w:val="clear" w:color="auto" w:fill="EEF3F8"/>
          </w:tcPr>
          <w:p w:rsidR="00E6366C" w:rsidRDefault="00D97CF1" w14:paraId="190535C8" w14:textId="77777777">
            <w:pPr>
              <w:spacing w:before="20" w:after="20"/>
            </w:pPr>
            <w:r>
              <w:rPr>
                <w:sz w:val="19"/>
              </w:rPr>
              <w:t>The specific operational unit within a Department Type — main entrance, lockers and rentals under Ticketing; individual outlet names under F&amp;B and Retail. Each has its own reporting scope and, optionally, its own operational staff permissions.</w:t>
            </w:r>
          </w:p>
        </w:tc>
      </w:tr>
    </w:tbl>
    <w:p w:rsidR="00E6366C" w:rsidRDefault="00E6366C" w14:paraId="60061E4C" w14:textId="77777777">
      <w:pPr>
        <w:spacing w:after="40"/>
      </w:pPr>
    </w:p>
    <w:p w:rsidR="00E6366C" w:rsidRDefault="00D97CF1" w14:paraId="47E038EF" w14:textId="77777777">
      <w:pPr>
        <w:spacing w:after="120" w:line="259" w:lineRule="auto"/>
      </w:pPr>
      <w:r>
        <w:rPr>
          <w:b/>
        </w:rPr>
        <w:t>Configuration isolation and cross-tenant cross-sell.</w:t>
      </w:r>
      <w:r>
        <w:t xml:space="preserve"> Two requirements govern how configuration and commerce behave across this hierarchy. First, configuration is isolated between venues and brands by default — Park A's configuration is not visible to, and cannot be altered from, Park B. Second, despite that isolation, the platform supports cross-sell combo products that span multiple parks or brands within a tenant: a single bundled product can include admission to Park A and Park B, with revenue correctly attributed to each venue's ledger. Isolation protects operational independence; the combo-product capability protects commercial flexibility. Both are configured from the same admin interface.</w:t>
      </w:r>
    </w:p>
    <w:p w:rsidR="00E6366C" w:rsidRDefault="00D97CF1" w14:paraId="5902BB99" w14:textId="77777777">
      <w:pPr>
        <w:spacing w:after="120" w:line="259" w:lineRule="auto"/>
      </w:pPr>
      <w:r>
        <w:t>Every piece of data in the system — every transaction, customer record, ticket, inventory item, staff record, and audit log entry — is tagged at creation with its complete tenancy context. This is enforced at the database access layer via PostgreSQL Row-Level Security, not in application code. The distinction is critical: application-layer isolation can be bypassed by a bug. Database-layer isolation cannot. If the application code mistakenly omits a tenant filter from a query, the RLS policy enforces it anyway — the query returns an empty result set rather than cross-tenant data.</w:t>
      </w:r>
    </w:p>
    <w:p w:rsidR="00E6366C" w:rsidRDefault="00D97CF1" w14:paraId="16A0782A" w14:textId="77777777">
      <w:pPr>
        <w:pStyle w:val="Heading2"/>
        <w:spacing w:after="80"/>
      </w:pPr>
      <w:r>
        <w:rPr>
          <w:color w:val="2E75B6"/>
          <w:sz w:val="28"/>
        </w:rPr>
        <w:t>Default Model — Shared Infrastructure, Logical Isolation</w:t>
      </w:r>
    </w:p>
    <w:p w:rsidR="00E6366C" w:rsidRDefault="00D97CF1" w14:paraId="74AAC354" w14:textId="77777777">
      <w:pPr>
        <w:spacing w:after="120" w:line="259" w:lineRule="auto"/>
      </w:pPr>
      <w:r>
        <w:t>All tenants run on the same Kubernetes cluster and the same PostgreSQL database cluster. What separates them is data — every tenant-scoped table has a tenant_id column, and RLS policies enforce that every session can only see rows belonging to the authenticated tenant. The tenant_id is injected from the JWT at connection time, before any query executes. A connection opened for Tenant A cannot serve a query for Tenant B — not because the application checked, but because the database engine enforces it.</w:t>
      </w:r>
    </w:p>
    <w:p w:rsidR="00E6366C" w:rsidRDefault="00D97CF1" w14:paraId="6722FE18" w14:textId="77777777">
      <w:pPr>
        <w:spacing w:after="120" w:line="259" w:lineRule="auto"/>
      </w:pPr>
      <w:r>
        <w:t>Isolation extends beyond PostgreSQL. Qdrant applies tenant_id payload filters during the ANN vector search — not after — so a semantic search query never touches vectors belonging to another tenant. Redis key namespaces are prefixed with tenant:{id}:, ensuring cache entries cannot bleed between tenants. Each tenant gets a dedicated Kafka topic prefix for event streaming, preventing cross-tenant event visibility. Elasticsearch uses a separate index per tenant. File storage uses a separate bucket or prefix per tenant. The audit log stream is tenant-scoped — platform administrators cannot read tenant audit logs without explicit cross-tenant authorisation, which itself generates an audit entry.</w:t>
      </w:r>
    </w:p>
    <w:p w:rsidR="00E6366C" w:rsidRDefault="00D97CF1" w14:paraId="14DC5C40" w14:textId="77777777">
      <w:pPr>
        <w:spacing w:after="120" w:line="259" w:lineRule="auto"/>
      </w:pPr>
      <w:r>
        <w:t>The practical implication is fast, low-cost onboarding. A new venue on an existing tenant is a configuration operation completed in under one business day. No infrastructure change, no database provisioning, no Kubernetes namespace creation. The platform administrator runs through a ten-step configuration sequence — tenant record, venue record, regional settings, chart of accounts, product catalog, access zones, staff RBAC, payment gateway credentials, integrations, sandbox validation — and the venue is ready.</w:t>
      </w:r>
    </w:p>
    <w:p w:rsidR="00E6366C" w:rsidRDefault="00D97CF1" w14:paraId="07167120" w14:textId="77777777">
      <w:pPr>
        <w:spacing w:after="80"/>
      </w:pPr>
      <w:r>
        <w:rPr>
          <w:i/>
          <w:color w:val="555555"/>
          <w:sz w:val="18"/>
        </w:rPr>
        <w:t>Figure 2.4 — Multi-Tenancy: Shared Infrastructure (Default) vs Dedicated Database (Optional)</w:t>
      </w:r>
    </w:p>
    <w:p w:rsidR="00E6366C" w:rsidRDefault="00D97CF1" w14:paraId="7930D3BA" w14:textId="77777777">
      <w:pPr>
        <w:pStyle w:val="Heading2"/>
        <w:spacing w:after="80"/>
      </w:pPr>
      <w:r>
        <w:rPr>
          <w:color w:val="2E75B6"/>
          <w:sz w:val="28"/>
        </w:rPr>
        <w:t>Optional Model — Dedicated Database per Tenant</w:t>
      </w:r>
    </w:p>
    <w:p w:rsidR="00E6366C" w:rsidRDefault="00D97CF1" w14:paraId="46FAA023" w14:textId="77777777">
      <w:pPr>
        <w:spacing w:after="120" w:line="259" w:lineRule="auto"/>
      </w:pPr>
      <w:r>
        <w:t>For tenants with enterprise data sovereignty requirements, regulatory compliance obligations, or commercial arrangements that mandate physical data separation, the platform supports provisioning a dedicated PostgreSQL instance for that tenant. The application services remain shared — the data access layer routes queries to the correct database endpoint transparently, based on the tenant configuration record. The same codebase, the same application containers, serving both shared and dedicated database tenants simultaneously.</w:t>
      </w:r>
    </w:p>
    <w:p w:rsidR="00E6366C" w:rsidRDefault="00D97CF1" w14:paraId="7B441633" w14:textId="77777777">
      <w:pPr>
        <w:spacing w:after="120" w:line="259" w:lineRule="auto"/>
      </w:pPr>
      <w:r>
        <w:t>This model means TAIS can accommodate the full spectrum of operator requirements: a new independent venue on shared infrastructure at low cost, a regional park group requiring dedicated isolation, and a large enterprise operator with strict regulatory data sovereignty — all on the same platform, all managed through the same admin interface. Commercial tiering is handled through tenant-level feature flags rather than separate platform deployments.</w:t>
      </w:r>
    </w:p>
    <w:p w:rsidR="00E6366C" w:rsidRDefault="00D97CF1" w14:paraId="0B1B73F4" w14:textId="77777777">
      <w:pPr>
        <w:pStyle w:val="Heading2"/>
        <w:spacing w:after="80"/>
      </w:pPr>
      <w:r>
        <w:rPr>
          <w:color w:val="2E75B6"/>
          <w:sz w:val="28"/>
        </w:rPr>
        <w:t>Performance Isolation</w:t>
      </w:r>
    </w:p>
    <w:p w:rsidR="00E6366C" w:rsidRDefault="00D97CF1" w14:paraId="797DF973" w14:textId="77777777">
      <w:pPr>
        <w:spacing w:after="120" w:line="259" w:lineRule="auto"/>
      </w:pPr>
      <w:r>
        <w:t>In a shared infrastructure model, one tenant’s traffic spike must never degrade another’s performance. This is addressed at multiple layers. Kubernetes resource quotas define CPU and memory limits per tenant namespace, preventing any single tenant from consuming disproportionate cluster resources during peak events. PgBouncer enforces maximum database connection counts per tenant. Kong applies per-tenant API rate limits, configurable by commercial tier. Each tenant’s Kafka consumer group runs independently with its own lag monitoring. High-traffic tenants running major events can be assigned higher-priority processing queues without affecting others.</w:t>
      </w:r>
    </w:p>
    <w:p w:rsidR="00E6366C" w:rsidRDefault="00D97CF1" w14:paraId="14E9A01F" w14:textId="77777777">
      <w:pPr>
        <w:spacing w:after="120" w:line="259" w:lineRule="auto"/>
      </w:pPr>
      <w:r>
        <w:t>The result is that a sold-out event at one venue — generating ten times the normal API traffic — cannot cause degraded ticket validation response times at another venue running normal operations. The isolation is mechanical, not policy-based.</w:t>
      </w:r>
    </w:p>
    <w:p w:rsidR="00E6366C" w:rsidRDefault="00D97CF1" w14:paraId="54C0D0D5" w14:textId="77777777">
      <w:pPr>
        <w:pStyle w:val="Heading2"/>
        <w:spacing w:after="80"/>
      </w:pPr>
      <w:r>
        <w:rPr>
          <w:color w:val="2E75B6"/>
          <w:sz w:val="28"/>
        </w:rPr>
        <w:t>Security Isolation</w:t>
      </w:r>
    </w:p>
    <w:p w:rsidR="00E6366C" w:rsidRDefault="00D97CF1" w14:paraId="239DCFC0" w14:textId="77777777">
      <w:pPr>
        <w:spacing w:after="120" w:line="259" w:lineRule="auto"/>
      </w:pPr>
      <w:r>
        <w:t>Data isolation and security isolation are related but distinct. A tenant’s data is logically isolated by RLS. Its security posture is independently configurable. Each tenant can set its own SSO provider, MFA enforcement policy, password complexity rules, and session timeout independently. A tenant operating in a regulatory environment that requires mandatory MFA can enforce it for all their users without affecting other tenants operating with optional MFA.</w:t>
      </w:r>
    </w:p>
    <w:p w:rsidR="00E6366C" w:rsidRDefault="00D97CF1" w14:paraId="6F733E02" w14:textId="77777777">
      <w:pPr>
        <w:spacing w:after="120" w:line="259" w:lineRule="auto"/>
      </w:pPr>
      <w:r>
        <w:t>Tenant-specific encryption keys for sensitive data fields — payment tokens, personal data — are stored in HashiCorp Vault with per-tenant key rotation schedules. Platform administrators have no default access to tenant data. Cross-tenant access, when operationally necessary, requires explicit authorisation and generates an immutable audit entry. The penetration test conducted before the Phase 1 gate specifically validates tenant isolation boundaries — testing that Tenant A cannot, under any exploitable condition, read or write Tenant B’s data.</w:t>
      </w:r>
    </w:p>
    <w:p w:rsidR="00E6366C" w:rsidRDefault="00D97CF1" w14:paraId="329E0C6D" w14:textId="77777777">
      <w:pPr>
        <w:pStyle w:val="Heading2"/>
        <w:spacing w:after="80"/>
      </w:pPr>
      <w:r>
        <w:rPr>
          <w:color w:val="2E75B6"/>
          <w:sz w:val="28"/>
        </w:rPr>
        <w:t>Commercial Distribution Support</w:t>
      </w:r>
    </w:p>
    <w:p w:rsidR="00E6366C" w:rsidRDefault="00D97CF1" w14:paraId="26FD21A7" w14:textId="77777777">
      <w:pPr>
        <w:spacing w:after="120" w:line="259" w:lineRule="auto"/>
      </w:pPr>
      <w:r>
        <w:t>The tenancy model is designed to support the client’s future commercial distribution of the platform to additional operators. New operators onboard as independent tenants with full data isolation. White-labelling at the tenant level means each operator configures their own brand identity, domain name, colour palette, and email templates — the platform surface the operator’s guests see is entirely their own. Tenant-level feature flags enable commercial tiering: a basic tier with core ticketing and POS, a professional tier adding marketing automation and CRM, an enterprise tier adding dedicated database isolation and advanced AI. Revenue share or platform fee models are configured through the fee management system. Operators who want to build their own front-end applications against the TAIS API can do so through the developer portal — the API-first architecture makes this straightforward.</w:t>
      </w:r>
    </w:p>
    <w:p w:rsidR="00E6366C" w:rsidRDefault="00D97CF1" w14:paraId="58D1A338" w14:textId="77777777">
      <w:pPr>
        <w:pStyle w:val="Heading2"/>
        <w:spacing w:after="80"/>
      </w:pPr>
      <w:r>
        <w:rPr>
          <w:color w:val="2E75B6"/>
          <w:sz w:val="28"/>
        </w:rPr>
        <w:t>Tenancy Model Summary</w:t>
      </w:r>
    </w:p>
    <w:tbl>
      <w:tblPr>
        <w:tblStyle w:val="TableGrid"/>
        <w:tblW w:w="0" w:type="auto"/>
        <w:jc w:val="center"/>
        <w:tblLook w:val="04A0" w:firstRow="1" w:lastRow="0" w:firstColumn="1" w:lastColumn="0" w:noHBand="0" w:noVBand="1"/>
      </w:tblPr>
      <w:tblGrid>
        <w:gridCol w:w="4824"/>
        <w:gridCol w:w="4824"/>
      </w:tblGrid>
      <w:tr w:rsidR="00E6366C" w14:paraId="34F375B7" w14:textId="77777777">
        <w:trPr>
          <w:jc w:val="center"/>
        </w:trPr>
        <w:tc>
          <w:tcPr>
            <w:tcW w:w="4824" w:type="dxa"/>
            <w:shd w:val="clear" w:color="auto" w:fill="1F3864"/>
          </w:tcPr>
          <w:p w:rsidR="00E6366C" w:rsidRDefault="00D97CF1" w14:paraId="1FDF52F2" w14:textId="77777777">
            <w:pPr>
              <w:spacing w:before="20" w:after="20"/>
            </w:pPr>
            <w:r>
              <w:rPr>
                <w:b/>
                <w:color w:val="FFFFFF"/>
                <w:sz w:val="19"/>
              </w:rPr>
              <w:t>Criteria</w:t>
            </w:r>
          </w:p>
        </w:tc>
        <w:tc>
          <w:tcPr>
            <w:tcW w:w="4824" w:type="dxa"/>
            <w:shd w:val="clear" w:color="auto" w:fill="1F3864"/>
          </w:tcPr>
          <w:p w:rsidR="00E6366C" w:rsidRDefault="00D97CF1" w14:paraId="27D86DA7" w14:textId="77777777">
            <w:pPr>
              <w:spacing w:before="20" w:after="20"/>
            </w:pPr>
            <w:r>
              <w:rPr>
                <w:b/>
                <w:color w:val="FFFFFF"/>
                <w:sz w:val="19"/>
              </w:rPr>
              <w:t>Approach</w:t>
            </w:r>
          </w:p>
        </w:tc>
      </w:tr>
      <w:tr w:rsidR="00E6366C" w14:paraId="7BF13490" w14:textId="77777777">
        <w:trPr>
          <w:jc w:val="center"/>
        </w:trPr>
        <w:tc>
          <w:tcPr>
            <w:tcW w:w="4824" w:type="dxa"/>
          </w:tcPr>
          <w:p w:rsidR="00E6366C" w:rsidRDefault="00D97CF1" w14:paraId="3ABE9AB5" w14:textId="77777777">
            <w:pPr>
              <w:spacing w:before="20" w:after="20"/>
            </w:pPr>
            <w:r>
              <w:rPr>
                <w:sz w:val="19"/>
              </w:rPr>
              <w:t>Default isolation model</w:t>
            </w:r>
          </w:p>
        </w:tc>
        <w:tc>
          <w:tcPr>
            <w:tcW w:w="4824" w:type="dxa"/>
          </w:tcPr>
          <w:p w:rsidR="00E6366C" w:rsidRDefault="00D97CF1" w14:paraId="536B3D09" w14:textId="77777777">
            <w:pPr>
              <w:spacing w:before="20" w:after="20"/>
            </w:pPr>
            <w:r>
              <w:rPr>
                <w:sz w:val="19"/>
              </w:rPr>
              <w:t>Logical — PostgreSQL RLS enforced at database layer; cost-efficient; sub-day onboarding</w:t>
            </w:r>
          </w:p>
        </w:tc>
      </w:tr>
      <w:tr w:rsidR="00E6366C" w14:paraId="67F9CBFF" w14:textId="77777777">
        <w:trPr>
          <w:jc w:val="center"/>
        </w:trPr>
        <w:tc>
          <w:tcPr>
            <w:tcW w:w="4824" w:type="dxa"/>
            <w:shd w:val="clear" w:color="auto" w:fill="EEF3F8"/>
          </w:tcPr>
          <w:p w:rsidR="00E6366C" w:rsidRDefault="00D97CF1" w14:paraId="6B2741CC" w14:textId="77777777">
            <w:pPr>
              <w:spacing w:before="20" w:after="20"/>
            </w:pPr>
            <w:r>
              <w:rPr>
                <w:sz w:val="19"/>
              </w:rPr>
              <w:t>Enterprise isolation option</w:t>
            </w:r>
          </w:p>
        </w:tc>
        <w:tc>
          <w:tcPr>
            <w:tcW w:w="4824" w:type="dxa"/>
            <w:shd w:val="clear" w:color="auto" w:fill="EEF3F8"/>
          </w:tcPr>
          <w:p w:rsidR="00E6366C" w:rsidRDefault="00D97CF1" w14:paraId="794EC154" w14:textId="77777777">
            <w:pPr>
              <w:spacing w:before="20" w:after="20"/>
            </w:pPr>
            <w:r>
              <w:rPr>
                <w:sz w:val="19"/>
              </w:rPr>
              <w:t>Dedicated PostgreSQL instance; same application code; configuration-driven routing</w:t>
            </w:r>
          </w:p>
        </w:tc>
      </w:tr>
      <w:tr w:rsidR="00E6366C" w14:paraId="3AD2B05F" w14:textId="77777777">
        <w:trPr>
          <w:jc w:val="center"/>
        </w:trPr>
        <w:tc>
          <w:tcPr>
            <w:tcW w:w="4824" w:type="dxa"/>
          </w:tcPr>
          <w:p w:rsidR="00E6366C" w:rsidRDefault="00D97CF1" w14:paraId="019058D2" w14:textId="77777777">
            <w:pPr>
              <w:spacing w:before="20" w:after="20"/>
            </w:pPr>
            <w:r>
              <w:rPr>
                <w:sz w:val="19"/>
              </w:rPr>
              <w:t>New venue onboarding time</w:t>
            </w:r>
          </w:p>
        </w:tc>
        <w:tc>
          <w:tcPr>
            <w:tcW w:w="4824" w:type="dxa"/>
          </w:tcPr>
          <w:p w:rsidR="00E6366C" w:rsidRDefault="00D97CF1" w14:paraId="3A020458" w14:textId="77777777">
            <w:pPr>
              <w:spacing w:before="20" w:after="20"/>
            </w:pPr>
            <w:r>
              <w:rPr>
                <w:sz w:val="19"/>
              </w:rPr>
              <w:t>Under 1 business day for platform configuration; hardware testing is a separate activity</w:t>
            </w:r>
          </w:p>
        </w:tc>
      </w:tr>
      <w:tr w:rsidR="00E6366C" w14:paraId="793E9EE7" w14:textId="77777777">
        <w:trPr>
          <w:jc w:val="center"/>
        </w:trPr>
        <w:tc>
          <w:tcPr>
            <w:tcW w:w="4824" w:type="dxa"/>
            <w:shd w:val="clear" w:color="auto" w:fill="EEF3F8"/>
          </w:tcPr>
          <w:p w:rsidR="00E6366C" w:rsidRDefault="00D97CF1" w14:paraId="0F7973C5" w14:textId="77777777">
            <w:pPr>
              <w:spacing w:before="20" w:after="20"/>
            </w:pPr>
            <w:r>
              <w:rPr>
                <w:sz w:val="19"/>
              </w:rPr>
              <w:t>Performance isolation</w:t>
            </w:r>
          </w:p>
        </w:tc>
        <w:tc>
          <w:tcPr>
            <w:tcW w:w="4824" w:type="dxa"/>
            <w:shd w:val="clear" w:color="auto" w:fill="EEF3F8"/>
          </w:tcPr>
          <w:p w:rsidR="00E6366C" w:rsidRDefault="00D97CF1" w14:paraId="33BED21C" w14:textId="77777777">
            <w:pPr>
              <w:spacing w:before="20" w:after="20"/>
            </w:pPr>
            <w:r>
              <w:rPr>
                <w:sz w:val="19"/>
              </w:rPr>
              <w:t>K8s resource quotas + PgBouncer connection limits + Kong rate limiting + Kafka consumer groups</w:t>
            </w:r>
          </w:p>
        </w:tc>
      </w:tr>
      <w:tr w:rsidR="00E6366C" w14:paraId="028571A5" w14:textId="77777777">
        <w:trPr>
          <w:jc w:val="center"/>
        </w:trPr>
        <w:tc>
          <w:tcPr>
            <w:tcW w:w="4824" w:type="dxa"/>
          </w:tcPr>
          <w:p w:rsidR="00E6366C" w:rsidRDefault="00D97CF1" w14:paraId="03047C60" w14:textId="77777777">
            <w:pPr>
              <w:spacing w:before="20" w:after="20"/>
            </w:pPr>
            <w:r>
              <w:rPr>
                <w:sz w:val="19"/>
              </w:rPr>
              <w:t>Security isolation</w:t>
            </w:r>
          </w:p>
        </w:tc>
        <w:tc>
          <w:tcPr>
            <w:tcW w:w="4824" w:type="dxa"/>
          </w:tcPr>
          <w:p w:rsidR="00E6366C" w:rsidRDefault="00D97CF1" w14:paraId="5F0CA0E1" w14:textId="77777777">
            <w:pPr>
              <w:spacing w:before="20" w:after="20"/>
            </w:pPr>
            <w:r>
              <w:rPr>
                <w:sz w:val="19"/>
              </w:rPr>
              <w:t>Per-tenant encryption keys in Vault + independent SSO/MFA config + tenant-scoped audit logs</w:t>
            </w:r>
          </w:p>
        </w:tc>
      </w:tr>
      <w:tr w:rsidR="00E6366C" w14:paraId="23A66175" w14:textId="77777777">
        <w:trPr>
          <w:jc w:val="center"/>
        </w:trPr>
        <w:tc>
          <w:tcPr>
            <w:tcW w:w="4824" w:type="dxa"/>
            <w:shd w:val="clear" w:color="auto" w:fill="EEF3F8"/>
          </w:tcPr>
          <w:p w:rsidR="00E6366C" w:rsidRDefault="00D97CF1" w14:paraId="29476CD2" w14:textId="77777777">
            <w:pPr>
              <w:spacing w:before="20" w:after="20"/>
            </w:pPr>
            <w:r>
              <w:rPr>
                <w:sz w:val="19"/>
              </w:rPr>
              <w:t>Commercial distribution</w:t>
            </w:r>
          </w:p>
        </w:tc>
        <w:tc>
          <w:tcPr>
            <w:tcW w:w="4824" w:type="dxa"/>
            <w:shd w:val="clear" w:color="auto" w:fill="EEF3F8"/>
          </w:tcPr>
          <w:p w:rsidR="00E6366C" w:rsidRDefault="00D97CF1" w14:paraId="2C6D8A53" w14:textId="77777777">
            <w:pPr>
              <w:spacing w:before="20" w:after="20"/>
            </w:pPr>
            <w:r>
              <w:rPr>
                <w:sz w:val="19"/>
              </w:rPr>
              <w:t>White-label per tenant + feature flags + fee management + API-first for custom frontends</w:t>
            </w:r>
          </w:p>
        </w:tc>
      </w:tr>
      <w:tr w:rsidR="00E6366C" w14:paraId="27321E2F" w14:textId="77777777">
        <w:trPr>
          <w:jc w:val="center"/>
        </w:trPr>
        <w:tc>
          <w:tcPr>
            <w:tcW w:w="4824" w:type="dxa"/>
          </w:tcPr>
          <w:p w:rsidR="00E6366C" w:rsidRDefault="00D97CF1" w14:paraId="778916EE" w14:textId="77777777">
            <w:pPr>
              <w:spacing w:before="20" w:after="20"/>
            </w:pPr>
            <w:r>
              <w:rPr>
                <w:sz w:val="19"/>
              </w:rPr>
              <w:t>Scaling model</w:t>
            </w:r>
          </w:p>
        </w:tc>
        <w:tc>
          <w:tcPr>
            <w:tcW w:w="4824" w:type="dxa"/>
          </w:tcPr>
          <w:p w:rsidR="00E6366C" w:rsidRDefault="00D97CF1" w14:paraId="63B55D4C" w14:textId="77777777">
            <w:pPr>
              <w:spacing w:before="20" w:after="20"/>
            </w:pPr>
            <w:r>
              <w:rPr>
                <w:sz w:val="19"/>
              </w:rPr>
              <w:t>New tenants add configuration, not servers; horizontal K8s scaling handles traffic growth</w:t>
            </w:r>
          </w:p>
        </w:tc>
      </w:tr>
    </w:tbl>
    <w:p w:rsidR="00E6366C" w:rsidRDefault="00E6366C" w14:paraId="44EAFD9C" w14:textId="77777777">
      <w:pPr>
        <w:spacing w:after="40"/>
      </w:pPr>
    </w:p>
    <w:p w:rsidR="00E6366C" w:rsidRDefault="00D97CF1" w14:paraId="7EA180B6" w14:textId="77777777">
      <w:pPr>
        <w:spacing w:after="120" w:line="259" w:lineRule="auto"/>
      </w:pPr>
      <w:r>
        <w:t>Miracle Star Trading L.L.C. | Confidential | Page</w:t>
      </w:r>
    </w:p>
    <w:sectPr w:rsidR="00E6366C" w:rsidSect="00034616">
      <w:footerReference w:type="default" r:id="rId7"/>
      <w:pgSz w:w="12240" w:h="15840" w:orient="portrait"/>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5218" w:rsidRDefault="00865218" w14:paraId="1ED19353" w14:textId="77777777">
      <w:pPr>
        <w:spacing w:after="0" w:line="240" w:lineRule="auto"/>
      </w:pPr>
      <w:r>
        <w:separator/>
      </w:r>
    </w:p>
  </w:endnote>
  <w:endnote w:type="continuationSeparator" w:id="0">
    <w:p w:rsidR="00865218" w:rsidRDefault="00865218" w14:paraId="4A94313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366C" w:rsidRDefault="00D97CF1" w14:paraId="4B94D5A5" w14:textId="276E7BED">
    <w:pPr>
      <w:pStyle w:val="Footer"/>
      <w:jc w:val="center"/>
    </w:pPr>
    <w:r>
      <w:fldChar w:fldCharType="begin"/>
    </w:r>
    <w:r>
      <w:instrText>PAGE</w:instrText>
    </w:r>
    <w:r>
      <w:fldChar w:fldCharType="separate"/>
    </w:r>
    <w:r w:rsidR="00BB70E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5218" w:rsidRDefault="00865218" w14:paraId="1DF3E416" w14:textId="77777777">
      <w:pPr>
        <w:spacing w:after="0" w:line="240" w:lineRule="auto"/>
      </w:pPr>
      <w:r>
        <w:separator/>
      </w:r>
    </w:p>
  </w:footnote>
  <w:footnote w:type="continuationSeparator" w:id="0">
    <w:p w:rsidR="00865218" w:rsidRDefault="00865218" w14:paraId="0462FD2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126317721">
    <w:abstractNumId w:val="3"/>
  </w:num>
  <w:num w:numId="2" w16cid:durableId="1510871765">
    <w:abstractNumId w:val="5"/>
  </w:num>
  <w:num w:numId="3" w16cid:durableId="1852835133">
    <w:abstractNumId w:val="1"/>
  </w:num>
  <w:num w:numId="4" w16cid:durableId="2045910661">
    <w:abstractNumId w:val="0"/>
  </w:num>
  <w:num w:numId="5" w16cid:durableId="425998808">
    <w:abstractNumId w:val="7"/>
  </w:num>
  <w:num w:numId="6" w16cid:durableId="449007958">
    <w:abstractNumId w:val="4"/>
  </w:num>
  <w:num w:numId="7" w16cid:durableId="488399950">
    <w:abstractNumId w:val="8"/>
  </w:num>
  <w:num w:numId="8" w16cid:durableId="89813318">
    <w:abstractNumId w:val="6"/>
  </w:num>
  <w:num w:numId="9" w16cid:durableId="9258439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5AD9"/>
    <w:rsid w:val="00581CBA"/>
    <w:rsid w:val="006275BA"/>
    <w:rsid w:val="006522A2"/>
    <w:rsid w:val="006D6AAB"/>
    <w:rsid w:val="007E1796"/>
    <w:rsid w:val="00865218"/>
    <w:rsid w:val="00946FAE"/>
    <w:rsid w:val="00AA1D8D"/>
    <w:rsid w:val="00B47730"/>
    <w:rsid w:val="00BB70EE"/>
    <w:rsid w:val="00CB0664"/>
    <w:rsid w:val="00D933DB"/>
    <w:rsid w:val="00D97CF1"/>
    <w:rsid w:val="00E6366C"/>
    <w:rsid w:val="00FC693F"/>
    <w:rsid w:val="0D529F85"/>
    <w:rsid w:val="3105F67C"/>
    <w:rsid w:val="4143119D"/>
    <w:rsid w:val="6F8A5D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003C2C5C-B3E3-4263-956B-F1EDC5310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8"/>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1"/>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Deep Khanvilkar</lastModifiedBy>
  <revision>3</revision>
  <dcterms:created xsi:type="dcterms:W3CDTF">2013-12-23T23:15:00.0000000Z</dcterms:created>
  <dcterms:modified xsi:type="dcterms:W3CDTF">2026-07-29T09:14:34.9679973Z</dcterms:modified>
  <category/>
</coreProperties>
</file>