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9648"/>
      </w:tblGrid>
      <w:tr>
        <w:tc>
          <w:tcPr>
            <w:tcW w:type="dxa" w:w="9648"/>
            <w:shd w:val="clear" w:fill="1F3864"/>
          </w:tcPr>
          <w:p>
            <w:pPr>
              <w:spacing w:after="20" w:before="20"/>
            </w:pPr>
            <w:r/>
            <w:r>
              <w:rPr>
                <w:b/>
                <w:i w:val="0"/>
                <w:color w:val="FFFFFF"/>
                <w:sz w:val="19"/>
              </w:rPr>
              <w:t xml:space="preserve">Chapter 7 Security, Offline Architecture </w:t>
            </w:r>
            <w:r>
              <w:rPr>
                <w:b/>
                <w:i w:val="0"/>
                <w:color w:val="FFFFFF"/>
                <w:sz w:val="19"/>
              </w:rPr>
              <w:t>&amp;</w:t>
            </w:r>
            <w:r>
              <w:rPr>
                <w:b/>
                <w:i w:val="0"/>
                <w:color w:val="FFFFFF"/>
                <w:sz w:val="19"/>
              </w:rPr>
              <w:t xml:space="preserve"> Mobile</w:t>
            </w:r>
          </w:p>
        </w:tc>
      </w:tr>
    </w:tbl>
    <w:p>
      <w:pPr>
        <w:spacing w:after="40"/>
      </w:pPr>
    </w:p>
    <w:p>
      <w:pPr>
        <w:pStyle w:val="Heading1"/>
        <w:spacing w:before="280" w:after="120"/>
      </w:pPr>
      <w:r>
        <w:rPr>
          <w:b/>
          <w:color w:val="1F3864"/>
          <w:sz w:val="36"/>
        </w:rPr>
        <w:t>7. Security, Offline Architecture &amp; Mobile</w:t>
      </w:r>
    </w:p>
    <w:p>
      <w:pPr>
        <w:pStyle w:val="Heading2"/>
        <w:spacing w:before="200" w:after="80"/>
      </w:pPr>
      <w:r>
        <w:rPr>
          <w:b/>
          <w:color w:val="2E75B6"/>
          <w:sz w:val="28"/>
        </w:rPr>
        <w:t>7.1 Security Architecture Overview</w:t>
      </w:r>
    </w:p>
    <w:p>
      <w:pPr>
        <w:spacing w:after="120" w:line="259" w:lineRule="auto"/>
      </w:pPr>
      <w:r>
        <w:rPr>
          <w:i/>
          <w:color w:val="555555"/>
        </w:rPr>
        <w:t>Security for TAIS operates across three distinct compliance frameworks and a defence-in-depth architecture that ensures no single vulnerability compromises the entire system.</w:t>
      </w:r>
    </w:p>
    <w:p>
      <w:pPr>
        <w:spacing w:after="120" w:line="259" w:lineRule="auto"/>
      </w:pPr>
      <w:r>
        <w:rPr>
          <w:b w:val="0"/>
          <w:i w:val="0"/>
        </w:rPr>
        <w:t>The three frameworks are: DESC (Dubai Electronic Security Center) cybersecurity standards — the UAE regulatory requirement; PCI-DSS — the payment card industry standard; and OWASP ASVS Level 2 as the application security baseline. Generic “we follow best practices” language is not sufficient to address these frameworks independently, so each is addressed in its own section below.</w:t>
      </w:r>
    </w:p>
    <w:p>
      <w:pPr>
        <w:spacing w:after="120" w:line="259" w:lineRule="auto"/>
      </w:pPr>
      <w:r>
        <w:rPr>
          <w:b w:val="0"/>
          <w:i w:val="0"/>
        </w:rPr>
        <w:t>Beyond compliance, the security architecture is designed around six independent layers. An attacker who penetrates one layer does not have access to the next — the controls at each layer are independent of those above and below it.</w:t>
      </w:r>
    </w:p>
    <w:p>
      <w:pPr>
        <w:spacing w:after="80"/>
      </w:pPr>
      <w:r>
        <w:rPr>
          <w:i/>
          <w:color w:val="555555"/>
          <w:sz w:val="18"/>
        </w:rPr>
        <w:t>Figure 7.1 — Defence in Depth: Six Independent Security Layers</w:t>
      </w:r>
    </w:p>
    <w:p>
      <w:pPr>
        <w:pStyle w:val="Heading2"/>
        <w:spacing w:before="200" w:after="80"/>
      </w:pPr>
      <w:r>
        <w:rPr>
          <w:b/>
          <w:color w:val="2E75B6"/>
          <w:sz w:val="28"/>
        </w:rPr>
        <w:t>7.2 DESC Compliance — Dubai Electronic Security Center</w:t>
      </w:r>
    </w:p>
    <w:p>
      <w:pPr>
        <w:spacing w:after="120" w:line="259" w:lineRule="auto"/>
      </w:pPr>
      <w:r>
        <w:rPr>
          <w:b w:val="0"/>
          <w:i w:val="0"/>
        </w:rPr>
        <w:t>DESC (Dubai Electronic Security Center) is the cybersecurity regulatory authority for the Emirate of Dubai. The DESC Information Security Regulation (ISR) defines mandatory cybersecurity controls across governance, technical, and operational dimensions. DESC compliance is treated as a primary obligation — not a post-hoc addition — because the platform operates within the UAE from day one.</w:t>
      </w:r>
    </w:p>
    <w:tbl>
      <w:tblPr>
        <w:tblStyle w:val="TableGrid"/>
        <w:tblW w:type="auto" w:w="0"/>
        <w:jc w:val="center"/>
        <w:tblLook w:firstColumn="1" w:firstRow="1" w:lastColumn="0" w:lastRow="0" w:noHBand="0" w:noVBand="1" w:val="04A0"/>
      </w:tblPr>
      <w:tblGrid>
        <w:gridCol w:w="4824"/>
        <w:gridCol w:w="4824"/>
      </w:tblGrid>
      <w:tr>
        <w:tc>
          <w:tcPr>
            <w:tcW w:type="dxa" w:w="4824"/>
            <w:shd w:val="clear" w:fill="1F3864"/>
          </w:tcPr>
          <w:p>
            <w:pPr>
              <w:spacing w:after="20" w:before="20"/>
            </w:pPr>
            <w:r/>
            <w:r>
              <w:rPr>
                <w:b/>
                <w:i w:val="0"/>
                <w:color w:val="FFFFFF"/>
                <w:sz w:val="19"/>
              </w:rPr>
              <w:t>DESC ISR Control Domain</w:t>
            </w:r>
          </w:p>
        </w:tc>
        <w:tc>
          <w:tcPr>
            <w:tcW w:type="dxa" w:w="4824"/>
            <w:shd w:val="clear" w:fill="1F3864"/>
          </w:tcPr>
          <w:p>
            <w:pPr>
              <w:spacing w:after="20" w:before="20"/>
            </w:pPr>
            <w:r/>
            <w:r>
              <w:rPr>
                <w:b/>
                <w:i w:val="0"/>
                <w:color w:val="FFFFFF"/>
                <w:sz w:val="19"/>
              </w:rPr>
              <w:t>TAIS Implementation</w:t>
            </w:r>
          </w:p>
        </w:tc>
      </w:tr>
      <w:tr>
        <w:tc>
          <w:tcPr>
            <w:tcW w:type="dxa" w:w="4824"/>
          </w:tcPr>
          <w:p>
            <w:pPr>
              <w:spacing w:after="20" w:before="20"/>
            </w:pPr>
            <w:r/>
            <w:r>
              <w:rPr>
                <w:b w:val="0"/>
                <w:i w:val="0"/>
                <w:sz w:val="19"/>
              </w:rPr>
              <w:t>Access Control</w:t>
            </w:r>
          </w:p>
        </w:tc>
        <w:tc>
          <w:tcPr>
            <w:tcW w:type="dxa" w:w="4824"/>
          </w:tcPr>
          <w:p>
            <w:pPr>
              <w:spacing w:after="20" w:before="20"/>
            </w:pPr>
            <w:r/>
            <w:r>
              <w:rPr>
                <w:b w:val="0"/>
                <w:i w:val="0"/>
                <w:sz w:val="19"/>
              </w:rPr>
              <w:t>RBAC enforced at every service boundary. Principle of least privilege applied to all roles. Privileged access management (PAM) for administrative functions. MFA mandatory for all administrative access.</w:t>
            </w:r>
          </w:p>
        </w:tc>
      </w:tr>
      <w:tr>
        <w:tc>
          <w:tcPr>
            <w:tcW w:type="dxa" w:w="4824"/>
            <w:shd w:val="clear" w:fill="EEF3F8"/>
          </w:tcPr>
          <w:p>
            <w:pPr>
              <w:spacing w:after="20" w:before="20"/>
            </w:pPr>
            <w:r/>
            <w:r>
              <w:rPr>
                <w:b w:val="0"/>
                <w:i w:val="0"/>
                <w:sz w:val="19"/>
              </w:rPr>
              <w:t>Identity &amp; Authentication</w:t>
            </w:r>
          </w:p>
        </w:tc>
        <w:tc>
          <w:tcPr>
            <w:tcW w:type="dxa" w:w="4824"/>
            <w:shd w:val="clear" w:fill="EEF3F8"/>
          </w:tcPr>
          <w:p>
            <w:pPr>
              <w:spacing w:after="20" w:before="20"/>
            </w:pPr>
            <w:r/>
            <w:r>
              <w:rPr>
                <w:b w:val="0"/>
                <w:i w:val="0"/>
                <w:sz w:val="19"/>
              </w:rPr>
              <w:t>JWT-based authentication with short token expiry (15 minutes). Refresh token rotation on every use. SSO via OAuth 2.0 / OIDC. Federated identity via UAE Pass (national digital identity) for guests and Azure Active Directory for staff. Emirates ID reader at POS/kiosk for verified profile capture. Biometric authentication supported on mobile applications.</w:t>
            </w:r>
          </w:p>
        </w:tc>
      </w:tr>
      <w:tr>
        <w:tc>
          <w:tcPr>
            <w:tcW w:type="dxa" w:w="4824"/>
          </w:tcPr>
          <w:p>
            <w:pPr>
              <w:spacing w:after="20" w:before="20"/>
            </w:pPr>
            <w:r/>
            <w:r>
              <w:rPr>
                <w:b w:val="0"/>
                <w:i w:val="0"/>
                <w:sz w:val="19"/>
              </w:rPr>
              <w:t>Data Classification &amp; Protection</w:t>
            </w:r>
          </w:p>
        </w:tc>
        <w:tc>
          <w:tcPr>
            <w:tcW w:type="dxa" w:w="4824"/>
          </w:tcPr>
          <w:p>
            <w:pPr>
              <w:spacing w:after="20" w:before="20"/>
            </w:pPr>
            <w:r/>
            <w:r>
              <w:rPr>
                <w:b w:val="0"/>
                <w:i w:val="0"/>
                <w:sz w:val="19"/>
              </w:rPr>
              <w:t>Data classified at ingestion (public, internal, confidential, restricted). PII and financial data encrypted at field level using AES-256. Separate encryption keys per tenant stored in HSM or cloud KMS.</w:t>
            </w:r>
          </w:p>
        </w:tc>
      </w:tr>
      <w:tr>
        <w:tc>
          <w:tcPr>
            <w:tcW w:type="dxa" w:w="4824"/>
            <w:shd w:val="clear" w:fill="EEF3F8"/>
          </w:tcPr>
          <w:p>
            <w:pPr>
              <w:spacing w:after="20" w:before="20"/>
            </w:pPr>
            <w:r/>
            <w:r>
              <w:rPr>
                <w:b w:val="0"/>
                <w:i w:val="0"/>
                <w:sz w:val="19"/>
              </w:rPr>
              <w:t>Audit Logging &amp; Monitoring</w:t>
            </w:r>
          </w:p>
        </w:tc>
        <w:tc>
          <w:tcPr>
            <w:tcW w:type="dxa" w:w="4824"/>
            <w:shd w:val="clear" w:fill="EEF3F8"/>
          </w:tcPr>
          <w:p>
            <w:pPr>
              <w:spacing w:after="20" w:before="20"/>
            </w:pPr>
            <w:r/>
            <w:r>
              <w:rPr>
                <w:b w:val="0"/>
                <w:i w:val="0"/>
                <w:sz w:val="19"/>
              </w:rPr>
              <w:t>Immutable audit log for all system events. Append-only storage — tamper evident. Retained per DESC retention requirements. All authentication, data access, config changes, and financial transactions captured. Security-relevant events (logins, logouts, and other defined factors) are forwarded to the government SIEM in its required standard format.</w:t>
            </w:r>
          </w:p>
        </w:tc>
      </w:tr>
      <w:tr>
        <w:tc>
          <w:tcPr>
            <w:tcW w:type="dxa" w:w="4824"/>
          </w:tcPr>
          <w:p>
            <w:pPr>
              <w:spacing w:after="20" w:before="20"/>
            </w:pPr>
            <w:r/>
            <w:r>
              <w:rPr>
                <w:b w:val="0"/>
                <w:i w:val="0"/>
                <w:sz w:val="19"/>
              </w:rPr>
              <w:t>Vulnerability Management</w:t>
            </w:r>
          </w:p>
        </w:tc>
        <w:tc>
          <w:tcPr>
            <w:tcW w:type="dxa" w:w="4824"/>
          </w:tcPr>
          <w:p>
            <w:pPr>
              <w:spacing w:after="20" w:before="20"/>
            </w:pPr>
            <w:r/>
            <w:r>
              <w:rPr>
                <w:b w:val="0"/>
                <w:i w:val="0"/>
                <w:sz w:val="19"/>
              </w:rPr>
              <w:t>Automated dependency scanning in CI/CD (Snyk). Container image scanning (Trivy). DAST on every pre-production deployment. Annual penetration testing by qualified third party.</w:t>
            </w:r>
          </w:p>
        </w:tc>
      </w:tr>
      <w:tr>
        <w:tc>
          <w:tcPr>
            <w:tcW w:type="dxa" w:w="4824"/>
            <w:shd w:val="clear" w:fill="EEF3F8"/>
          </w:tcPr>
          <w:p>
            <w:pPr>
              <w:spacing w:after="20" w:before="20"/>
            </w:pPr>
            <w:r/>
            <w:r>
              <w:rPr>
                <w:b w:val="0"/>
                <w:i w:val="0"/>
                <w:sz w:val="19"/>
              </w:rPr>
              <w:t>Incident Management</w:t>
            </w:r>
          </w:p>
        </w:tc>
        <w:tc>
          <w:tcPr>
            <w:tcW w:type="dxa" w:w="4824"/>
            <w:shd w:val="clear" w:fill="EEF3F8"/>
          </w:tcPr>
          <w:p>
            <w:pPr>
              <w:spacing w:after="20" w:before="20"/>
            </w:pPr>
            <w:r/>
            <w:r>
              <w:rPr>
                <w:b w:val="0"/>
                <w:i w:val="0"/>
                <w:sz w:val="19"/>
              </w:rPr>
              <w:t>Defined incident response playbook. Severity classification. Escalation procedures. Post-incident review. DESC notification procedures for reportable incidents.</w:t>
            </w:r>
          </w:p>
        </w:tc>
      </w:tr>
      <w:tr>
        <w:tc>
          <w:tcPr>
            <w:tcW w:type="dxa" w:w="4824"/>
          </w:tcPr>
          <w:p>
            <w:pPr>
              <w:spacing w:after="20" w:before="20"/>
            </w:pPr>
            <w:r/>
            <w:r>
              <w:rPr>
                <w:b w:val="0"/>
                <w:i w:val="0"/>
                <w:sz w:val="19"/>
              </w:rPr>
              <w:t>Secure Development</w:t>
            </w:r>
          </w:p>
        </w:tc>
        <w:tc>
          <w:tcPr>
            <w:tcW w:type="dxa" w:w="4824"/>
          </w:tcPr>
          <w:p>
            <w:pPr>
              <w:spacing w:after="20" w:before="20"/>
            </w:pPr>
            <w:r/>
            <w:r>
              <w:rPr>
                <w:b w:val="0"/>
                <w:i w:val="0"/>
                <w:sz w:val="19"/>
              </w:rPr>
              <w:t>OWASP ASVS Level 2 as development standard. Mandatory security review gate in CI/CD pipeline. Static analysis (SonarQube). Secrets never committed to source control (git-secrets enforced).</w:t>
            </w:r>
          </w:p>
        </w:tc>
      </w:tr>
      <w:tr>
        <w:tc>
          <w:tcPr>
            <w:tcW w:type="dxa" w:w="4824"/>
            <w:shd w:val="clear" w:fill="EEF3F8"/>
          </w:tcPr>
          <w:p>
            <w:pPr>
              <w:spacing w:after="20" w:before="20"/>
            </w:pPr>
            <w:r/>
            <w:r>
              <w:rPr>
                <w:b w:val="0"/>
                <w:i w:val="0"/>
                <w:sz w:val="19"/>
              </w:rPr>
              <w:t>Network Security</w:t>
            </w:r>
          </w:p>
        </w:tc>
        <w:tc>
          <w:tcPr>
            <w:tcW w:type="dxa" w:w="4824"/>
            <w:shd w:val="clear" w:fill="EEF3F8"/>
          </w:tcPr>
          <w:p>
            <w:pPr>
              <w:spacing w:after="20" w:before="20"/>
            </w:pPr>
            <w:r/>
            <w:r>
              <w:rPr>
                <w:b w:val="0"/>
                <w:i w:val="0"/>
                <w:sz w:val="19"/>
              </w:rPr>
              <w:t>All services within private VPC/VNet. No direct public exposure of internal services. API Gateway as single ingress. WAF on all public endpoints. DDoS protection at edge.</w:t>
            </w:r>
          </w:p>
        </w:tc>
      </w:tr>
      <w:tr>
        <w:tc>
          <w:tcPr>
            <w:tcW w:type="dxa" w:w="4824"/>
          </w:tcPr>
          <w:p>
            <w:pPr>
              <w:spacing w:after="20" w:before="20"/>
            </w:pPr>
            <w:r/>
            <w:r>
              <w:rPr>
                <w:b w:val="0"/>
                <w:i w:val="0"/>
                <w:sz w:val="19"/>
              </w:rPr>
              <w:t>Cryptography</w:t>
            </w:r>
          </w:p>
        </w:tc>
        <w:tc>
          <w:tcPr>
            <w:tcW w:type="dxa" w:w="4824"/>
          </w:tcPr>
          <w:p>
            <w:pPr>
              <w:spacing w:after="20" w:before="20"/>
            </w:pPr>
            <w:r/>
            <w:r>
              <w:rPr>
                <w:b w:val="0"/>
                <w:i w:val="0"/>
                <w:sz w:val="19"/>
              </w:rPr>
              <w:t>TLS 1.3 for all data in transit. AES-256 for data at rest. RSA-4096 / ECDSA for digital signatures including ticket signing. Automated certificate rotation.</w:t>
            </w:r>
          </w:p>
        </w:tc>
      </w:tr>
      <w:tr>
        <w:tc>
          <w:tcPr>
            <w:tcW w:type="dxa" w:w="4824"/>
            <w:shd w:val="clear" w:fill="EEF3F8"/>
          </w:tcPr>
          <w:p>
            <w:pPr>
              <w:spacing w:after="20" w:before="20"/>
            </w:pPr>
            <w:r/>
            <w:r>
              <w:rPr>
                <w:b w:val="0"/>
                <w:i w:val="0"/>
                <w:sz w:val="19"/>
              </w:rPr>
              <w:t>Third-Party Risk</w:t>
            </w:r>
          </w:p>
        </w:tc>
        <w:tc>
          <w:tcPr>
            <w:tcW w:type="dxa" w:w="4824"/>
            <w:shd w:val="clear" w:fill="EEF3F8"/>
          </w:tcPr>
          <w:p>
            <w:pPr>
              <w:spacing w:after="20" w:before="20"/>
            </w:pPr>
            <w:r/>
            <w:r>
              <w:rPr>
                <w:b w:val="0"/>
                <w:i w:val="0"/>
                <w:sz w:val="19"/>
              </w:rPr>
              <w:t>All third-party integrations reviewed for security posture. API credentials in secrets manager — never hardcoded. Third-party access scoped to minimum required permissions.</w:t>
            </w:r>
          </w:p>
        </w:tc>
      </w:tr>
      <w:tr>
        <w:tc>
          <w:tcPr>
            <w:tcW w:type="dxa" w:w="4824"/>
          </w:tcPr>
          <w:p>
            <w:pPr>
              <w:spacing w:after="20" w:before="20"/>
            </w:pPr>
            <w:r/>
            <w:r>
              <w:rPr>
                <w:b w:val="0"/>
                <w:i w:val="0"/>
                <w:sz w:val="19"/>
              </w:rPr>
              <w:t>Business Continuity</w:t>
            </w:r>
          </w:p>
        </w:tc>
        <w:tc>
          <w:tcPr>
            <w:tcW w:type="dxa" w:w="4824"/>
          </w:tcPr>
          <w:p>
            <w:pPr>
              <w:spacing w:after="20" w:before="20"/>
            </w:pPr>
            <w:r/>
            <w:r>
              <w:rPr>
                <w:b w:val="0"/>
                <w:i w:val="0"/>
                <w:sz w:val="19"/>
              </w:rPr>
              <w:t>DR plan documented and tested in pre-production. RTO and RPO defined per service tier. Backup procedures tested quarterly. See Chapter 6 for full DR specification.</w:t>
            </w:r>
          </w:p>
        </w:tc>
      </w:tr>
    </w:tbl>
    <w:p>
      <w:pPr>
        <w:spacing w:after="40"/>
      </w:pPr>
    </w:p>
    <w:tbl>
      <w:tblPr>
        <w:tblStyle w:val="TableGrid"/>
        <w:tblW w:type="auto" w:w="0"/>
        <w:jc w:val="center"/>
        <w:tblLook w:firstColumn="1" w:firstRow="1" w:lastColumn="0" w:lastRow="0" w:noHBand="0" w:noVBand="1" w:val="04A0"/>
      </w:tblPr>
      <w:tblGrid>
        <w:gridCol w:w="9648"/>
      </w:tblGrid>
      <w:tr>
        <w:tc>
          <w:tcPr>
            <w:tcW w:type="dxa" w:w="9648"/>
            <w:shd w:val="clear" w:fill="1F3864"/>
          </w:tcPr>
          <w:p>
            <w:pPr>
              <w:spacing w:after="20" w:before="20"/>
            </w:pPr>
            <w:r/>
            <w:r>
              <w:rPr>
                <w:b/>
                <w:i w:val="0"/>
                <w:color w:val="FFFFFF"/>
                <w:sz w:val="19"/>
              </w:rPr>
              <w:t>Scope clarification — DESC certification vs DESC compatibility</w:t>
            </w:r>
            <w:r>
              <w:rPr>
                <w:b/>
                <w:i w:val="0"/>
                <w:color w:val="FFFFFF"/>
                <w:sz w:val="19"/>
              </w:rPr>
              <w:t xml:space="preserve"> The Q&amp;A confirms the client’s requirement is that the platform follows secure development practices and security controls compatible with DESC requirements. The development partner’s obligation is DESC ISR compatibility — implementing the technical and process controls listed above as part of the delivered platform. Formal DESC certification or audit registration is an operational obligation of the client as the platform operator, not a deliverable of the development partner. This distinction is commercially important and is consistent with the Q&amp;A response.</w:t>
            </w:r>
          </w:p>
        </w:tc>
      </w:tr>
    </w:tbl>
    <w:p>
      <w:pPr>
        <w:spacing w:after="40"/>
      </w:pPr>
    </w:p>
    <w:tbl>
      <w:tblPr>
        <w:tblStyle w:val="TableGrid"/>
        <w:tblW w:type="auto" w:w="0"/>
        <w:jc w:val="center"/>
        <w:tblLook w:firstColumn="1" w:firstRow="1" w:lastColumn="0" w:lastRow="0" w:noHBand="0" w:noVBand="1" w:val="04A0"/>
      </w:tblPr>
      <w:tblGrid>
        <w:gridCol w:w="9648"/>
      </w:tblGrid>
      <w:tr>
        <w:tc>
          <w:tcPr>
            <w:tcW w:type="dxa" w:w="9648"/>
            <w:shd w:val="clear" w:fill="1F3864"/>
          </w:tcPr>
          <w:p>
            <w:pPr>
              <w:spacing w:after="20" w:before="20"/>
            </w:pPr>
            <w:r/>
            <w:r>
              <w:rPr>
                <w:b/>
                <w:i w:val="0"/>
                <w:color w:val="FFFFFF"/>
                <w:sz w:val="19"/>
              </w:rPr>
              <w:t>DESC-approved infrastructure and data stack</w:t>
            </w:r>
            <w:r>
              <w:rPr>
                <w:b/>
                <w:i w:val="0"/>
                <w:color w:val="FFFFFF"/>
                <w:sz w:val="19"/>
              </w:rPr>
              <w:t xml:space="preserve"> The platform’s data stack is selected and verified for DESC compatibility. PostgreSQL is the single transactional and analytics store for Phase 1; databases without DESC approval are explicitly excluded — MongoDB, for example, is not used, as it does not currently hold DESC approval. The vector store (Qdrant) and search engine (Elasticsearch) are confirmed against DESC compatibility as part of architecture sign-off, and any future addition to the data stack will be selected only from DESC-approved options and handled as a formal change. This keeps the entire data tier within the regulatory boundary the client operates under.</w:t>
            </w:r>
          </w:p>
        </w:tc>
      </w:tr>
    </w:tbl>
    <w:p>
      <w:pPr>
        <w:spacing w:after="40"/>
      </w:pPr>
    </w:p>
    <w:p>
      <w:pPr>
        <w:pStyle w:val="Heading3"/>
        <w:spacing w:before="160" w:after="60"/>
      </w:pPr>
      <w:r>
        <w:rPr>
          <w:b/>
          <w:color w:val="2E75B6"/>
          <w:sz w:val="23"/>
        </w:rPr>
        <w:t>DESC Deliverables in Handover Package</w:t>
      </w:r>
    </w:p>
    <w:p>
      <w:pPr>
        <w:pStyle w:val="ListBullet"/>
        <w:spacing w:after="40"/>
      </w:pPr>
      <w:r>
        <w:rPr>
          <w:b w:val="0"/>
          <w:i w:val="0"/>
        </w:rPr>
        <w:t>Security architecture document aligned to DESC ISR framework</w:t>
      </w:r>
    </w:p>
    <w:p>
      <w:pPr>
        <w:pStyle w:val="ListBullet"/>
        <w:spacing w:after="40"/>
      </w:pPr>
      <w:r>
        <w:rPr>
          <w:b w:val="0"/>
          <w:i w:val="0"/>
        </w:rPr>
        <w:t>Data classification policy and data flow diagrams</w:t>
      </w:r>
    </w:p>
    <w:p>
      <w:pPr>
        <w:pStyle w:val="ListBullet"/>
        <w:spacing w:after="40"/>
      </w:pPr>
      <w:r>
        <w:rPr>
          <w:b w:val="0"/>
          <w:i w:val="0"/>
        </w:rPr>
        <w:t>Incident response playbook</w:t>
      </w:r>
    </w:p>
    <w:p>
      <w:pPr>
        <w:pStyle w:val="ListBullet"/>
        <w:spacing w:after="40"/>
      </w:pPr>
      <w:r>
        <w:rPr>
          <w:b w:val="0"/>
          <w:i w:val="0"/>
        </w:rPr>
        <w:t>Vulnerability management and patch policy</w:t>
      </w:r>
    </w:p>
    <w:p>
      <w:pPr>
        <w:pStyle w:val="ListBullet"/>
        <w:spacing w:after="40"/>
      </w:pPr>
      <w:r>
        <w:rPr>
          <w:b w:val="0"/>
          <w:i w:val="0"/>
        </w:rPr>
        <w:t>Third-party integration security assessment template</w:t>
      </w:r>
    </w:p>
    <w:p>
      <w:pPr>
        <w:pStyle w:val="Heading2"/>
        <w:spacing w:before="200" w:after="80"/>
      </w:pPr>
      <w:r>
        <w:rPr>
          <w:b/>
          <w:color w:val="2E75B6"/>
          <w:sz w:val="28"/>
        </w:rPr>
        <w:t>7.3 PCI-DSS Compliance</w:t>
      </w:r>
    </w:p>
    <w:p>
      <w:pPr>
        <w:spacing w:after="120" w:line="259" w:lineRule="auto"/>
      </w:pPr>
      <w:r>
        <w:rPr>
          <w:b w:val="0"/>
          <w:i w:val="0"/>
        </w:rPr>
        <w:t>TAIS processes payment card transactions and must comply with the Payment Card Industry Data Security Standard. The platform is architected for PCI-DSS compliance through a combination of scope reduction via tokenisation and direct controls within the reduced scope.</w:t>
      </w:r>
    </w:p>
    <w:p>
      <w:pPr>
        <w:pStyle w:val="Heading3"/>
        <w:spacing w:before="160" w:after="60"/>
      </w:pPr>
      <w:r>
        <w:rPr>
          <w:b/>
          <w:color w:val="2E75B6"/>
          <w:sz w:val="23"/>
        </w:rPr>
        <w:t>Scope Reduction — Tokenisation</w:t>
      </w:r>
    </w:p>
    <w:p>
      <w:pPr>
        <w:spacing w:after="120" w:line="259" w:lineRule="auto"/>
      </w:pPr>
      <w:r>
        <w:rPr>
          <w:b w:val="0"/>
          <w:i w:val="0"/>
        </w:rPr>
        <w:t>The most effective PCI-DSS compliance strategy is to minimise the scope of systems that handle raw card data. TAIS achieves this by ensuring that raw card numbers (PANs) never enter the TAIS application layer at any point. All card data is handled entirely by Stripe — a certified PCI-DSS Level 1 service provider — and TAIS receives and stores only a payment token, which has no value outside the Stripe system.</w:t>
      </w:r>
    </w:p>
    <w:p>
      <w:pPr>
        <w:spacing w:after="80"/>
      </w:pPr>
      <w:r>
        <w:rPr>
          <w:i/>
          <w:color w:val="555555"/>
          <w:sz w:val="18"/>
        </w:rPr>
        <w:t>Figure 7.2 — PCI-DSS Tokenisation: Card Data Goes to Stripe; TAIS Stores Token Only</w:t>
      </w:r>
    </w:p>
    <w:p>
      <w:pPr>
        <w:spacing w:after="120" w:line="259" w:lineRule="auto"/>
      </w:pPr>
      <w:r>
        <w:rPr>
          <w:b w:val="0"/>
          <w:i w:val="0"/>
        </w:rPr>
        <w:t>This architecture reduces TAIS’s own PCI scope dramatically. For online channels using Stripe.js, TAIS qualifies for SAQ A — the most lightweight Self-Assessment Questionnaire type. The card data handling burden sits entirely with Stripe, which undergoes its own annual PCI Level 1 audit.</w:t>
      </w:r>
    </w:p>
    <w:p>
      <w:pPr>
        <w:pStyle w:val="Heading3"/>
        <w:spacing w:before="160" w:after="60"/>
      </w:pPr>
      <w:r>
        <w:rPr>
          <w:b/>
          <w:color w:val="2E75B6"/>
          <w:sz w:val="23"/>
        </w:rPr>
        <w:t>PCI-DSS Controls Within Reduced Scope</w:t>
      </w:r>
    </w:p>
    <w:tbl>
      <w:tblPr>
        <w:tblStyle w:val="TableGrid"/>
        <w:tblW w:type="auto" w:w="0"/>
        <w:jc w:val="center"/>
        <w:tblLook w:firstColumn="1" w:firstRow="1" w:lastColumn="0" w:lastRow="0" w:noHBand="0" w:noVBand="1" w:val="04A0"/>
      </w:tblPr>
      <w:tblGrid>
        <w:gridCol w:w="4824"/>
        <w:gridCol w:w="4824"/>
      </w:tblGrid>
      <w:tr>
        <w:tc>
          <w:tcPr>
            <w:tcW w:type="dxa" w:w="4824"/>
            <w:shd w:val="clear" w:fill="1F3864"/>
          </w:tcPr>
          <w:p>
            <w:pPr>
              <w:spacing w:after="20" w:before="20"/>
            </w:pPr>
            <w:r/>
            <w:r>
              <w:rPr>
                <w:b/>
                <w:i w:val="0"/>
                <w:color w:val="FFFFFF"/>
                <w:sz w:val="19"/>
              </w:rPr>
              <w:t>PCI-DSS Requirement</w:t>
            </w:r>
          </w:p>
        </w:tc>
        <w:tc>
          <w:tcPr>
            <w:tcW w:type="dxa" w:w="4824"/>
            <w:shd w:val="clear" w:fill="1F3864"/>
          </w:tcPr>
          <w:p>
            <w:pPr>
              <w:spacing w:after="20" w:before="20"/>
            </w:pPr>
            <w:r/>
            <w:r>
              <w:rPr>
                <w:b/>
                <w:i w:val="0"/>
                <w:color w:val="FFFFFF"/>
                <w:sz w:val="19"/>
              </w:rPr>
              <w:t>TAIS Control</w:t>
            </w:r>
          </w:p>
        </w:tc>
      </w:tr>
      <w:tr>
        <w:tc>
          <w:tcPr>
            <w:tcW w:type="dxa" w:w="4824"/>
          </w:tcPr>
          <w:p>
            <w:pPr>
              <w:spacing w:after="20" w:before="20"/>
            </w:pPr>
            <w:r/>
            <w:r>
              <w:rPr>
                <w:b w:val="0"/>
                <w:i w:val="0"/>
                <w:sz w:val="19"/>
              </w:rPr>
              <w:t>Req 1 — Network security controls</w:t>
            </w:r>
          </w:p>
        </w:tc>
        <w:tc>
          <w:tcPr>
            <w:tcW w:type="dxa" w:w="4824"/>
          </w:tcPr>
          <w:p>
            <w:pPr>
              <w:spacing w:after="20" w:before="20"/>
            </w:pPr>
            <w:r/>
            <w:r>
              <w:rPr>
                <w:b w:val="0"/>
                <w:i w:val="0"/>
                <w:sz w:val="19"/>
              </w:rPr>
              <w:t>Firewall rules enforced; private VPC; network segmentation between payment services and non-payment services</w:t>
            </w:r>
          </w:p>
        </w:tc>
      </w:tr>
      <w:tr>
        <w:tc>
          <w:tcPr>
            <w:tcW w:type="dxa" w:w="4824"/>
            <w:shd w:val="clear" w:fill="EEF3F8"/>
          </w:tcPr>
          <w:p>
            <w:pPr>
              <w:spacing w:after="20" w:before="20"/>
            </w:pPr>
            <w:r/>
            <w:r>
              <w:rPr>
                <w:b w:val="0"/>
                <w:i w:val="0"/>
                <w:sz w:val="19"/>
              </w:rPr>
              <w:t>Req 2 — Secure configurations</w:t>
            </w:r>
          </w:p>
        </w:tc>
        <w:tc>
          <w:tcPr>
            <w:tcW w:type="dxa" w:w="4824"/>
            <w:shd w:val="clear" w:fill="EEF3F8"/>
          </w:tcPr>
          <w:p>
            <w:pPr>
              <w:spacing w:after="20" w:before="20"/>
            </w:pPr>
            <w:r/>
            <w:r>
              <w:rPr>
                <w:b w:val="0"/>
                <w:i w:val="0"/>
                <w:sz w:val="19"/>
              </w:rPr>
              <w:t>Hardened base container images; no default credentials anywhere; automated configuration compliance scanning</w:t>
            </w:r>
          </w:p>
        </w:tc>
      </w:tr>
      <w:tr>
        <w:tc>
          <w:tcPr>
            <w:tcW w:type="dxa" w:w="4824"/>
          </w:tcPr>
          <w:p>
            <w:pPr>
              <w:spacing w:after="20" w:before="20"/>
            </w:pPr>
            <w:r/>
            <w:r>
              <w:rPr>
                <w:b w:val="0"/>
                <w:i w:val="0"/>
                <w:sz w:val="19"/>
              </w:rPr>
              <w:t>Req 3 — Protect stored account data</w:t>
            </w:r>
          </w:p>
        </w:tc>
        <w:tc>
          <w:tcPr>
            <w:tcW w:type="dxa" w:w="4824"/>
          </w:tcPr>
          <w:p>
            <w:pPr>
              <w:spacing w:after="20" w:before="20"/>
            </w:pPr>
            <w:r/>
            <w:r>
              <w:rPr>
                <w:b w:val="0"/>
                <w:i w:val="0"/>
                <w:sz w:val="19"/>
              </w:rPr>
              <w:t>No PANs stored anywhere in TAIS; payment tokens stored encrypted; token vault access logged and audited</w:t>
            </w:r>
          </w:p>
        </w:tc>
      </w:tr>
      <w:tr>
        <w:tc>
          <w:tcPr>
            <w:tcW w:type="dxa" w:w="4824"/>
            <w:shd w:val="clear" w:fill="EEF3F8"/>
          </w:tcPr>
          <w:p>
            <w:pPr>
              <w:spacing w:after="20" w:before="20"/>
            </w:pPr>
            <w:r/>
            <w:r>
              <w:rPr>
                <w:b w:val="0"/>
                <w:i w:val="0"/>
                <w:sz w:val="19"/>
              </w:rPr>
              <w:t>Req 4 — Protect data in transit</w:t>
            </w:r>
          </w:p>
        </w:tc>
        <w:tc>
          <w:tcPr>
            <w:tcW w:type="dxa" w:w="4824"/>
            <w:shd w:val="clear" w:fill="EEF3F8"/>
          </w:tcPr>
          <w:p>
            <w:pPr>
              <w:spacing w:after="20" w:before="20"/>
            </w:pPr>
            <w:r/>
            <w:r>
              <w:rPr>
                <w:b w:val="0"/>
                <w:i w:val="0"/>
                <w:sz w:val="19"/>
              </w:rPr>
              <w:t>TLS 1.3 enforced on all API endpoints; certificate pinning on mobile applications</w:t>
            </w:r>
          </w:p>
        </w:tc>
      </w:tr>
      <w:tr>
        <w:tc>
          <w:tcPr>
            <w:tcW w:type="dxa" w:w="4824"/>
          </w:tcPr>
          <w:p>
            <w:pPr>
              <w:spacing w:after="20" w:before="20"/>
            </w:pPr>
            <w:r/>
            <w:r>
              <w:rPr>
                <w:b w:val="0"/>
                <w:i w:val="0"/>
                <w:sz w:val="19"/>
              </w:rPr>
              <w:t>Req 6 — Secure software development</w:t>
            </w:r>
          </w:p>
        </w:tc>
        <w:tc>
          <w:tcPr>
            <w:tcW w:type="dxa" w:w="4824"/>
          </w:tcPr>
          <w:p>
            <w:pPr>
              <w:spacing w:after="20" w:before="20"/>
            </w:pPr>
            <w:r/>
            <w:r>
              <w:rPr>
                <w:b w:val="0"/>
                <w:i w:val="0"/>
                <w:sz w:val="19"/>
              </w:rPr>
              <w:t>OWASP ASVS Level 2 baseline; SAST and DAST in CI/CD pipeline; dependency vulnerability scanning on every build</w:t>
            </w:r>
          </w:p>
        </w:tc>
      </w:tr>
      <w:tr>
        <w:tc>
          <w:tcPr>
            <w:tcW w:type="dxa" w:w="4824"/>
            <w:shd w:val="clear" w:fill="EEF3F8"/>
          </w:tcPr>
          <w:p>
            <w:pPr>
              <w:spacing w:after="20" w:before="20"/>
            </w:pPr>
            <w:r/>
            <w:r>
              <w:rPr>
                <w:b w:val="0"/>
                <w:i w:val="0"/>
                <w:sz w:val="19"/>
              </w:rPr>
              <w:t>Req 7 — Restrict access to system components</w:t>
            </w:r>
          </w:p>
        </w:tc>
        <w:tc>
          <w:tcPr>
            <w:tcW w:type="dxa" w:w="4824"/>
            <w:shd w:val="clear" w:fill="EEF3F8"/>
          </w:tcPr>
          <w:p>
            <w:pPr>
              <w:spacing w:after="20" w:before="20"/>
            </w:pPr>
            <w:r/>
            <w:r>
              <w:rPr>
                <w:b w:val="0"/>
                <w:i w:val="0"/>
                <w:sz w:val="19"/>
              </w:rPr>
              <w:t>RBAC; least privilege principle; payment service access limited to Finance Service only</w:t>
            </w:r>
          </w:p>
        </w:tc>
      </w:tr>
      <w:tr>
        <w:tc>
          <w:tcPr>
            <w:tcW w:type="dxa" w:w="4824"/>
          </w:tcPr>
          <w:p>
            <w:pPr>
              <w:spacing w:after="20" w:before="20"/>
            </w:pPr>
            <w:r/>
            <w:r>
              <w:rPr>
                <w:b w:val="0"/>
                <w:i w:val="0"/>
                <w:sz w:val="19"/>
              </w:rPr>
              <w:t>Req 8 — Identify users and authenticate</w:t>
            </w:r>
          </w:p>
        </w:tc>
        <w:tc>
          <w:tcPr>
            <w:tcW w:type="dxa" w:w="4824"/>
          </w:tcPr>
          <w:p>
            <w:pPr>
              <w:spacing w:after="20" w:before="20"/>
            </w:pPr>
            <w:r/>
            <w:r>
              <w:rPr>
                <w:b w:val="0"/>
                <w:i w:val="0"/>
                <w:sz w:val="19"/>
              </w:rPr>
              <w:t>Unique IDs per user; MFA for all administrative access; no shared credentials</w:t>
            </w:r>
          </w:p>
        </w:tc>
      </w:tr>
      <w:tr>
        <w:tc>
          <w:tcPr>
            <w:tcW w:type="dxa" w:w="4824"/>
            <w:shd w:val="clear" w:fill="EEF3F8"/>
          </w:tcPr>
          <w:p>
            <w:pPr>
              <w:spacing w:after="20" w:before="20"/>
            </w:pPr>
            <w:r/>
            <w:r>
              <w:rPr>
                <w:b w:val="0"/>
                <w:i w:val="0"/>
                <w:sz w:val="19"/>
              </w:rPr>
              <w:t>Req 10 — Log and monitor</w:t>
            </w:r>
          </w:p>
        </w:tc>
        <w:tc>
          <w:tcPr>
            <w:tcW w:type="dxa" w:w="4824"/>
            <w:shd w:val="clear" w:fill="EEF3F8"/>
          </w:tcPr>
          <w:p>
            <w:pPr>
              <w:spacing w:after="20" w:before="20"/>
            </w:pPr>
            <w:r/>
            <w:r>
              <w:rPr>
                <w:b w:val="0"/>
                <w:i w:val="0"/>
                <w:sz w:val="19"/>
              </w:rPr>
              <w:t>All payment-adjacent events logged with immutable audit trail; log integrity monitoring; alert on anomalies</w:t>
            </w:r>
          </w:p>
        </w:tc>
      </w:tr>
      <w:tr>
        <w:tc>
          <w:tcPr>
            <w:tcW w:type="dxa" w:w="4824"/>
          </w:tcPr>
          <w:p>
            <w:pPr>
              <w:spacing w:after="20" w:before="20"/>
            </w:pPr>
            <w:r/>
            <w:r>
              <w:rPr>
                <w:b w:val="0"/>
                <w:i w:val="0"/>
                <w:sz w:val="19"/>
              </w:rPr>
              <w:t>Req 11 — Test security regularly</w:t>
            </w:r>
          </w:p>
        </w:tc>
        <w:tc>
          <w:tcPr>
            <w:tcW w:type="dxa" w:w="4824"/>
          </w:tcPr>
          <w:p>
            <w:pPr>
              <w:spacing w:after="20" w:before="20"/>
            </w:pPr>
            <w:r/>
            <w:r>
              <w:rPr>
                <w:b w:val="0"/>
                <w:i w:val="0"/>
                <w:sz w:val="19"/>
              </w:rPr>
              <w:t>Quarterly vulnerability scans; annual penetration test; continuous automated scanning in CI/CD</w:t>
            </w:r>
          </w:p>
        </w:tc>
      </w:tr>
      <w:tr>
        <w:tc>
          <w:tcPr>
            <w:tcW w:type="dxa" w:w="4824"/>
            <w:shd w:val="clear" w:fill="EEF3F8"/>
          </w:tcPr>
          <w:p>
            <w:pPr>
              <w:spacing w:after="20" w:before="20"/>
            </w:pPr>
            <w:r/>
            <w:r>
              <w:rPr>
                <w:b w:val="0"/>
                <w:i w:val="0"/>
                <w:sz w:val="19"/>
              </w:rPr>
              <w:t>Req 12 — Support information security policy</w:t>
            </w:r>
          </w:p>
        </w:tc>
        <w:tc>
          <w:tcPr>
            <w:tcW w:type="dxa" w:w="4824"/>
            <w:shd w:val="clear" w:fill="EEF3F8"/>
          </w:tcPr>
          <w:p>
            <w:pPr>
              <w:spacing w:after="20" w:before="20"/>
            </w:pPr>
            <w:r/>
            <w:r>
              <w:rPr>
                <w:b w:val="0"/>
                <w:i w:val="0"/>
                <w:sz w:val="19"/>
              </w:rPr>
              <w:t>Security policies documented; staff security training; incident response plan maintained and tested</w:t>
            </w:r>
          </w:p>
        </w:tc>
      </w:tr>
    </w:tbl>
    <w:p>
      <w:pPr>
        <w:spacing w:after="40"/>
      </w:pPr>
    </w:p>
    <w:p>
      <w:pPr>
        <w:pStyle w:val="Heading3"/>
        <w:spacing w:before="160" w:after="60"/>
      </w:pPr>
      <w:r>
        <w:rPr>
          <w:b/>
          <w:color w:val="2E75B6"/>
          <w:sz w:val="23"/>
        </w:rPr>
        <w:t>PCI Deliverables</w:t>
      </w:r>
    </w:p>
    <w:p>
      <w:pPr>
        <w:pStyle w:val="ListBullet"/>
        <w:spacing w:after="40"/>
      </w:pPr>
      <w:r>
        <w:rPr>
          <w:b w:val="0"/>
          <w:i w:val="0"/>
        </w:rPr>
        <w:t>PCI-DSS Responsibility Matrix — what TAIS covers vs what Stripe covers</w:t>
      </w:r>
    </w:p>
    <w:p>
      <w:pPr>
        <w:pStyle w:val="ListBullet"/>
        <w:spacing w:after="40"/>
      </w:pPr>
      <w:r>
        <w:rPr>
          <w:b w:val="0"/>
          <w:i w:val="0"/>
        </w:rPr>
        <w:t>Payment data flow diagrams</w:t>
      </w:r>
    </w:p>
    <w:p>
      <w:pPr>
        <w:pStyle w:val="ListBullet"/>
        <w:spacing w:after="40"/>
      </w:pPr>
      <w:r>
        <w:rPr>
          <w:b w:val="0"/>
          <w:i w:val="0"/>
        </w:rPr>
        <w:t>Network segmentation diagrams for PCI assessor</w:t>
      </w:r>
    </w:p>
    <w:p>
      <w:pPr>
        <w:pStyle w:val="ListBullet"/>
        <w:spacing w:after="40"/>
      </w:pPr>
      <w:r>
        <w:rPr>
          <w:b w:val="0"/>
          <w:i w:val="0"/>
        </w:rPr>
        <w:t>Evidence package supporting PCI assessment</w:t>
      </w:r>
    </w:p>
    <w:p>
      <w:pPr>
        <w:pStyle w:val="Heading2"/>
        <w:spacing w:before="200" w:after="80"/>
      </w:pPr>
      <w:r>
        <w:rPr>
          <w:b/>
          <w:color w:val="2E75B6"/>
          <w:sz w:val="28"/>
        </w:rPr>
        <w:t>7.4 Application Security — OWASP &amp; Secure SDLC</w:t>
      </w:r>
    </w:p>
    <w:p>
      <w:pPr>
        <w:spacing w:after="120" w:line="259" w:lineRule="auto"/>
      </w:pPr>
      <w:r>
        <w:rPr>
          <w:b w:val="0"/>
          <w:i w:val="0"/>
        </w:rPr>
        <w:t>Beyond regulatory frameworks, the platform is built following a Secure Software Development Lifecycle with OWASP ASVS Level 2 as the baseline standard. Every item in the OWASP Top 10 is explicitly addressed in the application design.</w:t>
      </w:r>
    </w:p>
    <w:tbl>
      <w:tblPr>
        <w:tblStyle w:val="TableGrid"/>
        <w:tblW w:type="auto" w:w="0"/>
        <w:jc w:val="center"/>
        <w:tblLook w:firstColumn="1" w:firstRow="1" w:lastColumn="0" w:lastRow="0" w:noHBand="0" w:noVBand="1" w:val="04A0"/>
      </w:tblPr>
      <w:tblGrid>
        <w:gridCol w:w="4824"/>
        <w:gridCol w:w="4824"/>
      </w:tblGrid>
      <w:tr>
        <w:tc>
          <w:tcPr>
            <w:tcW w:type="dxa" w:w="4824"/>
            <w:shd w:val="clear" w:fill="1F3864"/>
          </w:tcPr>
          <w:p>
            <w:pPr>
              <w:spacing w:after="20" w:before="20"/>
            </w:pPr>
            <w:r/>
            <w:r>
              <w:rPr>
                <w:b/>
                <w:i w:val="0"/>
                <w:color w:val="FFFFFF"/>
                <w:sz w:val="19"/>
              </w:rPr>
              <w:t>OWASP Top 10 Risk</w:t>
            </w:r>
          </w:p>
        </w:tc>
        <w:tc>
          <w:tcPr>
            <w:tcW w:type="dxa" w:w="4824"/>
            <w:shd w:val="clear" w:fill="1F3864"/>
          </w:tcPr>
          <w:p>
            <w:pPr>
              <w:spacing w:after="20" w:before="20"/>
            </w:pPr>
            <w:r/>
            <w:r>
              <w:rPr>
                <w:b/>
                <w:i w:val="0"/>
                <w:color w:val="FFFFFF"/>
                <w:sz w:val="19"/>
              </w:rPr>
              <w:t>TAIS Control</w:t>
            </w:r>
          </w:p>
        </w:tc>
      </w:tr>
      <w:tr>
        <w:tc>
          <w:tcPr>
            <w:tcW w:type="dxa" w:w="4824"/>
          </w:tcPr>
          <w:p>
            <w:pPr>
              <w:spacing w:after="20" w:before="20"/>
            </w:pPr>
            <w:r/>
            <w:r>
              <w:rPr>
                <w:b w:val="0"/>
                <w:i w:val="0"/>
                <w:sz w:val="19"/>
              </w:rPr>
              <w:t>A01 Broken Access Control</w:t>
            </w:r>
          </w:p>
        </w:tc>
        <w:tc>
          <w:tcPr>
            <w:tcW w:type="dxa" w:w="4824"/>
          </w:tcPr>
          <w:p>
            <w:pPr>
              <w:spacing w:after="20" w:before="20"/>
            </w:pPr>
            <w:r/>
            <w:r>
              <w:rPr>
                <w:b w:val="0"/>
                <w:i w:val="0"/>
                <w:sz w:val="19"/>
              </w:rPr>
              <w:t>RBAC enforced server-side on every endpoint; tenant isolation at database layer enforced by PostgreSQL RLS; automated access control testing in CI pipeline</w:t>
            </w:r>
          </w:p>
        </w:tc>
      </w:tr>
      <w:tr>
        <w:tc>
          <w:tcPr>
            <w:tcW w:type="dxa" w:w="4824"/>
            <w:shd w:val="clear" w:fill="EEF3F8"/>
          </w:tcPr>
          <w:p>
            <w:pPr>
              <w:spacing w:after="20" w:before="20"/>
            </w:pPr>
            <w:r/>
            <w:r>
              <w:rPr>
                <w:b w:val="0"/>
                <w:i w:val="0"/>
                <w:sz w:val="19"/>
              </w:rPr>
              <w:t>A02 Cryptographic Failures</w:t>
            </w:r>
          </w:p>
        </w:tc>
        <w:tc>
          <w:tcPr>
            <w:tcW w:type="dxa" w:w="4824"/>
            <w:shd w:val="clear" w:fill="EEF3F8"/>
          </w:tcPr>
          <w:p>
            <w:pPr>
              <w:spacing w:after="20" w:before="20"/>
            </w:pPr>
            <w:r/>
            <w:r>
              <w:rPr>
                <w:b w:val="0"/>
                <w:i w:val="0"/>
                <w:sz w:val="19"/>
              </w:rPr>
              <w:t>TLS 1.3 everywhere; AES-256 at rest; no weak cipher suites permitted; automated certificate rotation; no hardcoded secrets</w:t>
            </w:r>
          </w:p>
        </w:tc>
      </w:tr>
      <w:tr>
        <w:tc>
          <w:tcPr>
            <w:tcW w:type="dxa" w:w="4824"/>
          </w:tcPr>
          <w:p>
            <w:pPr>
              <w:spacing w:after="20" w:before="20"/>
            </w:pPr>
            <w:r/>
            <w:r>
              <w:rPr>
                <w:b w:val="0"/>
                <w:i w:val="0"/>
                <w:sz w:val="19"/>
              </w:rPr>
              <w:t>A03 Injection</w:t>
            </w:r>
          </w:p>
        </w:tc>
        <w:tc>
          <w:tcPr>
            <w:tcW w:type="dxa" w:w="4824"/>
          </w:tcPr>
          <w:p>
            <w:pPr>
              <w:spacing w:after="20" w:before="20"/>
            </w:pPr>
            <w:r/>
            <w:r>
              <w:rPr>
                <w:b w:val="0"/>
                <w:i w:val="0"/>
                <w:sz w:val="19"/>
              </w:rPr>
              <w:t>Parameterised queries and ORM throughout; no raw SQL string construction; input validation at every API boundary</w:t>
            </w:r>
          </w:p>
        </w:tc>
      </w:tr>
      <w:tr>
        <w:tc>
          <w:tcPr>
            <w:tcW w:type="dxa" w:w="4824"/>
            <w:shd w:val="clear" w:fill="EEF3F8"/>
          </w:tcPr>
          <w:p>
            <w:pPr>
              <w:spacing w:after="20" w:before="20"/>
            </w:pPr>
            <w:r/>
            <w:r>
              <w:rPr>
                <w:b w:val="0"/>
                <w:i w:val="0"/>
                <w:sz w:val="19"/>
              </w:rPr>
              <w:t>A04 Insecure Design</w:t>
            </w:r>
          </w:p>
        </w:tc>
        <w:tc>
          <w:tcPr>
            <w:tcW w:type="dxa" w:w="4824"/>
            <w:shd w:val="clear" w:fill="EEF3F8"/>
          </w:tcPr>
          <w:p>
            <w:pPr>
              <w:spacing w:after="20" w:before="20"/>
            </w:pPr>
            <w:r/>
            <w:r>
              <w:rPr>
                <w:b w:val="0"/>
                <w:i w:val="0"/>
                <w:sz w:val="19"/>
              </w:rPr>
              <w:t>Threat modelling conducted at design phase for each service; security requirements in definition of done; security review before production promotion</w:t>
            </w:r>
          </w:p>
        </w:tc>
      </w:tr>
      <w:tr>
        <w:tc>
          <w:tcPr>
            <w:tcW w:type="dxa" w:w="4824"/>
          </w:tcPr>
          <w:p>
            <w:pPr>
              <w:spacing w:after="20" w:before="20"/>
            </w:pPr>
            <w:r/>
            <w:r>
              <w:rPr>
                <w:b w:val="0"/>
                <w:i w:val="0"/>
                <w:sz w:val="19"/>
              </w:rPr>
              <w:t>A05 Security Misconfiguration</w:t>
            </w:r>
          </w:p>
        </w:tc>
        <w:tc>
          <w:tcPr>
            <w:tcW w:type="dxa" w:w="4824"/>
          </w:tcPr>
          <w:p>
            <w:pPr>
              <w:spacing w:after="20" w:before="20"/>
            </w:pPr>
            <w:r/>
            <w:r>
              <w:rPr>
                <w:b w:val="0"/>
                <w:i w:val="0"/>
                <w:sz w:val="19"/>
              </w:rPr>
              <w:t>Infrastructure-as-Code with security baselines enforced; automated config compliance scanning; no debug endpoints in production</w:t>
            </w:r>
          </w:p>
        </w:tc>
      </w:tr>
      <w:tr>
        <w:tc>
          <w:tcPr>
            <w:tcW w:type="dxa" w:w="4824"/>
            <w:shd w:val="clear" w:fill="EEF3F8"/>
          </w:tcPr>
          <w:p>
            <w:pPr>
              <w:spacing w:after="20" w:before="20"/>
            </w:pPr>
            <w:r/>
            <w:r>
              <w:rPr>
                <w:b w:val="0"/>
                <w:i w:val="0"/>
                <w:sz w:val="19"/>
              </w:rPr>
              <w:t>A06 Vulnerable Components</w:t>
            </w:r>
          </w:p>
        </w:tc>
        <w:tc>
          <w:tcPr>
            <w:tcW w:type="dxa" w:w="4824"/>
            <w:shd w:val="clear" w:fill="EEF3F8"/>
          </w:tcPr>
          <w:p>
            <w:pPr>
              <w:spacing w:after="20" w:before="20"/>
            </w:pPr>
            <w:r/>
            <w:r>
              <w:rPr>
                <w:b w:val="0"/>
                <w:i w:val="0"/>
                <w:sz w:val="19"/>
              </w:rPr>
              <w:t>Automated dependency scanning (Snyk) in every pull request; critical CVEs block merge; component inventory tracked in SBOM</w:t>
            </w:r>
          </w:p>
        </w:tc>
      </w:tr>
      <w:tr>
        <w:tc>
          <w:tcPr>
            <w:tcW w:type="dxa" w:w="4824"/>
          </w:tcPr>
          <w:p>
            <w:pPr>
              <w:spacing w:after="20" w:before="20"/>
            </w:pPr>
            <w:r/>
            <w:r>
              <w:rPr>
                <w:b w:val="0"/>
                <w:i w:val="0"/>
                <w:sz w:val="19"/>
              </w:rPr>
              <w:t>A07 Identification and Auth Failures</w:t>
            </w:r>
          </w:p>
        </w:tc>
        <w:tc>
          <w:tcPr>
            <w:tcW w:type="dxa" w:w="4824"/>
          </w:tcPr>
          <w:p>
            <w:pPr>
              <w:spacing w:after="20" w:before="20"/>
            </w:pPr>
            <w:r/>
            <w:r>
              <w:rPr>
                <w:b w:val="0"/>
                <w:i w:val="0"/>
                <w:sz w:val="19"/>
              </w:rPr>
              <w:t>Short-lived JWTs (15-minute expiry); refresh token rotation on use; account lockout after failed attempts; MFA for all administrative accounts</w:t>
            </w:r>
          </w:p>
        </w:tc>
      </w:tr>
      <w:tr>
        <w:tc>
          <w:tcPr>
            <w:tcW w:type="dxa" w:w="4824"/>
            <w:shd w:val="clear" w:fill="EEF3F8"/>
          </w:tcPr>
          <w:p>
            <w:pPr>
              <w:spacing w:after="20" w:before="20"/>
            </w:pPr>
            <w:r/>
            <w:r>
              <w:rPr>
                <w:b w:val="0"/>
                <w:i w:val="0"/>
                <w:sz w:val="19"/>
              </w:rPr>
              <w:t>A08 Software and Data Integrity Failures</w:t>
            </w:r>
          </w:p>
        </w:tc>
        <w:tc>
          <w:tcPr>
            <w:tcW w:type="dxa" w:w="4824"/>
            <w:shd w:val="clear" w:fill="EEF3F8"/>
          </w:tcPr>
          <w:p>
            <w:pPr>
              <w:spacing w:after="20" w:before="20"/>
            </w:pPr>
            <w:r/>
            <w:r>
              <w:rPr>
                <w:b w:val="0"/>
                <w:i w:val="0"/>
                <w:sz w:val="19"/>
              </w:rPr>
              <w:t>Signed container images; Software Bill of Materials (SBOM) generated per release; Sigstore for artifact signing and verification</w:t>
            </w:r>
          </w:p>
        </w:tc>
      </w:tr>
      <w:tr>
        <w:tc>
          <w:tcPr>
            <w:tcW w:type="dxa" w:w="4824"/>
          </w:tcPr>
          <w:p>
            <w:pPr>
              <w:spacing w:after="20" w:before="20"/>
            </w:pPr>
            <w:r/>
            <w:r>
              <w:rPr>
                <w:b w:val="0"/>
                <w:i w:val="0"/>
                <w:sz w:val="19"/>
              </w:rPr>
              <w:t>A09 Security Logging and Monitoring Failures</w:t>
            </w:r>
          </w:p>
        </w:tc>
        <w:tc>
          <w:tcPr>
            <w:tcW w:type="dxa" w:w="4824"/>
          </w:tcPr>
          <w:p>
            <w:pPr>
              <w:spacing w:after="20" w:before="20"/>
            </w:pPr>
            <w:r/>
            <w:r>
              <w:rPr>
                <w:b w:val="0"/>
                <w:i w:val="0"/>
                <w:sz w:val="19"/>
              </w:rPr>
              <w:t>Structured logging on every service; centralised log aggregation; security events to immutable audit store; alerting on anomalous patterns</w:t>
            </w:r>
          </w:p>
        </w:tc>
      </w:tr>
      <w:tr>
        <w:tc>
          <w:tcPr>
            <w:tcW w:type="dxa" w:w="4824"/>
            <w:shd w:val="clear" w:fill="EEF3F8"/>
          </w:tcPr>
          <w:p>
            <w:pPr>
              <w:spacing w:after="20" w:before="20"/>
            </w:pPr>
            <w:r/>
            <w:r>
              <w:rPr>
                <w:b w:val="0"/>
                <w:i w:val="0"/>
                <w:sz w:val="19"/>
              </w:rPr>
              <w:t>A10 Server-Side Request Forgery</w:t>
            </w:r>
          </w:p>
        </w:tc>
        <w:tc>
          <w:tcPr>
            <w:tcW w:type="dxa" w:w="4824"/>
            <w:shd w:val="clear" w:fill="EEF3F8"/>
          </w:tcPr>
          <w:p>
            <w:pPr>
              <w:spacing w:after="20" w:before="20"/>
            </w:pPr>
            <w:r/>
            <w:r>
              <w:rPr>
                <w:b w:val="0"/>
                <w:i w:val="0"/>
                <w:sz w:val="19"/>
              </w:rPr>
              <w:t>Outbound request allowlisting; no user-controlled URLs processed server-side; network egress controls enforced at Kubernetes level</w:t>
            </w:r>
          </w:p>
        </w:tc>
      </w:tr>
    </w:tbl>
    <w:p>
      <w:pPr>
        <w:spacing w:after="40"/>
      </w:pPr>
    </w:p>
    <w:p>
      <w:pPr>
        <w:pStyle w:val="Heading2"/>
        <w:spacing w:before="200" w:after="80"/>
      </w:pPr>
      <w:r>
        <w:rPr>
          <w:b/>
          <w:color w:val="2E75B6"/>
          <w:sz w:val="28"/>
        </w:rPr>
        <w:t>7.5 Data Protection &amp; Privacy</w:t>
      </w:r>
    </w:p>
    <w:p>
      <w:pPr>
        <w:spacing w:after="120" w:line="259" w:lineRule="auto"/>
      </w:pPr>
      <w:r>
        <w:rPr>
          <w:b w:val="0"/>
          <w:i w:val="0"/>
        </w:rPr>
        <w:t>The platform is designed for UAE PDPL compliance, with provisions aligned to GDPR principles for international guests. Data protection is architectural — built into the platform’s data model and access controls — not procedural.</w:t>
      </w:r>
    </w:p>
    <w:tbl>
      <w:tblPr>
        <w:tblStyle w:val="TableGrid"/>
        <w:tblW w:type="auto" w:w="0"/>
        <w:jc w:val="center"/>
        <w:tblLook w:firstColumn="1" w:firstRow="1" w:lastColumn="0" w:lastRow="0" w:noHBand="0" w:noVBand="1" w:val="04A0"/>
      </w:tblPr>
      <w:tblGrid>
        <w:gridCol w:w="4824"/>
        <w:gridCol w:w="4824"/>
      </w:tblGrid>
      <w:tr>
        <w:tc>
          <w:tcPr>
            <w:tcW w:type="dxa" w:w="4824"/>
            <w:shd w:val="clear" w:fill="1F3864"/>
          </w:tcPr>
          <w:p>
            <w:pPr>
              <w:spacing w:after="20" w:before="20"/>
            </w:pPr>
            <w:r/>
            <w:r>
              <w:rPr>
                <w:b/>
                <w:i w:val="0"/>
                <w:color w:val="FFFFFF"/>
                <w:sz w:val="19"/>
              </w:rPr>
              <w:t>Area</w:t>
            </w:r>
          </w:p>
        </w:tc>
        <w:tc>
          <w:tcPr>
            <w:tcW w:type="dxa" w:w="4824"/>
            <w:shd w:val="clear" w:fill="1F3864"/>
          </w:tcPr>
          <w:p>
            <w:pPr>
              <w:spacing w:after="20" w:before="20"/>
            </w:pPr>
            <w:r/>
            <w:r>
              <w:rPr>
                <w:b/>
                <w:i w:val="0"/>
                <w:color w:val="FFFFFF"/>
                <w:sz w:val="19"/>
              </w:rPr>
              <w:t>Approach</w:t>
            </w:r>
          </w:p>
        </w:tc>
      </w:tr>
      <w:tr>
        <w:tc>
          <w:tcPr>
            <w:tcW w:type="dxa" w:w="4824"/>
          </w:tcPr>
          <w:p>
            <w:pPr>
              <w:spacing w:after="20" w:before="20"/>
            </w:pPr>
            <w:r/>
            <w:r>
              <w:rPr>
                <w:b w:val="0"/>
                <w:i w:val="0"/>
                <w:sz w:val="19"/>
              </w:rPr>
              <w:t>PII encryption</w:t>
            </w:r>
          </w:p>
        </w:tc>
        <w:tc>
          <w:tcPr>
            <w:tcW w:type="dxa" w:w="4824"/>
          </w:tcPr>
          <w:p>
            <w:pPr>
              <w:spacing w:after="20" w:before="20"/>
            </w:pPr>
            <w:r/>
            <w:r>
              <w:rPr>
                <w:b w:val="0"/>
                <w:i w:val="0"/>
                <w:sz w:val="19"/>
              </w:rPr>
              <w:t>Personal data fields (name, email, phone, passport number) encrypted at field level using AES-256 with per-tenant encryption keys stored in HSM or cloud KMS</w:t>
            </w:r>
          </w:p>
        </w:tc>
      </w:tr>
      <w:tr>
        <w:tc>
          <w:tcPr>
            <w:tcW w:type="dxa" w:w="4824"/>
            <w:shd w:val="clear" w:fill="EEF3F8"/>
          </w:tcPr>
          <w:p>
            <w:pPr>
              <w:spacing w:after="20" w:before="20"/>
            </w:pPr>
            <w:r/>
            <w:r>
              <w:rPr>
                <w:b w:val="0"/>
                <w:i w:val="0"/>
                <w:sz w:val="19"/>
              </w:rPr>
              <w:t>Data minimisation</w:t>
            </w:r>
          </w:p>
        </w:tc>
        <w:tc>
          <w:tcPr>
            <w:tcW w:type="dxa" w:w="4824"/>
            <w:shd w:val="clear" w:fill="EEF3F8"/>
          </w:tcPr>
          <w:p>
            <w:pPr>
              <w:spacing w:after="20" w:before="20"/>
            </w:pPr>
            <w:r/>
            <w:r>
              <w:rPr>
                <w:b w:val="0"/>
                <w:i w:val="0"/>
                <w:sz w:val="19"/>
              </w:rPr>
              <w:t>Only data necessary for the operational purpose is collected and stored. Data collection forms are configurable per requirement. Opera PMS integration is scoped to minimum data fields required for each integration flow.</w:t>
            </w:r>
          </w:p>
        </w:tc>
      </w:tr>
      <w:tr>
        <w:tc>
          <w:tcPr>
            <w:tcW w:type="dxa" w:w="4824"/>
          </w:tcPr>
          <w:p>
            <w:pPr>
              <w:spacing w:after="20" w:before="20"/>
            </w:pPr>
            <w:r/>
            <w:r>
              <w:rPr>
                <w:b w:val="0"/>
                <w:i w:val="0"/>
                <w:sz w:val="19"/>
              </w:rPr>
              <w:t>Data retention</w:t>
            </w:r>
          </w:p>
        </w:tc>
        <w:tc>
          <w:tcPr>
            <w:tcW w:type="dxa" w:w="4824"/>
          </w:tcPr>
          <w:p>
            <w:pPr>
              <w:spacing w:after="20" w:before="20"/>
            </w:pPr>
            <w:r/>
            <w:r>
              <w:rPr>
                <w:b w:val="0"/>
                <w:i w:val="0"/>
                <w:sz w:val="19"/>
              </w:rPr>
              <w:t>Configurable retention policies per data category. Automated purge of expired personal data. Financial records retained per UAE regulatory requirements (7 years). Audit logs retained 3 years for operational records.</w:t>
            </w:r>
          </w:p>
        </w:tc>
      </w:tr>
      <w:tr>
        <w:tc>
          <w:tcPr>
            <w:tcW w:type="dxa" w:w="4824"/>
            <w:shd w:val="clear" w:fill="EEF3F8"/>
          </w:tcPr>
          <w:p>
            <w:pPr>
              <w:spacing w:after="20" w:before="20"/>
            </w:pPr>
            <w:r/>
            <w:r>
              <w:rPr>
                <w:b w:val="0"/>
                <w:i w:val="0"/>
                <w:sz w:val="19"/>
              </w:rPr>
              <w:t>Right to erasure</w:t>
            </w:r>
          </w:p>
        </w:tc>
        <w:tc>
          <w:tcPr>
            <w:tcW w:type="dxa" w:w="4824"/>
            <w:shd w:val="clear" w:fill="EEF3F8"/>
          </w:tcPr>
          <w:p>
            <w:pPr>
              <w:spacing w:after="20" w:before="20"/>
            </w:pPr>
            <w:r/>
            <w:r>
              <w:rPr>
                <w:b w:val="0"/>
                <w:i w:val="0"/>
                <w:sz w:val="19"/>
              </w:rPr>
              <w:t>Guest data export and deletion workflows built into the platform. Right to erasure requests can be processed via the admin interface. Financial records that cannot be deleted are anonymised where erasure is not permissible.</w:t>
            </w:r>
          </w:p>
        </w:tc>
      </w:tr>
      <w:tr>
        <w:tc>
          <w:tcPr>
            <w:tcW w:type="dxa" w:w="4824"/>
          </w:tcPr>
          <w:p>
            <w:pPr>
              <w:spacing w:after="20" w:before="20"/>
            </w:pPr>
            <w:r/>
            <w:r>
              <w:rPr>
                <w:b w:val="0"/>
                <w:i w:val="0"/>
                <w:sz w:val="19"/>
              </w:rPr>
              <w:t>Data residency</w:t>
            </w:r>
          </w:p>
        </w:tc>
        <w:tc>
          <w:tcPr>
            <w:tcW w:type="dxa" w:w="4824"/>
          </w:tcPr>
          <w:p>
            <w:pPr>
              <w:spacing w:after="20" w:before="20"/>
            </w:pPr>
            <w:r/>
            <w:r>
              <w:rPr>
                <w:b w:val="0"/>
                <w:i w:val="0"/>
                <w:sz w:val="19"/>
              </w:rPr>
              <w:t>All data stored within the UAE (or client-designated region) by default. No cross-border data transfer without explicit configuration. See Chapter 5 for LLM API policy.</w:t>
            </w:r>
          </w:p>
        </w:tc>
      </w:tr>
      <w:tr>
        <w:tc>
          <w:tcPr>
            <w:tcW w:type="dxa" w:w="4824"/>
            <w:shd w:val="clear" w:fill="EEF3F8"/>
          </w:tcPr>
          <w:p>
            <w:pPr>
              <w:spacing w:after="20" w:before="20"/>
            </w:pPr>
            <w:r/>
            <w:r>
              <w:rPr>
                <w:b w:val="0"/>
                <w:i w:val="0"/>
                <w:sz w:val="19"/>
              </w:rPr>
              <w:t>Breach notification</w:t>
            </w:r>
          </w:p>
        </w:tc>
        <w:tc>
          <w:tcPr>
            <w:tcW w:type="dxa" w:w="4824"/>
            <w:shd w:val="clear" w:fill="EEF3F8"/>
          </w:tcPr>
          <w:p>
            <w:pPr>
              <w:spacing w:after="20" w:before="20"/>
            </w:pPr>
            <w:r/>
            <w:r>
              <w:rPr>
                <w:b w:val="0"/>
                <w:i w:val="0"/>
                <w:sz w:val="19"/>
              </w:rPr>
              <w:t>Incident response playbook includes breach notification procedures aligned to UAE PDPL and DESC requirements. Breach detection tooling integrated into the security monitoring stack.</w:t>
            </w:r>
          </w:p>
        </w:tc>
      </w:tr>
      <w:tr>
        <w:tc>
          <w:tcPr>
            <w:tcW w:type="dxa" w:w="4824"/>
          </w:tcPr>
          <w:p>
            <w:pPr>
              <w:spacing w:after="20" w:before="20"/>
            </w:pPr>
            <w:r/>
            <w:r>
              <w:rPr>
                <w:b w:val="0"/>
                <w:i w:val="0"/>
                <w:sz w:val="19"/>
              </w:rPr>
              <w:t>PDPL cross-border transfers</w:t>
            </w:r>
          </w:p>
        </w:tc>
        <w:tc>
          <w:tcPr>
            <w:tcW w:type="dxa" w:w="4824"/>
          </w:tcPr>
          <w:p>
            <w:pPr>
              <w:spacing w:after="20" w:before="20"/>
            </w:pPr>
            <w:r/>
            <w:r>
              <w:rPr>
                <w:b w:val="0"/>
                <w:i w:val="0"/>
                <w:sz w:val="19"/>
              </w:rPr>
              <w:t>Addressed in Chapter 5 Section 5.16 — three-tier structure covers all AI-related cross-border data flows with explicit compliance mechanisms per tier.</w:t>
            </w:r>
          </w:p>
        </w:tc>
      </w:tr>
    </w:tbl>
    <w:p>
      <w:pPr>
        <w:spacing w:after="40"/>
      </w:pPr>
    </w:p>
    <w:p>
      <w:pPr>
        <w:pStyle w:val="Heading2"/>
        <w:spacing w:before="200" w:after="80"/>
      </w:pPr>
      <w:r>
        <w:rPr>
          <w:b/>
          <w:color w:val="2E75B6"/>
          <w:sz w:val="28"/>
        </w:rPr>
        <w:t>7.6 Security Testing &amp; Ongoing Assurance</w:t>
      </w:r>
    </w:p>
    <w:p>
      <w:pPr>
        <w:spacing w:after="120" w:line="259" w:lineRule="auto"/>
      </w:pPr>
      <w:r>
        <w:rPr>
          <w:b w:val="0"/>
          <w:i w:val="0"/>
        </w:rPr>
        <w:t>Security testing is continuous and multi-layered — automated gates in the CI/CD pipeline, pre-production DAST on every deployment, and annual penetration testing by a qualified third party. Security is not a phase-end activity.</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pPr>
              <w:spacing w:after="20" w:before="20"/>
            </w:pPr>
            <w:r/>
            <w:r>
              <w:rPr>
                <w:b/>
                <w:i w:val="0"/>
                <w:color w:val="FFFFFF"/>
                <w:sz w:val="19"/>
              </w:rPr>
              <w:t>Activity</w:t>
            </w:r>
          </w:p>
        </w:tc>
        <w:tc>
          <w:tcPr>
            <w:tcW w:type="dxa" w:w="3216"/>
            <w:shd w:val="clear" w:fill="1F3864"/>
          </w:tcPr>
          <w:p>
            <w:pPr>
              <w:spacing w:after="20" w:before="20"/>
            </w:pPr>
            <w:r/>
            <w:r>
              <w:rPr>
                <w:b/>
                <w:i w:val="0"/>
                <w:color w:val="FFFFFF"/>
                <w:sz w:val="19"/>
              </w:rPr>
              <w:t>Frequency</w:t>
            </w:r>
          </w:p>
        </w:tc>
        <w:tc>
          <w:tcPr>
            <w:tcW w:type="dxa" w:w="3216"/>
            <w:shd w:val="clear" w:fill="1F3864"/>
          </w:tcPr>
          <w:p>
            <w:pPr>
              <w:spacing w:after="20" w:before="20"/>
            </w:pPr>
            <w:r/>
            <w:r>
              <w:rPr>
                <w:b/>
                <w:i w:val="0"/>
                <w:color w:val="FFFFFF"/>
                <w:sz w:val="19"/>
              </w:rPr>
              <w:t>Scope</w:t>
            </w:r>
          </w:p>
        </w:tc>
      </w:tr>
      <w:tr>
        <w:tc>
          <w:tcPr>
            <w:tcW w:type="dxa" w:w="3216"/>
          </w:tcPr>
          <w:p>
            <w:pPr>
              <w:spacing w:after="20" w:before="20"/>
            </w:pPr>
            <w:r/>
            <w:r>
              <w:rPr>
                <w:b w:val="0"/>
                <w:i w:val="0"/>
                <w:sz w:val="19"/>
              </w:rPr>
              <w:t>Automated SAST (SonarQube)</w:t>
            </w:r>
          </w:p>
        </w:tc>
        <w:tc>
          <w:tcPr>
            <w:tcW w:type="dxa" w:w="3216"/>
          </w:tcPr>
          <w:p>
            <w:pPr>
              <w:spacing w:after="20" w:before="20"/>
            </w:pPr>
            <w:r/>
            <w:r>
              <w:rPr>
                <w:b w:val="0"/>
                <w:i w:val="0"/>
                <w:sz w:val="19"/>
              </w:rPr>
              <w:t>Every code commit</w:t>
            </w:r>
          </w:p>
        </w:tc>
        <w:tc>
          <w:tcPr>
            <w:tcW w:type="dxa" w:w="3216"/>
          </w:tcPr>
          <w:p>
            <w:pPr>
              <w:spacing w:after="20" w:before="20"/>
            </w:pPr>
            <w:r/>
            <w:r>
              <w:rPr>
                <w:b w:val="0"/>
                <w:i w:val="0"/>
                <w:sz w:val="19"/>
              </w:rPr>
              <w:t>All application code — blocks on critical issues</w:t>
            </w:r>
          </w:p>
        </w:tc>
      </w:tr>
      <w:tr>
        <w:tc>
          <w:tcPr>
            <w:tcW w:type="dxa" w:w="3216"/>
            <w:shd w:val="clear" w:fill="EEF3F8"/>
          </w:tcPr>
          <w:p>
            <w:pPr>
              <w:spacing w:after="20" w:before="20"/>
            </w:pPr>
            <w:r/>
            <w:r>
              <w:rPr>
                <w:b w:val="0"/>
                <w:i w:val="0"/>
                <w:sz w:val="19"/>
              </w:rPr>
              <w:t>Automated dependency scan (Snyk)</w:t>
            </w:r>
          </w:p>
        </w:tc>
        <w:tc>
          <w:tcPr>
            <w:tcW w:type="dxa" w:w="3216"/>
            <w:shd w:val="clear" w:fill="EEF3F8"/>
          </w:tcPr>
          <w:p>
            <w:pPr>
              <w:spacing w:after="20" w:before="20"/>
            </w:pPr>
            <w:r/>
            <w:r>
              <w:rPr>
                <w:b w:val="0"/>
                <w:i w:val="0"/>
                <w:sz w:val="19"/>
              </w:rPr>
              <w:t>Every build</w:t>
            </w:r>
          </w:p>
        </w:tc>
        <w:tc>
          <w:tcPr>
            <w:tcW w:type="dxa" w:w="3216"/>
            <w:shd w:val="clear" w:fill="EEF3F8"/>
          </w:tcPr>
          <w:p>
            <w:pPr>
              <w:spacing w:after="20" w:before="20"/>
            </w:pPr>
            <w:r/>
            <w:r>
              <w:rPr>
                <w:b w:val="0"/>
                <w:i w:val="0"/>
                <w:sz w:val="19"/>
              </w:rPr>
              <w:t>All third-party libraries — blocks on high/critical CVEs</w:t>
            </w:r>
          </w:p>
        </w:tc>
      </w:tr>
      <w:tr>
        <w:tc>
          <w:tcPr>
            <w:tcW w:type="dxa" w:w="3216"/>
          </w:tcPr>
          <w:p>
            <w:pPr>
              <w:spacing w:after="20" w:before="20"/>
            </w:pPr>
            <w:r/>
            <w:r>
              <w:rPr>
                <w:b w:val="0"/>
                <w:i w:val="0"/>
                <w:sz w:val="19"/>
              </w:rPr>
              <w:t>Secret detection (Trufflehog)</w:t>
            </w:r>
          </w:p>
        </w:tc>
        <w:tc>
          <w:tcPr>
            <w:tcW w:type="dxa" w:w="3216"/>
          </w:tcPr>
          <w:p>
            <w:pPr>
              <w:spacing w:after="20" w:before="20"/>
            </w:pPr>
            <w:r/>
            <w:r>
              <w:rPr>
                <w:b w:val="0"/>
                <w:i w:val="0"/>
                <w:sz w:val="19"/>
              </w:rPr>
              <w:t>Every commit</w:t>
            </w:r>
          </w:p>
        </w:tc>
        <w:tc>
          <w:tcPr>
            <w:tcW w:type="dxa" w:w="3216"/>
          </w:tcPr>
          <w:p>
            <w:pPr>
              <w:spacing w:after="20" w:before="20"/>
            </w:pPr>
            <w:r/>
            <w:r>
              <w:rPr>
                <w:b w:val="0"/>
                <w:i w:val="0"/>
                <w:sz w:val="19"/>
              </w:rPr>
              <w:t>Credential and secret detection — blocks any leak</w:t>
            </w:r>
          </w:p>
        </w:tc>
      </w:tr>
      <w:tr>
        <w:tc>
          <w:tcPr>
            <w:tcW w:type="dxa" w:w="3216"/>
            <w:shd w:val="clear" w:fill="EEF3F8"/>
          </w:tcPr>
          <w:p>
            <w:pPr>
              <w:spacing w:after="20" w:before="20"/>
            </w:pPr>
            <w:r/>
            <w:r>
              <w:rPr>
                <w:b w:val="0"/>
                <w:i w:val="0"/>
                <w:sz w:val="19"/>
              </w:rPr>
              <w:t>Container image scan (Trivy)</w:t>
            </w:r>
          </w:p>
        </w:tc>
        <w:tc>
          <w:tcPr>
            <w:tcW w:type="dxa" w:w="3216"/>
            <w:shd w:val="clear" w:fill="EEF3F8"/>
          </w:tcPr>
          <w:p>
            <w:pPr>
              <w:spacing w:after="20" w:before="20"/>
            </w:pPr>
            <w:r/>
            <w:r>
              <w:rPr>
                <w:b w:val="0"/>
                <w:i w:val="0"/>
                <w:sz w:val="19"/>
              </w:rPr>
              <w:t>Every build</w:t>
            </w:r>
          </w:p>
        </w:tc>
        <w:tc>
          <w:tcPr>
            <w:tcW w:type="dxa" w:w="3216"/>
            <w:shd w:val="clear" w:fill="EEF3F8"/>
          </w:tcPr>
          <w:p>
            <w:pPr>
              <w:spacing w:after="20" w:before="20"/>
            </w:pPr>
            <w:r/>
            <w:r>
              <w:rPr>
                <w:b w:val="0"/>
                <w:i w:val="0"/>
                <w:sz w:val="19"/>
              </w:rPr>
              <w:t>All Docker images — blocks on critical vulnerabilities</w:t>
            </w:r>
          </w:p>
        </w:tc>
      </w:tr>
      <w:tr>
        <w:tc>
          <w:tcPr>
            <w:tcW w:type="dxa" w:w="3216"/>
          </w:tcPr>
          <w:p>
            <w:pPr>
              <w:spacing w:after="20" w:before="20"/>
            </w:pPr>
            <w:r/>
            <w:r>
              <w:rPr>
                <w:b w:val="0"/>
                <w:i w:val="0"/>
                <w:sz w:val="19"/>
              </w:rPr>
              <w:t>Automated DAST (OWASP ZAP)</w:t>
            </w:r>
          </w:p>
        </w:tc>
        <w:tc>
          <w:tcPr>
            <w:tcW w:type="dxa" w:w="3216"/>
          </w:tcPr>
          <w:p>
            <w:pPr>
              <w:spacing w:after="20" w:before="20"/>
            </w:pPr>
            <w:r/>
            <w:r>
              <w:rPr>
                <w:b w:val="0"/>
                <w:i w:val="0"/>
                <w:sz w:val="19"/>
              </w:rPr>
              <w:t>Every pre-production deployment</w:t>
            </w:r>
          </w:p>
        </w:tc>
        <w:tc>
          <w:tcPr>
            <w:tcW w:type="dxa" w:w="3216"/>
          </w:tcPr>
          <w:p>
            <w:pPr>
              <w:spacing w:after="20" w:before="20"/>
            </w:pPr>
            <w:r/>
            <w:r>
              <w:rPr>
                <w:b w:val="0"/>
                <w:i w:val="0"/>
                <w:sz w:val="19"/>
              </w:rPr>
              <w:t>All public API endpoints — flags for review before promotion</w:t>
            </w:r>
          </w:p>
        </w:tc>
      </w:tr>
      <w:tr>
        <w:tc>
          <w:tcPr>
            <w:tcW w:type="dxa" w:w="3216"/>
            <w:shd w:val="clear" w:fill="EEF3F8"/>
          </w:tcPr>
          <w:p>
            <w:pPr>
              <w:spacing w:after="20" w:before="20"/>
            </w:pPr>
            <w:r/>
            <w:r>
              <w:rPr>
                <w:b w:val="0"/>
                <w:i w:val="0"/>
                <w:sz w:val="19"/>
              </w:rPr>
              <w:t>Tenant isolation penetration test</w:t>
            </w:r>
          </w:p>
        </w:tc>
        <w:tc>
          <w:tcPr>
            <w:tcW w:type="dxa" w:w="3216"/>
            <w:shd w:val="clear" w:fill="EEF3F8"/>
          </w:tcPr>
          <w:p>
            <w:pPr>
              <w:spacing w:after="20" w:before="20"/>
            </w:pPr>
            <w:r/>
            <w:r>
              <w:rPr>
                <w:b w:val="0"/>
                <w:i w:val="0"/>
                <w:sz w:val="19"/>
              </w:rPr>
              <w:t>Before each major release</w:t>
            </w:r>
          </w:p>
        </w:tc>
        <w:tc>
          <w:tcPr>
            <w:tcW w:type="dxa" w:w="3216"/>
            <w:shd w:val="clear" w:fill="EEF3F8"/>
          </w:tcPr>
          <w:p>
            <w:pPr>
              <w:spacing w:after="20" w:before="20"/>
            </w:pPr>
            <w:r/>
            <w:r>
              <w:rPr>
                <w:b w:val="0"/>
                <w:i w:val="0"/>
                <w:sz w:val="19"/>
              </w:rPr>
              <w:t>Validates multi-tenancy boundary — confirms cross-tenant data is not accessible</w:t>
            </w:r>
          </w:p>
        </w:tc>
      </w:tr>
      <w:tr>
        <w:tc>
          <w:tcPr>
            <w:tcW w:type="dxa" w:w="3216"/>
          </w:tcPr>
          <w:p>
            <w:pPr>
              <w:spacing w:after="20" w:before="20"/>
            </w:pPr>
            <w:r/>
            <w:r>
              <w:rPr>
                <w:b w:val="0"/>
                <w:i w:val="0"/>
                <w:sz w:val="19"/>
              </w:rPr>
              <w:t>Manual penetration test</w:t>
            </w:r>
          </w:p>
        </w:tc>
        <w:tc>
          <w:tcPr>
            <w:tcW w:type="dxa" w:w="3216"/>
          </w:tcPr>
          <w:p>
            <w:pPr>
              <w:spacing w:after="20" w:before="20"/>
            </w:pPr>
            <w:r/>
            <w:r>
              <w:rPr>
                <w:b w:val="0"/>
                <w:i w:val="0"/>
                <w:sz w:val="19"/>
              </w:rPr>
              <w:t>Annually (minimum)</w:t>
            </w:r>
          </w:p>
        </w:tc>
        <w:tc>
          <w:tcPr>
            <w:tcW w:type="dxa" w:w="3216"/>
          </w:tcPr>
          <w:p>
            <w:pPr>
              <w:spacing w:after="20" w:before="20"/>
            </w:pPr>
            <w:r/>
            <w:r>
              <w:rPr>
                <w:b w:val="0"/>
                <w:i w:val="0"/>
                <w:sz w:val="19"/>
              </w:rPr>
              <w:t>Full platform scope by qualified third-party security firm</w:t>
            </w:r>
          </w:p>
        </w:tc>
      </w:tr>
      <w:tr>
        <w:tc>
          <w:tcPr>
            <w:tcW w:type="dxa" w:w="3216"/>
            <w:shd w:val="clear" w:fill="EEF3F8"/>
          </w:tcPr>
          <w:p>
            <w:pPr>
              <w:spacing w:after="20" w:before="20"/>
            </w:pPr>
            <w:r/>
            <w:r>
              <w:rPr>
                <w:b w:val="0"/>
                <w:i w:val="0"/>
                <w:sz w:val="19"/>
              </w:rPr>
              <w:t>DR and failover test</w:t>
            </w:r>
          </w:p>
        </w:tc>
        <w:tc>
          <w:tcPr>
            <w:tcW w:type="dxa" w:w="3216"/>
            <w:shd w:val="clear" w:fill="EEF3F8"/>
          </w:tcPr>
          <w:p>
            <w:pPr>
              <w:spacing w:after="20" w:before="20"/>
            </w:pPr>
            <w:r/>
            <w:r>
              <w:rPr>
                <w:b w:val="0"/>
                <w:i w:val="0"/>
                <w:sz w:val="19"/>
              </w:rPr>
              <w:t>Quarterly</w:t>
            </w:r>
          </w:p>
        </w:tc>
        <w:tc>
          <w:tcPr>
            <w:tcW w:type="dxa" w:w="3216"/>
            <w:shd w:val="clear" w:fill="EEF3F8"/>
          </w:tcPr>
          <w:p>
            <w:pPr>
              <w:spacing w:after="20" w:before="20"/>
            </w:pPr>
            <w:r/>
            <w:r>
              <w:rPr>
                <w:b w:val="0"/>
                <w:i w:val="0"/>
                <w:sz w:val="19"/>
              </w:rPr>
              <w:t>Backup and recovery procedures validated in pre-production</w:t>
            </w:r>
          </w:p>
        </w:tc>
      </w:tr>
    </w:tbl>
    <w:p>
      <w:pPr>
        <w:spacing w:after="40"/>
      </w:pPr>
    </w:p>
    <w:p>
      <w:pPr>
        <w:pStyle w:val="Heading2"/>
        <w:spacing w:before="200" w:after="80"/>
      </w:pPr>
      <w:r>
        <w:rPr>
          <w:b/>
          <w:color w:val="2E75B6"/>
          <w:sz w:val="28"/>
        </w:rPr>
        <w:t>7.7 Offline Architecture — Why It Is Non-Negotiable</w:t>
      </w:r>
    </w:p>
    <w:p>
      <w:pPr>
        <w:spacing w:after="120" w:line="259" w:lineRule="auto"/>
      </w:pPr>
      <w:r>
        <w:rPr>
          <w:i/>
          <w:color w:val="555555"/>
        </w:rPr>
        <w:t>Entertainment venues are operationally unforgiving. A network outage during a peak event cannot mean queues stop, ticket scanners refuse to validate, or POS terminals reject transactions. The TAIS platform treats offline capability as a first-class operational requirement, not a fallback edge case.</w:t>
      </w:r>
    </w:p>
    <w:p>
      <w:pPr>
        <w:spacing w:after="120" w:line="259" w:lineRule="auto"/>
      </w:pPr>
      <w:r>
        <w:rPr>
          <w:b w:val="0"/>
          <w:i w:val="0"/>
        </w:rPr>
        <w:t>Three components require full offline capability: POS terminals (full transaction processing), ticket scanners and access control gates (ticket validation), and the staff mobile operations app (ticket validation, queue management, incident reporting). Each is designed around the same underlying principle: the device stores its own operational data locally, operates independently for extended periods, and synchronises seamlessly when connectivity is restored.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pPr>
              <w:spacing w:after="20" w:before="20"/>
            </w:pPr>
            <w:r/>
            <w:r>
              <w:rPr>
                <w:b/>
                <w:i w:val="0"/>
                <w:color w:val="FFFFFF"/>
                <w:sz w:val="19"/>
              </w:rPr>
              <w:t>Component</w:t>
            </w:r>
          </w:p>
        </w:tc>
        <w:tc>
          <w:tcPr>
            <w:tcW w:type="dxa" w:w="3216"/>
            <w:shd w:val="clear" w:fill="1F3864"/>
          </w:tcPr>
          <w:p>
            <w:pPr>
              <w:spacing w:after="20" w:before="20"/>
            </w:pPr>
            <w:r/>
            <w:r>
              <w:rPr>
                <w:b/>
                <w:i w:val="0"/>
                <w:color w:val="FFFFFF"/>
                <w:sz w:val="19"/>
              </w:rPr>
              <w:t>Fully Offline</w:t>
            </w:r>
          </w:p>
        </w:tc>
        <w:tc>
          <w:tcPr>
            <w:tcW w:type="dxa" w:w="3216"/>
            <w:shd w:val="clear" w:fill="1F3864"/>
          </w:tcPr>
          <w:p>
            <w:pPr>
              <w:spacing w:after="20" w:before="20"/>
            </w:pPr>
            <w:r/>
            <w:r>
              <w:rPr>
                <w:b/>
                <w:i w:val="0"/>
                <w:color w:val="FFFFFF"/>
                <w:sz w:val="19"/>
              </w:rPr>
              <w:t>Requires Connectivity</w:t>
            </w:r>
          </w:p>
        </w:tc>
      </w:tr>
      <w:tr>
        <w:tc>
          <w:tcPr>
            <w:tcW w:type="dxa" w:w="3216"/>
          </w:tcPr>
          <w:p>
            <w:pPr>
              <w:spacing w:after="20" w:before="20"/>
            </w:pPr>
            <w:r/>
            <w:r>
              <w:rPr>
                <w:b w:val="0"/>
                <w:i w:val="0"/>
                <w:sz w:val="19"/>
              </w:rPr>
              <w:t>POS Terminal</w:t>
            </w:r>
          </w:p>
        </w:tc>
        <w:tc>
          <w:tcPr>
            <w:tcW w:type="dxa" w:w="3216"/>
          </w:tcPr>
          <w:p>
            <w:pPr>
              <w:spacing w:after="20" w:before="20"/>
            </w:pPr>
            <w:r/>
            <w:r>
              <w:rPr>
                <w:b w:val="0"/>
                <w:i w:val="0"/>
                <w:sz w:val="19"/>
              </w:rPr>
              <w:t>Full transaction processing — ticket sales, retail, F&amp;B, cash transactions, discounts, receipts, shift management</w:t>
            </w:r>
          </w:p>
        </w:tc>
        <w:tc>
          <w:tcPr>
            <w:tcW w:type="dxa" w:w="3216"/>
          </w:tcPr>
          <w:p>
            <w:pPr>
              <w:spacing w:after="20" w:before="20"/>
            </w:pPr>
            <w:r/>
            <w:r>
              <w:rPr>
                <w:b w:val="0"/>
                <w:i w:val="0"/>
                <w:sz w:val="19"/>
              </w:rPr>
              <w:t>Card payments require connectivity (PCI-DSS — card auth codes are time-sensitive; storing raw card data offline violates PCI)</w:t>
            </w:r>
          </w:p>
        </w:tc>
      </w:tr>
      <w:tr>
        <w:tc>
          <w:tcPr>
            <w:tcW w:type="dxa" w:w="3216"/>
            <w:shd w:val="clear" w:fill="EEF3F8"/>
          </w:tcPr>
          <w:p>
            <w:pPr>
              <w:spacing w:after="20" w:before="20"/>
            </w:pPr>
            <w:r/>
            <w:r>
              <w:rPr>
                <w:b w:val="0"/>
                <w:i w:val="0"/>
                <w:sz w:val="19"/>
              </w:rPr>
              <w:t>Ticket Scanner / Gate</w:t>
            </w:r>
          </w:p>
        </w:tc>
        <w:tc>
          <w:tcPr>
            <w:tcW w:type="dxa" w:w="3216"/>
            <w:shd w:val="clear" w:fill="EEF3F8"/>
          </w:tcPr>
          <w:p>
            <w:pPr>
              <w:spacing w:after="20" w:before="20"/>
            </w:pPr>
            <w:r/>
            <w:r>
              <w:rPr>
                <w:b w:val="0"/>
                <w:i w:val="0"/>
                <w:sz w:val="19"/>
              </w:rPr>
              <w:t>Full ticket validation using cryptographic signature — no server round-trip required even when online</w:t>
            </w:r>
          </w:p>
        </w:tc>
        <w:tc>
          <w:tcPr>
            <w:tcW w:type="dxa" w:w="3216"/>
            <w:shd w:val="clear" w:fill="EEF3F8"/>
          </w:tcPr>
          <w:p>
            <w:pPr>
              <w:spacing w:after="20" w:before="20"/>
            </w:pPr>
            <w:r/>
            <w:r>
              <w:rPr>
                <w:b w:val="0"/>
                <w:i w:val="0"/>
                <w:sz w:val="19"/>
              </w:rPr>
              <w:t>Degraded mode after configurable offline window (default 4 hours) — flags entries for manual review</w:t>
            </w:r>
          </w:p>
        </w:tc>
      </w:tr>
      <w:tr>
        <w:tc>
          <w:tcPr>
            <w:tcW w:type="dxa" w:w="3216"/>
          </w:tcPr>
          <w:p>
            <w:pPr>
              <w:spacing w:after="20" w:before="20"/>
            </w:pPr>
            <w:r/>
            <w:r>
              <w:rPr>
                <w:b w:val="0"/>
                <w:i w:val="0"/>
                <w:sz w:val="19"/>
              </w:rPr>
              <w:t>Staff Mobile App</w:t>
            </w:r>
          </w:p>
        </w:tc>
        <w:tc>
          <w:tcPr>
            <w:tcW w:type="dxa" w:w="3216"/>
          </w:tcPr>
          <w:p>
            <w:pPr>
              <w:spacing w:after="20" w:before="20"/>
            </w:pPr>
            <w:r/>
            <w:r>
              <w:rPr>
                <w:b w:val="0"/>
                <w:i w:val="0"/>
                <w:sz w:val="19"/>
              </w:rPr>
              <w:t>Ticket validation, queue management, incident reporting, shift clock-in/out, cash-based flying POS</w:t>
            </w:r>
          </w:p>
        </w:tc>
        <w:tc>
          <w:tcPr>
            <w:tcW w:type="dxa" w:w="3216"/>
          </w:tcPr>
          <w:p>
            <w:pPr>
              <w:spacing w:after="20" w:before="20"/>
            </w:pPr>
            <w:r/>
            <w:r>
              <w:rPr>
                <w:b w:val="0"/>
                <w:i w:val="0"/>
                <w:sz w:val="19"/>
              </w:rPr>
              <w:t>Card payments, real-time attendance, push notifications require connectivity</w:t>
            </w:r>
          </w:p>
        </w:tc>
      </w:tr>
    </w:tbl>
    <w:p>
      <w:pPr>
        <w:spacing w:after="40"/>
      </w:pPr>
    </w:p>
    <w:p>
      <w:pPr>
        <w:pStyle w:val="Heading2"/>
        <w:spacing w:before="200" w:after="80"/>
      </w:pPr>
      <w:r>
        <w:rPr>
          <w:b/>
          <w:color w:val="2E75B6"/>
          <w:sz w:val="28"/>
        </w:rPr>
        <w:t>7.8 Offline Architecture Pattern — Event-Sourced Local Store</w:t>
      </w:r>
    </w:p>
    <w:p>
      <w:pPr>
        <w:spacing w:after="120" w:line="259" w:lineRule="auto"/>
      </w:pPr>
      <w:r>
        <w:rPr>
          <w:b w:val="0"/>
          <w:i w:val="0"/>
        </w:rPr>
        <w:t>The offline architecture is built on an event-sourced local data store. Rather than storing the current state on the device — which creates synchronisation conflicts when two devices have conflicting views — each device stores an append-only log of events that have occurred locally. This log is the source of truth for the device’s operations and is replayed to the central platform when connectivity is restored.</w:t>
      </w:r>
    </w:p>
    <w:p>
      <w:pPr>
        <w:spacing w:after="120" w:line="259" w:lineRule="auto"/>
      </w:pPr>
      <w:r>
        <w:rPr>
          <w:b w:val="0"/>
          <w:i w:val="0"/>
        </w:rPr>
        <w:t>Every action on the device — sale processed, ticket validated, cash drawer opened — is written as an immutable event to the local event log first. Local state (cart totals, ticket validity, inventory counts) is derived by replaying the event log. When connectivity is restored, the local event log is replayed to the central platform in order. The central platform applies the events, resolves any conflicts, and pushes back any missing state updates to the device.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pPr>
              <w:spacing w:after="20" w:before="20"/>
            </w:pPr>
            <w:r/>
            <w:r>
              <w:rPr>
                <w:b/>
                <w:i w:val="0"/>
                <w:color w:val="FFFFFF"/>
                <w:sz w:val="19"/>
              </w:rPr>
              <w:t>Layer</w:t>
            </w:r>
          </w:p>
        </w:tc>
        <w:tc>
          <w:tcPr>
            <w:tcW w:type="dxa" w:w="3216"/>
            <w:shd w:val="clear" w:fill="1F3864"/>
          </w:tcPr>
          <w:p>
            <w:pPr>
              <w:spacing w:after="20" w:before="20"/>
            </w:pPr>
            <w:r/>
            <w:r>
              <w:rPr>
                <w:b/>
                <w:i w:val="0"/>
                <w:color w:val="FFFFFF"/>
                <w:sz w:val="19"/>
              </w:rPr>
              <w:t>Technology</w:t>
            </w:r>
          </w:p>
        </w:tc>
        <w:tc>
          <w:tcPr>
            <w:tcW w:type="dxa" w:w="3216"/>
            <w:shd w:val="clear" w:fill="1F3864"/>
          </w:tcPr>
          <w:p>
            <w:pPr>
              <w:spacing w:after="20" w:before="20"/>
            </w:pPr>
            <w:r/>
            <w:r>
              <w:rPr>
                <w:b/>
                <w:i w:val="0"/>
                <w:color w:val="FFFFFF"/>
                <w:sz w:val="19"/>
              </w:rPr>
              <w:t>Purpose</w:t>
            </w:r>
          </w:p>
        </w:tc>
      </w:tr>
      <w:tr>
        <w:tc>
          <w:tcPr>
            <w:tcW w:type="dxa" w:w="3216"/>
          </w:tcPr>
          <w:p>
            <w:pPr>
              <w:spacing w:after="20" w:before="20"/>
            </w:pPr>
            <w:r/>
            <w:r>
              <w:rPr>
                <w:b w:val="0"/>
                <w:i w:val="0"/>
                <w:sz w:val="19"/>
              </w:rPr>
              <w:t>Local database</w:t>
            </w:r>
          </w:p>
        </w:tc>
        <w:tc>
          <w:tcPr>
            <w:tcW w:type="dxa" w:w="3216"/>
          </w:tcPr>
          <w:p>
            <w:pPr>
              <w:spacing w:after="20" w:before="20"/>
            </w:pPr>
            <w:r/>
            <w:r>
              <w:rPr>
                <w:b w:val="0"/>
                <w:i w:val="0"/>
                <w:sz w:val="19"/>
              </w:rPr>
              <w:t>SQLite via WatermelonDB</w:t>
            </w:r>
          </w:p>
        </w:tc>
        <w:tc>
          <w:tcPr>
            <w:tcW w:type="dxa" w:w="3216"/>
          </w:tcPr>
          <w:p>
            <w:pPr>
              <w:spacing w:after="20" w:before="20"/>
            </w:pPr>
            <w:r/>
            <w:r>
              <w:rPr>
                <w:b w:val="0"/>
                <w:i w:val="0"/>
                <w:sz w:val="19"/>
              </w:rPr>
              <w:t>Structured local storage; sync-capable; works in React Native across iOS and Android</w:t>
            </w:r>
          </w:p>
        </w:tc>
      </w:tr>
      <w:tr>
        <w:tc>
          <w:tcPr>
            <w:tcW w:type="dxa" w:w="3216"/>
            <w:shd w:val="clear" w:fill="EEF3F8"/>
          </w:tcPr>
          <w:p>
            <w:pPr>
              <w:spacing w:after="20" w:before="20"/>
            </w:pPr>
            <w:r/>
            <w:r>
              <w:rPr>
                <w:b w:val="0"/>
                <w:i w:val="0"/>
                <w:sz w:val="19"/>
              </w:rPr>
              <w:t>Event log</w:t>
            </w:r>
          </w:p>
        </w:tc>
        <w:tc>
          <w:tcPr>
            <w:tcW w:type="dxa" w:w="3216"/>
            <w:shd w:val="clear" w:fill="EEF3F8"/>
          </w:tcPr>
          <w:p>
            <w:pPr>
              <w:spacing w:after="20" w:before="20"/>
            </w:pPr>
            <w:r/>
            <w:r>
              <w:rPr>
                <w:b w:val="0"/>
                <w:i w:val="0"/>
                <w:sz w:val="19"/>
              </w:rPr>
              <w:t>Append-only SQLite table</w:t>
            </w:r>
          </w:p>
        </w:tc>
        <w:tc>
          <w:tcPr>
            <w:tcW w:type="dxa" w:w="3216"/>
            <w:shd w:val="clear" w:fill="EEF3F8"/>
          </w:tcPr>
          <w:p>
            <w:pPr>
              <w:spacing w:after="20" w:before="20"/>
            </w:pPr>
            <w:r/>
            <w:r>
              <w:rPr>
                <w:b w:val="0"/>
                <w:i w:val="0"/>
                <w:sz w:val="19"/>
              </w:rPr>
              <w:t>Immutable record of all local actions — tamper-detectable on sync</w:t>
            </w:r>
          </w:p>
        </w:tc>
      </w:tr>
      <w:tr>
        <w:tc>
          <w:tcPr>
            <w:tcW w:type="dxa" w:w="3216"/>
          </w:tcPr>
          <w:p>
            <w:pPr>
              <w:spacing w:after="20" w:before="20"/>
            </w:pPr>
            <w:r/>
            <w:r>
              <w:rPr>
                <w:b w:val="0"/>
                <w:i w:val="0"/>
                <w:sz w:val="19"/>
              </w:rPr>
              <w:t>Sync engine</w:t>
            </w:r>
          </w:p>
        </w:tc>
        <w:tc>
          <w:tcPr>
            <w:tcW w:type="dxa" w:w="3216"/>
          </w:tcPr>
          <w:p>
            <w:pPr>
              <w:spacing w:after="20" w:before="20"/>
            </w:pPr>
            <w:r/>
            <w:r>
              <w:rPr>
                <w:b w:val="0"/>
                <w:i w:val="0"/>
                <w:sz w:val="19"/>
              </w:rPr>
              <w:t>Node.js coordination service</w:t>
            </w:r>
          </w:p>
        </w:tc>
        <w:tc>
          <w:tcPr>
            <w:tcW w:type="dxa" w:w="3216"/>
          </w:tcPr>
          <w:p>
            <w:pPr>
              <w:spacing w:after="20" w:before="20"/>
            </w:pPr>
            <w:r/>
            <w:r>
              <w:rPr>
                <w:b w:val="0"/>
                <w:i w:val="0"/>
                <w:sz w:val="19"/>
              </w:rPr>
              <w:t>Bidirectional delta sync over REST/WebSocket; manages ordering, retry, and acknowledgement</w:t>
            </w:r>
          </w:p>
        </w:tc>
      </w:tr>
      <w:tr>
        <w:tc>
          <w:tcPr>
            <w:tcW w:type="dxa" w:w="3216"/>
            <w:shd w:val="clear" w:fill="EEF3F8"/>
          </w:tcPr>
          <w:p>
            <w:pPr>
              <w:spacing w:after="20" w:before="20"/>
            </w:pPr>
            <w:r/>
            <w:r>
              <w:rPr>
                <w:b w:val="0"/>
                <w:i w:val="0"/>
                <w:sz w:val="19"/>
              </w:rPr>
              <w:t>Financial validation</w:t>
            </w:r>
          </w:p>
        </w:tc>
        <w:tc>
          <w:tcPr>
            <w:tcW w:type="dxa" w:w="3216"/>
            <w:shd w:val="clear" w:fill="EEF3F8"/>
          </w:tcPr>
          <w:p>
            <w:pPr>
              <w:spacing w:after="20" w:before="20"/>
            </w:pPr>
            <w:r/>
            <w:r>
              <w:rPr>
                <w:b w:val="0"/>
                <w:i w:val="0"/>
                <w:sz w:val="19"/>
              </w:rPr>
              <w:t>Finance Service (server-side)</w:t>
            </w:r>
          </w:p>
        </w:tc>
        <w:tc>
          <w:tcPr>
            <w:tcW w:type="dxa" w:w="3216"/>
            <w:shd w:val="clear" w:fill="EEF3F8"/>
          </w:tcPr>
          <w:p>
            <w:pPr>
              <w:spacing w:after="20" w:before="20"/>
            </w:pPr>
            <w:r/>
            <w:r>
              <w:rPr>
                <w:b w:val="0"/>
                <w:i w:val="0"/>
                <w:sz w:val="19"/>
              </w:rPr>
              <w:t>On reconnect, financial events posted to the ledger by the .NET Finance Service — financial logic never runs on the device</w:t>
            </w:r>
          </w:p>
        </w:tc>
      </w:tr>
      <w:tr>
        <w:tc>
          <w:tcPr>
            <w:tcW w:type="dxa" w:w="3216"/>
          </w:tcPr>
          <w:p>
            <w:pPr>
              <w:spacing w:after="20" w:before="20"/>
            </w:pPr>
            <w:r/>
            <w:r>
              <w:rPr>
                <w:b w:val="0"/>
                <w:i w:val="0"/>
                <w:sz w:val="19"/>
              </w:rPr>
              <w:t>Local encryption</w:t>
            </w:r>
          </w:p>
        </w:tc>
        <w:tc>
          <w:tcPr>
            <w:tcW w:type="dxa" w:w="3216"/>
          </w:tcPr>
          <w:p>
            <w:pPr>
              <w:spacing w:after="20" w:before="20"/>
            </w:pPr>
            <w:r/>
            <w:r>
              <w:rPr>
                <w:b w:val="0"/>
                <w:i w:val="0"/>
                <w:sz w:val="19"/>
              </w:rPr>
              <w:t>AES-256 at rest</w:t>
            </w:r>
          </w:p>
        </w:tc>
        <w:tc>
          <w:tcPr>
            <w:tcW w:type="dxa" w:w="3216"/>
          </w:tcPr>
          <w:p>
            <w:pPr>
              <w:spacing w:after="20" w:before="20"/>
            </w:pPr>
            <w:r/>
            <w:r>
              <w:rPr>
                <w:b w:val="0"/>
                <w:i w:val="0"/>
                <w:sz w:val="19"/>
              </w:rPr>
              <w:t>All local device data encrypted; device-specific key in secure enclave</w:t>
            </w:r>
          </w:p>
        </w:tc>
      </w:tr>
      <w:tr>
        <w:tc>
          <w:tcPr>
            <w:tcW w:type="dxa" w:w="3216"/>
            <w:shd w:val="clear" w:fill="EEF3F8"/>
          </w:tcPr>
          <w:p>
            <w:pPr>
              <w:spacing w:after="20" w:before="20"/>
            </w:pPr>
            <w:r/>
            <w:r>
              <w:rPr>
                <w:b w:val="0"/>
                <w:i w:val="0"/>
                <w:sz w:val="19"/>
              </w:rPr>
              <w:t>Connectivity detection</w:t>
            </w:r>
          </w:p>
        </w:tc>
        <w:tc>
          <w:tcPr>
            <w:tcW w:type="dxa" w:w="3216"/>
            <w:shd w:val="clear" w:fill="EEF3F8"/>
          </w:tcPr>
          <w:p>
            <w:pPr>
              <w:spacing w:after="20" w:before="20"/>
            </w:pPr>
            <w:r/>
            <w:r>
              <w:rPr>
                <w:b w:val="0"/>
                <w:i w:val="0"/>
                <w:sz w:val="19"/>
              </w:rPr>
              <w:t>Network Information API + heartbeat</w:t>
            </w:r>
          </w:p>
        </w:tc>
        <w:tc>
          <w:tcPr>
            <w:tcW w:type="dxa" w:w="3216"/>
            <w:shd w:val="clear" w:fill="EEF3F8"/>
          </w:tcPr>
          <w:p>
            <w:pPr>
              <w:spacing w:after="20" w:before="20"/>
            </w:pPr>
            <w:r/>
            <w:r>
              <w:rPr>
                <w:b w:val="0"/>
                <w:i w:val="0"/>
                <w:sz w:val="19"/>
              </w:rPr>
              <w:t>Reliable online/offline transition detection; graceful degradation on poor signal</w:t>
            </w:r>
          </w:p>
        </w:tc>
      </w:tr>
    </w:tbl>
    <w:p>
      <w:pPr>
        <w:spacing w:after="40"/>
      </w:pPr>
    </w:p>
    <w:p>
      <w:pPr>
        <w:pStyle w:val="Heading2"/>
        <w:spacing w:before="200" w:after="80"/>
      </w:pPr>
      <w:r>
        <w:rPr>
          <w:b/>
          <w:color w:val="2E75B6"/>
          <w:sz w:val="28"/>
        </w:rPr>
        <w:t>7.9 Cryptographic Offline Ticket Validation</w:t>
      </w:r>
    </w:p>
    <w:p>
      <w:pPr>
        <w:spacing w:after="120" w:line="259" w:lineRule="auto"/>
      </w:pPr>
      <w:r>
        <w:rPr>
          <w:i/>
          <w:color w:val="555555"/>
        </w:rPr>
        <w:t>Ticket scanners at entry gates must validate thousands of tickets per hour. A server round-trip on each scan — even when online — adds latency and creates a network dependency. Cryptographic validation removes this dependency entirely.</w:t>
      </w:r>
    </w:p>
    <w:p>
      <w:pPr>
        <w:spacing w:after="120" w:line="259" w:lineRule="auto"/>
      </w:pPr>
      <w:r>
        <w:rPr>
          <w:b w:val="0"/>
          <w:i w:val="0"/>
        </w:rPr>
        <w:t>Every ticket issued by TAIS contains a digital signature embedded in its QR code or RFID payload. The signature is generated by the TAIS Ticketing Service using a private key and encodes the ticket’s unique identifier, entitlement data (permitted zones and attractions), valid date and time window, venue identifier, and offline validation expiry. The gate scanner holds only the public key. Validation is entirely local — completing in under 500 milliseconds, satisfying the Q&amp;A performance target. The same cryptographic validation architecture applies to all supported access control hardware: Axess, Skidata, CAME, KABA, and Boon Edam. The hardware calls the TAIS Validation API when online, and falls back to the pre-loaded signed ticket list when offline.</w:t>
      </w:r>
    </w:p>
    <w:p>
      <w:pPr>
        <w:spacing w:after="80"/>
      </w:pPr>
      <w:r>
        <w:rPr>
          <w:i/>
          <w:color w:val="555555"/>
          <w:sz w:val="18"/>
        </w:rPr>
        <w:t>Figure 7.3 — Offline Ticket Validation: Cryptographic Signature Requires No Server Round-Trip</w:t>
      </w:r>
    </w:p>
    <w:p>
      <w:pPr>
        <w:spacing w:after="120" w:line="259" w:lineRule="auto"/>
      </w:pPr>
      <w:r>
        <w:rPr>
          <w:b w:val="0"/>
          <w:i w:val="0"/>
        </w:rPr>
        <w:t>The used-ticket cache is the mechanism that prevents duplicate entry during offline periods. Every validated ticket ID is written to an append-only local cache. When the same ticket is presented a second time at any gate, the duplicate is detected from the local cache and denied — even without a server connection. On reconnection, the used-ticket cache is synced to the central platform for permanent deduplication across all gates.</w:t>
      </w:r>
    </w:p>
    <w:p>
      <w:pPr>
        <w:spacing w:after="120" w:line="259" w:lineRule="auto"/>
      </w:pPr>
      <w:r>
        <w:rPr>
          <w:b w:val="0"/>
          <w:i w:val="0"/>
        </w:rPr>
        <w:t>Public keys are rotated on a configurable schedule (default every 24 hours). The device pre-fetches the next key before the current one expires — ensuring seamless rotation even if the device goes offline during a rotation window. If a scanner has been offline longer than the configured maximum window (default 4 hours), it enters a degraded mode: it still validates signatures but flags entries for manual review and alerts the Operations Command Center.</w:t>
      </w:r>
    </w:p>
    <w:tbl>
      <w:tblPr>
        <w:tblStyle w:val="TableGrid"/>
        <w:tblW w:type="auto" w:w="0"/>
        <w:jc w:val="center"/>
        <w:tblLook w:firstColumn="1" w:firstRow="1" w:lastColumn="0" w:lastRow="0" w:noHBand="0" w:noVBand="1" w:val="04A0"/>
      </w:tblPr>
      <w:tblGrid>
        <w:gridCol w:w="9648"/>
      </w:tblGrid>
      <w:tr>
        <w:tc>
          <w:tcPr>
            <w:tcW w:type="dxa" w:w="9648"/>
            <w:shd w:val="clear" w:fill="1F3864"/>
          </w:tcPr>
          <w:p>
            <w:pPr>
              <w:spacing w:after="20" w:before="20"/>
            </w:pPr>
            <w:r/>
            <w:r>
              <w:rPr>
                <w:b/>
                <w:i w:val="0"/>
                <w:color w:val="FFFFFF"/>
                <w:sz w:val="19"/>
              </w:rPr>
              <w:t>Private keys never leave TAIS servers</w:t>
            </w:r>
            <w:r>
              <w:rPr>
                <w:b/>
                <w:i w:val="0"/>
                <w:color w:val="FFFFFF"/>
                <w:sz w:val="19"/>
              </w:rPr>
              <w:t xml:space="preserve"> The private key used to sign tickets is stored in the TAIS Ticketing Service and never transmitted to any device. Devices hold only the corresponding public key for verification. A compromised device cannot forge tickets — it can only verify them. This is the asymmetric cryptography guarantee.</w:t>
            </w:r>
          </w:p>
        </w:tc>
      </w:tr>
    </w:tbl>
    <w:p>
      <w:pPr>
        <w:spacing w:after="40"/>
      </w:pPr>
    </w:p>
    <w:p>
      <w:pPr>
        <w:pStyle w:val="Heading2"/>
        <w:spacing w:before="200" w:after="80"/>
      </w:pPr>
      <w:r>
        <w:rPr>
          <w:b/>
          <w:color w:val="2E75B6"/>
          <w:sz w:val="28"/>
        </w:rPr>
        <w:t>7.10 POS Terminal Offline Operation</w:t>
      </w:r>
    </w:p>
    <w:p>
      <w:pPr>
        <w:spacing w:after="120" w:line="259" w:lineRule="auto"/>
      </w:pPr>
      <w:r>
        <w:rPr>
          <w:b w:val="0"/>
          <w:i w:val="0"/>
        </w:rPr>
        <w:t>The POS terminal is the most complex offline scenario because it handles financial transactions that must eventually be reconciled with the central ledger. The event-sourced architecture ensures that every transaction processed offline is recorded with full fidelity and can be accurately posted to the ledger on reconnection.</w:t>
      </w:r>
    </w:p>
    <w:p>
      <w:pPr>
        <w:pStyle w:val="Heading3"/>
        <w:spacing w:before="160" w:after="60"/>
      </w:pPr>
      <w:r>
        <w:rPr>
          <w:b/>
          <w:color w:val="2E75B6"/>
          <w:sz w:val="23"/>
        </w:rPr>
        <w:t>What Works Fully Offline</w:t>
      </w:r>
    </w:p>
    <w:tbl>
      <w:tblPr>
        <w:tblStyle w:val="TableGrid"/>
        <w:tblW w:type="auto" w:w="0"/>
        <w:jc w:val="center"/>
        <w:tblLook w:firstColumn="1" w:firstRow="1" w:lastColumn="0" w:lastRow="0" w:noHBand="0" w:noVBand="1" w:val="04A0"/>
      </w:tblPr>
      <w:tblGrid>
        <w:gridCol w:w="4824"/>
        <w:gridCol w:w="4824"/>
      </w:tblGrid>
      <w:tr>
        <w:tc>
          <w:tcPr>
            <w:tcW w:type="dxa" w:w="4824"/>
            <w:shd w:val="clear" w:fill="1F3864"/>
          </w:tcPr>
          <w:p>
            <w:pPr>
              <w:spacing w:after="20" w:before="20"/>
            </w:pPr>
            <w:r/>
            <w:r>
              <w:rPr>
                <w:b/>
                <w:i w:val="0"/>
                <w:color w:val="FFFFFF"/>
                <w:sz w:val="19"/>
              </w:rPr>
              <w:t>Capability</w:t>
            </w:r>
          </w:p>
        </w:tc>
        <w:tc>
          <w:tcPr>
            <w:tcW w:type="dxa" w:w="4824"/>
            <w:shd w:val="clear" w:fill="1F3864"/>
          </w:tcPr>
          <w:p>
            <w:pPr>
              <w:spacing w:after="20" w:before="20"/>
            </w:pPr>
            <w:r/>
            <w:r>
              <w:rPr>
                <w:b/>
                <w:i w:val="0"/>
                <w:color w:val="FFFFFF"/>
                <w:sz w:val="19"/>
              </w:rPr>
              <w:t>Offline Behaviour</w:t>
            </w:r>
          </w:p>
        </w:tc>
      </w:tr>
      <w:tr>
        <w:tc>
          <w:tcPr>
            <w:tcW w:type="dxa" w:w="4824"/>
          </w:tcPr>
          <w:p>
            <w:pPr>
              <w:spacing w:after="20" w:before="20"/>
            </w:pPr>
            <w:r/>
            <w:r>
              <w:rPr>
                <w:b w:val="0"/>
                <w:i w:val="0"/>
                <w:sz w:val="19"/>
              </w:rPr>
              <w:t>Ticket sales</w:t>
            </w:r>
          </w:p>
        </w:tc>
        <w:tc>
          <w:tcPr>
            <w:tcW w:type="dxa" w:w="4824"/>
          </w:tcPr>
          <w:p>
            <w:pPr>
              <w:spacing w:after="20" w:before="20"/>
            </w:pPr>
            <w:r/>
            <w:r>
              <w:rPr>
                <w:b w:val="0"/>
                <w:i w:val="0"/>
                <w:sz w:val="19"/>
              </w:rPr>
              <w:t>All types — general admission, VIP, bundles, group bookings; inventory counters decremented locally</w:t>
            </w:r>
          </w:p>
        </w:tc>
      </w:tr>
      <w:tr>
        <w:tc>
          <w:tcPr>
            <w:tcW w:type="dxa" w:w="4824"/>
            <w:shd w:val="clear" w:fill="EEF3F8"/>
          </w:tcPr>
          <w:p>
            <w:pPr>
              <w:spacing w:after="20" w:before="20"/>
            </w:pPr>
            <w:r/>
            <w:r>
              <w:rPr>
                <w:b w:val="0"/>
                <w:i w:val="0"/>
                <w:sz w:val="19"/>
              </w:rPr>
              <w:t>Retail and F&amp;B sales</w:t>
            </w:r>
          </w:p>
        </w:tc>
        <w:tc>
          <w:tcPr>
            <w:tcW w:type="dxa" w:w="4824"/>
            <w:shd w:val="clear" w:fill="EEF3F8"/>
          </w:tcPr>
          <w:p>
            <w:pPr>
              <w:spacing w:after="20" w:before="20"/>
            </w:pPr>
            <w:r/>
            <w:r>
              <w:rPr>
                <w:b w:val="0"/>
                <w:i w:val="0"/>
                <w:sz w:val="19"/>
              </w:rPr>
              <w:t>Full product catalog cached locally; promotions evaluated locally against cached rules</w:t>
            </w:r>
          </w:p>
        </w:tc>
      </w:tr>
      <w:tr>
        <w:tc>
          <w:tcPr>
            <w:tcW w:type="dxa" w:w="4824"/>
          </w:tcPr>
          <w:p>
            <w:pPr>
              <w:spacing w:after="20" w:before="20"/>
            </w:pPr>
            <w:r/>
            <w:r>
              <w:rPr>
                <w:b w:val="0"/>
                <w:i w:val="0"/>
                <w:sz w:val="19"/>
              </w:rPr>
              <w:t>Cash transactions</w:t>
            </w:r>
          </w:p>
        </w:tc>
        <w:tc>
          <w:tcPr>
            <w:tcW w:type="dxa" w:w="4824"/>
          </w:tcPr>
          <w:p>
            <w:pPr>
              <w:spacing w:after="20" w:before="20"/>
            </w:pPr>
            <w:r/>
            <w:r>
              <w:rPr>
                <w:b w:val="0"/>
                <w:i w:val="0"/>
                <w:sz w:val="19"/>
              </w:rPr>
              <w:t>Full processing — change calculation, cash drawer management, receipt printing</w:t>
            </w:r>
          </w:p>
        </w:tc>
      </w:tr>
      <w:tr>
        <w:tc>
          <w:tcPr>
            <w:tcW w:type="dxa" w:w="4824"/>
            <w:shd w:val="clear" w:fill="EEF3F8"/>
          </w:tcPr>
          <w:p>
            <w:pPr>
              <w:spacing w:after="20" w:before="20"/>
            </w:pPr>
            <w:r/>
            <w:r>
              <w:rPr>
                <w:b w:val="0"/>
                <w:i w:val="0"/>
                <w:sz w:val="19"/>
              </w:rPr>
              <w:t>Discount and promotion application</w:t>
            </w:r>
          </w:p>
        </w:tc>
        <w:tc>
          <w:tcPr>
            <w:tcW w:type="dxa" w:w="4824"/>
            <w:shd w:val="clear" w:fill="EEF3F8"/>
          </w:tcPr>
          <w:p>
            <w:pPr>
              <w:spacing w:after="20" w:before="20"/>
            </w:pPr>
            <w:r/>
            <w:r>
              <w:rPr>
                <w:b w:val="0"/>
                <w:i w:val="0"/>
                <w:sz w:val="19"/>
              </w:rPr>
              <w:t>Promotion rules cached locally on sync; applied without server</w:t>
            </w:r>
          </w:p>
        </w:tc>
      </w:tr>
      <w:tr>
        <w:tc>
          <w:tcPr>
            <w:tcW w:type="dxa" w:w="4824"/>
          </w:tcPr>
          <w:p>
            <w:pPr>
              <w:spacing w:after="20" w:before="20"/>
            </w:pPr>
            <w:r/>
            <w:r>
              <w:rPr>
                <w:b w:val="0"/>
                <w:i w:val="0"/>
                <w:sz w:val="19"/>
              </w:rPr>
              <w:t>Receipt printing</w:t>
            </w:r>
          </w:p>
        </w:tc>
        <w:tc>
          <w:tcPr>
            <w:tcW w:type="dxa" w:w="4824"/>
          </w:tcPr>
          <w:p>
            <w:pPr>
              <w:spacing w:after="20" w:before="20"/>
            </w:pPr>
            <w:r/>
            <w:r>
              <w:rPr>
                <w:b w:val="0"/>
                <w:i w:val="0"/>
                <w:sz w:val="19"/>
              </w:rPr>
              <w:t>Local printer integration (ESC/POS); receipt generated from local event log</w:t>
            </w:r>
          </w:p>
        </w:tc>
      </w:tr>
      <w:tr>
        <w:tc>
          <w:tcPr>
            <w:tcW w:type="dxa" w:w="4824"/>
            <w:shd w:val="clear" w:fill="EEF3F8"/>
          </w:tcPr>
          <w:p>
            <w:pPr>
              <w:spacing w:after="20" w:before="20"/>
            </w:pPr>
            <w:r/>
            <w:r>
              <w:rPr>
                <w:b w:val="0"/>
                <w:i w:val="0"/>
                <w:sz w:val="19"/>
              </w:rPr>
              <w:t>Shift management</w:t>
            </w:r>
          </w:p>
        </w:tc>
        <w:tc>
          <w:tcPr>
            <w:tcW w:type="dxa" w:w="4824"/>
            <w:shd w:val="clear" w:fill="EEF3F8"/>
          </w:tcPr>
          <w:p>
            <w:pPr>
              <w:spacing w:after="20" w:before="20"/>
            </w:pPr>
            <w:r/>
            <w:r>
              <w:rPr>
                <w:b w:val="0"/>
                <w:i w:val="0"/>
                <w:sz w:val="19"/>
              </w:rPr>
              <w:t>Open/close shift, cash float entry, shift reconciliation — all local event log</w:t>
            </w:r>
          </w:p>
        </w:tc>
      </w:tr>
      <w:tr>
        <w:tc>
          <w:tcPr>
            <w:tcW w:type="dxa" w:w="4824"/>
          </w:tcPr>
          <w:p>
            <w:pPr>
              <w:spacing w:after="20" w:before="20"/>
            </w:pPr>
            <w:r/>
            <w:r>
              <w:rPr>
                <w:b w:val="0"/>
                <w:i w:val="0"/>
                <w:sz w:val="19"/>
              </w:rPr>
              <w:t>Refunds</w:t>
            </w:r>
          </w:p>
        </w:tc>
        <w:tc>
          <w:tcPr>
            <w:tcW w:type="dxa" w:w="4824"/>
          </w:tcPr>
          <w:p>
            <w:pPr>
              <w:spacing w:after="20" w:before="20"/>
            </w:pPr>
            <w:r/>
            <w:r>
              <w:rPr>
                <w:b w:val="0"/>
                <w:i w:val="0"/>
                <w:sz w:val="19"/>
              </w:rPr>
              <w:t>Recorded locally as pending; processed and posted to ledger on reconnection</w:t>
            </w:r>
          </w:p>
        </w:tc>
      </w:tr>
    </w:tbl>
    <w:p>
      <w:pPr>
        <w:spacing w:after="40"/>
      </w:pPr>
    </w:p>
    <w:tbl>
      <w:tblPr>
        <w:tblStyle w:val="TableGrid"/>
        <w:tblW w:type="auto" w:w="0"/>
        <w:jc w:val="center"/>
        <w:tblLook w:firstColumn="1" w:firstRow="1" w:lastColumn="0" w:lastRow="0" w:noHBand="0" w:noVBand="1" w:val="04A0"/>
      </w:tblPr>
      <w:tblGrid>
        <w:gridCol w:w="9648"/>
      </w:tblGrid>
      <w:tr>
        <w:tc>
          <w:tcPr>
            <w:tcW w:type="dxa" w:w="9648"/>
            <w:shd w:val="clear" w:fill="1F3864"/>
          </w:tcPr>
          <w:p>
            <w:pPr>
              <w:spacing w:after="20" w:before="20"/>
            </w:pPr>
            <w:r/>
            <w:r>
              <w:rPr>
                <w:b/>
                <w:i w:val="0"/>
                <w:color w:val="FFFFFF"/>
                <w:sz w:val="19"/>
              </w:rPr>
              <w:t>Card payments require connectivity — by design</w:t>
            </w:r>
            <w:r>
              <w:rPr>
                <w:b/>
                <w:i w:val="0"/>
                <w:color w:val="FFFFFF"/>
                <w:sz w:val="19"/>
              </w:rPr>
              <w:t xml:space="preserve"> Card authorisation codes are time-sensitive and must be validated by the payment gateway in real time. Storing raw card data offline would violate PCI-DSS. During offline periods, the POS displays a clear notification that card payment is unavailable and only cash transactions are accepted. Staff receive training on this procedure as part of go-live preparation. This is not a limitation — it is the correct PCI-compliant architecture.</w:t>
            </w:r>
          </w:p>
        </w:tc>
      </w:tr>
    </w:tbl>
    <w:p>
      <w:pPr>
        <w:spacing w:after="40"/>
      </w:pPr>
    </w:p>
    <w:p>
      <w:pPr>
        <w:pStyle w:val="Heading2"/>
        <w:spacing w:before="200" w:after="80"/>
      </w:pPr>
      <w:r>
        <w:rPr>
          <w:b/>
          <w:color w:val="2E75B6"/>
          <w:sz w:val="28"/>
        </w:rPr>
        <w:t>7.11 Mobile Applications</w:t>
      </w:r>
    </w:p>
    <w:p>
      <w:pPr>
        <w:spacing w:after="120" w:line="259" w:lineRule="auto"/>
      </w:pPr>
      <w:r>
        <w:rPr>
          <w:i/>
          <w:color w:val="555555"/>
        </w:rPr>
        <w:t>Two mobile applications are delivered: the Guest App for ticket purchase and venue engagement, and the Staff Operations App for frontline venue operations. Both are built in React Native, sharing a significant amount of code and architecture.</w:t>
      </w:r>
    </w:p>
    <w:p>
      <w:pPr>
        <w:spacing w:after="80"/>
      </w:pPr>
      <w:r>
        <w:rPr>
          <w:i/>
          <w:color w:val="555555"/>
          <w:sz w:val="18"/>
        </w:rPr>
        <w:t>Figure 7.4 — Mobile Applications: Guest App and Staff Operations App Architecture</w:t>
      </w:r>
    </w:p>
    <w:p>
      <w:pPr>
        <w:pStyle w:val="Heading3"/>
        <w:spacing w:before="160" w:after="60"/>
      </w:pPr>
      <w:r>
        <w:rPr>
          <w:b/>
          <w:color w:val="2E75B6"/>
          <w:sz w:val="23"/>
        </w:rPr>
        <w:t>Guest Application — iOS and Android</w:t>
      </w:r>
    </w:p>
    <w:p>
      <w:pPr>
        <w:spacing w:after="120" w:line="259" w:lineRule="auto"/>
      </w:pPr>
      <w:r>
        <w:rPr>
          <w:b w:val="0"/>
          <w:i w:val="0"/>
        </w:rPr>
        <w:t>The guest app is the primary digital channel for ticket purchase, digital ticket storage, and in-venue engagement. It supports the complete guest journey from pre-visit discovery through post-visit loyalty engagement.</w:t>
      </w:r>
    </w:p>
    <w:tbl>
      <w:tblPr>
        <w:tblStyle w:val="TableGrid"/>
        <w:tblW w:type="auto" w:w="0"/>
        <w:jc w:val="center"/>
        <w:tblLook w:firstColumn="1" w:firstRow="1" w:lastColumn="0" w:lastRow="0" w:noHBand="0" w:noVBand="1" w:val="04A0"/>
      </w:tblPr>
      <w:tblGrid>
        <w:gridCol w:w="4824"/>
        <w:gridCol w:w="4824"/>
      </w:tblGrid>
      <w:tr>
        <w:tc>
          <w:tcPr>
            <w:tcW w:type="dxa" w:w="4824"/>
            <w:shd w:val="clear" w:fill="1F3864"/>
          </w:tcPr>
          <w:p>
            <w:pPr>
              <w:spacing w:after="20" w:before="20"/>
            </w:pPr>
            <w:r/>
            <w:r>
              <w:rPr>
                <w:b/>
                <w:i w:val="0"/>
                <w:color w:val="FFFFFF"/>
                <w:sz w:val="19"/>
              </w:rPr>
              <w:t>Feature</w:t>
            </w:r>
          </w:p>
        </w:tc>
        <w:tc>
          <w:tcPr>
            <w:tcW w:type="dxa" w:w="4824"/>
            <w:shd w:val="clear" w:fill="1F3864"/>
          </w:tcPr>
          <w:p>
            <w:pPr>
              <w:spacing w:after="20" w:before="20"/>
            </w:pPr>
            <w:r/>
            <w:r>
              <w:rPr>
                <w:b/>
                <w:i w:val="0"/>
                <w:color w:val="FFFFFF"/>
                <w:sz w:val="19"/>
              </w:rPr>
              <w:t>Detail</w:t>
            </w:r>
          </w:p>
        </w:tc>
      </w:tr>
      <w:tr>
        <w:tc>
          <w:tcPr>
            <w:tcW w:type="dxa" w:w="4824"/>
          </w:tcPr>
          <w:p>
            <w:pPr>
              <w:spacing w:after="20" w:before="20"/>
            </w:pPr>
            <w:r/>
            <w:r>
              <w:rPr>
                <w:b w:val="0"/>
                <w:i w:val="0"/>
                <w:sz w:val="19"/>
              </w:rPr>
              <w:t>Ticket purchase</w:t>
            </w:r>
          </w:p>
        </w:tc>
        <w:tc>
          <w:tcPr>
            <w:tcW w:type="dxa" w:w="4824"/>
          </w:tcPr>
          <w:p>
            <w:pPr>
              <w:spacing w:after="20" w:before="20"/>
            </w:pPr>
            <w:r/>
            <w:r>
              <w:rPr>
                <w:b w:val="0"/>
                <w:i w:val="0"/>
                <w:sz w:val="19"/>
              </w:rPr>
              <w:t>Full storefront — browse, select, checkout; Apple Pay, Google Pay, card via Stripe SDK</w:t>
            </w:r>
          </w:p>
        </w:tc>
      </w:tr>
      <w:tr>
        <w:tc>
          <w:tcPr>
            <w:tcW w:type="dxa" w:w="4824"/>
            <w:shd w:val="clear" w:fill="EEF3F8"/>
          </w:tcPr>
          <w:p>
            <w:pPr>
              <w:spacing w:after="20" w:before="20"/>
            </w:pPr>
            <w:r/>
            <w:r>
              <w:rPr>
                <w:b w:val="0"/>
                <w:i w:val="0"/>
                <w:sz w:val="19"/>
              </w:rPr>
              <w:t>Digital ticket wallet</w:t>
            </w:r>
          </w:p>
        </w:tc>
        <w:tc>
          <w:tcPr>
            <w:tcW w:type="dxa" w:w="4824"/>
            <w:shd w:val="clear" w:fill="EEF3F8"/>
          </w:tcPr>
          <w:p>
            <w:pPr>
              <w:spacing w:after="20" w:before="20"/>
            </w:pPr>
            <w:r/>
            <w:r>
              <w:rPr>
                <w:b w:val="0"/>
                <w:i w:val="0"/>
                <w:sz w:val="19"/>
              </w:rPr>
              <w:t>QR code tickets stored in-app; push updates for time slot changes or cancellations</w:t>
            </w:r>
          </w:p>
        </w:tc>
      </w:tr>
      <w:tr>
        <w:tc>
          <w:tcPr>
            <w:tcW w:type="dxa" w:w="4824"/>
          </w:tcPr>
          <w:p>
            <w:pPr>
              <w:spacing w:after="20" w:before="20"/>
            </w:pPr>
            <w:r/>
            <w:r>
              <w:rPr>
                <w:b w:val="0"/>
                <w:i w:val="0"/>
                <w:sz w:val="19"/>
              </w:rPr>
              <w:t>Apple Wallet / Google Wallet</w:t>
            </w:r>
          </w:p>
        </w:tc>
        <w:tc>
          <w:tcPr>
            <w:tcW w:type="dxa" w:w="4824"/>
          </w:tcPr>
          <w:p>
            <w:pPr>
              <w:spacing w:after="20" w:before="20"/>
            </w:pPr>
            <w:r/>
            <w:r>
              <w:rPr>
                <w:b w:val="0"/>
                <w:i w:val="0"/>
                <w:sz w:val="19"/>
              </w:rPr>
              <w:t>Native wallet pass (Passkit / Google Wallet Pass); includes cryptographic signature for offline gate validation</w:t>
            </w:r>
          </w:p>
        </w:tc>
      </w:tr>
      <w:tr>
        <w:tc>
          <w:tcPr>
            <w:tcW w:type="dxa" w:w="4824"/>
            <w:shd w:val="clear" w:fill="EEF3F8"/>
          </w:tcPr>
          <w:p>
            <w:pPr>
              <w:spacing w:after="20" w:before="20"/>
            </w:pPr>
            <w:r/>
            <w:r>
              <w:rPr>
                <w:b w:val="0"/>
                <w:i w:val="0"/>
                <w:sz w:val="19"/>
              </w:rPr>
              <w:t>Virtual queue</w:t>
            </w:r>
          </w:p>
        </w:tc>
        <w:tc>
          <w:tcPr>
            <w:tcW w:type="dxa" w:w="4824"/>
            <w:shd w:val="clear" w:fill="EEF3F8"/>
          </w:tcPr>
          <w:p>
            <w:pPr>
              <w:spacing w:after="20" w:before="20"/>
            </w:pPr>
            <w:r/>
            <w:r>
              <w:rPr>
                <w:b w:val="0"/>
                <w:i w:val="0"/>
                <w:sz w:val="19"/>
              </w:rPr>
              <w:t>Join and monitor queues for attractions; return-time notifications; in-app and push alerts</w:t>
            </w:r>
          </w:p>
        </w:tc>
      </w:tr>
      <w:tr>
        <w:tc>
          <w:tcPr>
            <w:tcW w:type="dxa" w:w="4824"/>
          </w:tcPr>
          <w:p>
            <w:pPr>
              <w:spacing w:after="20" w:before="20"/>
            </w:pPr>
            <w:r/>
            <w:r>
              <w:rPr>
                <w:b w:val="0"/>
                <w:i w:val="0"/>
                <w:sz w:val="19"/>
              </w:rPr>
              <w:t>Live wait times</w:t>
            </w:r>
          </w:p>
        </w:tc>
        <w:tc>
          <w:tcPr>
            <w:tcW w:type="dxa" w:w="4824"/>
          </w:tcPr>
          <w:p>
            <w:pPr>
              <w:spacing w:after="20" w:before="20"/>
            </w:pPr>
            <w:r/>
            <w:r>
              <w:rPr>
                <w:b w:val="0"/>
                <w:i w:val="0"/>
                <w:sz w:val="19"/>
              </w:rPr>
              <w:t>Real-time queue lengths for all attractions; refreshed from Operations Command Center data</w:t>
            </w:r>
          </w:p>
        </w:tc>
      </w:tr>
      <w:tr>
        <w:tc>
          <w:tcPr>
            <w:tcW w:type="dxa" w:w="4824"/>
            <w:shd w:val="clear" w:fill="EEF3F8"/>
          </w:tcPr>
          <w:p>
            <w:pPr>
              <w:spacing w:after="20" w:before="20"/>
            </w:pPr>
            <w:r/>
            <w:r>
              <w:rPr>
                <w:b w:val="0"/>
                <w:i w:val="0"/>
                <w:sz w:val="19"/>
              </w:rPr>
              <w:t>Venue map and wayfinding</w:t>
            </w:r>
          </w:p>
        </w:tc>
        <w:tc>
          <w:tcPr>
            <w:tcW w:type="dxa" w:w="4824"/>
            <w:shd w:val="clear" w:fill="EEF3F8"/>
          </w:tcPr>
          <w:p>
            <w:pPr>
              <w:spacing w:after="20" w:before="20"/>
            </w:pPr>
            <w:r/>
            <w:r>
              <w:rPr>
                <w:b w:val="0"/>
                <w:i w:val="0"/>
                <w:sz w:val="19"/>
              </w:rPr>
              <w:t>Interactive venue map; attraction locations, F&amp;B outlets, facilities, accessible routes</w:t>
            </w:r>
          </w:p>
        </w:tc>
      </w:tr>
      <w:tr>
        <w:tc>
          <w:tcPr>
            <w:tcW w:type="dxa" w:w="4824"/>
          </w:tcPr>
          <w:p>
            <w:pPr>
              <w:spacing w:after="20" w:before="20"/>
            </w:pPr>
            <w:r/>
            <w:r>
              <w:rPr>
                <w:b w:val="0"/>
                <w:i w:val="0"/>
                <w:sz w:val="19"/>
              </w:rPr>
              <w:t>Push notifications</w:t>
            </w:r>
          </w:p>
        </w:tc>
        <w:tc>
          <w:tcPr>
            <w:tcW w:type="dxa" w:w="4824"/>
          </w:tcPr>
          <w:p>
            <w:pPr>
              <w:spacing w:after="20" w:before="20"/>
            </w:pPr>
            <w:r/>
            <w:r>
              <w:rPr>
                <w:b w:val="0"/>
                <w:i w:val="0"/>
                <w:sz w:val="19"/>
              </w:rPr>
              <w:t>Booking confirmations, queue updates, promotional messages (opt-in), operational alerts</w:t>
            </w:r>
          </w:p>
        </w:tc>
      </w:tr>
      <w:tr>
        <w:tc>
          <w:tcPr>
            <w:tcW w:type="dxa" w:w="4824"/>
            <w:shd w:val="clear" w:fill="EEF3F8"/>
          </w:tcPr>
          <w:p>
            <w:pPr>
              <w:spacing w:after="20" w:before="20"/>
            </w:pPr>
            <w:r/>
            <w:r>
              <w:rPr>
                <w:b w:val="0"/>
                <w:i w:val="0"/>
                <w:sz w:val="19"/>
              </w:rPr>
              <w:t>In-app chat support</w:t>
            </w:r>
          </w:p>
        </w:tc>
        <w:tc>
          <w:tcPr>
            <w:tcW w:type="dxa" w:w="4824"/>
            <w:shd w:val="clear" w:fill="EEF3F8"/>
          </w:tcPr>
          <w:p>
            <w:pPr>
              <w:spacing w:after="20" w:before="20"/>
            </w:pPr>
            <w:r/>
            <w:r>
              <w:rPr>
                <w:b w:val="0"/>
                <w:i w:val="0"/>
                <w:sz w:val="19"/>
              </w:rPr>
              <w:t>Connects to the customer support system; Tier 1 AI chatbot with human handoff</w:t>
            </w:r>
          </w:p>
        </w:tc>
      </w:tr>
      <w:tr>
        <w:tc>
          <w:tcPr>
            <w:tcW w:type="dxa" w:w="4824"/>
          </w:tcPr>
          <w:p>
            <w:pPr>
              <w:spacing w:after="20" w:before="20"/>
            </w:pPr>
            <w:r/>
            <w:r>
              <w:rPr>
                <w:b w:val="0"/>
                <w:i w:val="0"/>
                <w:sz w:val="19"/>
              </w:rPr>
              <w:t>White-label theming</w:t>
            </w:r>
          </w:p>
        </w:tc>
        <w:tc>
          <w:tcPr>
            <w:tcW w:type="dxa" w:w="4824"/>
          </w:tcPr>
          <w:p>
            <w:pPr>
              <w:spacing w:after="20" w:before="20"/>
            </w:pPr>
            <w:r/>
            <w:r>
              <w:rPr>
                <w:b w:val="0"/>
                <w:i w:val="0"/>
                <w:sz w:val="19"/>
              </w:rPr>
              <w:t>Fully configurable branding per venue — colour, logo, imagery — via CMS without app resubmission</w:t>
            </w:r>
          </w:p>
        </w:tc>
      </w:tr>
      <w:tr>
        <w:tc>
          <w:tcPr>
            <w:tcW w:type="dxa" w:w="4824"/>
            <w:shd w:val="clear" w:fill="EEF3F8"/>
          </w:tcPr>
          <w:p>
            <w:pPr>
              <w:spacing w:after="20" w:before="20"/>
            </w:pPr>
            <w:r/>
            <w:r>
              <w:rPr>
                <w:b w:val="0"/>
                <w:i w:val="0"/>
                <w:sz w:val="19"/>
              </w:rPr>
              <w:t>Kiosk mode (tablet)</w:t>
            </w:r>
          </w:p>
        </w:tc>
        <w:tc>
          <w:tcPr>
            <w:tcW w:type="dxa" w:w="4824"/>
            <w:shd w:val="clear" w:fill="EEF3F8"/>
          </w:tcPr>
          <w:p>
            <w:pPr>
              <w:spacing w:after="20" w:before="20"/>
            </w:pPr>
            <w:r/>
            <w:r>
              <w:rPr>
                <w:b w:val="0"/>
                <w:i w:val="0"/>
                <w:sz w:val="19"/>
              </w:rPr>
              <w:t>The guest app runs in kiosk mode on iPad and Android tablets for unattended self-service ticket purchase, wristband printing, and F&amp;B ordering. Kiosk mode uses the same React Native codebase with lockdown configuration.</w:t>
            </w:r>
          </w:p>
        </w:tc>
      </w:tr>
      <w:tr>
        <w:tc>
          <w:tcPr>
            <w:tcW w:type="dxa" w:w="4824"/>
          </w:tcPr>
          <w:p>
            <w:pPr>
              <w:spacing w:after="20" w:before="20"/>
            </w:pPr>
            <w:r/>
            <w:r>
              <w:rPr>
                <w:b w:val="0"/>
                <w:i w:val="0"/>
                <w:sz w:val="19"/>
              </w:rPr>
              <w:t>Membership and loyalty</w:t>
            </w:r>
          </w:p>
        </w:tc>
        <w:tc>
          <w:tcPr>
            <w:tcW w:type="dxa" w:w="4824"/>
          </w:tcPr>
          <w:p>
            <w:pPr>
              <w:spacing w:after="20" w:before="20"/>
            </w:pPr>
            <w:r/>
            <w:r>
              <w:rPr>
                <w:b w:val="0"/>
                <w:i w:val="0"/>
                <w:sz w:val="19"/>
              </w:rPr>
              <w:t>Loyalty programme integration; points balance, tier status, redemption options</w:t>
            </w:r>
          </w:p>
        </w:tc>
      </w:tr>
    </w:tbl>
    <w:p>
      <w:pPr>
        <w:spacing w:after="40"/>
      </w:pPr>
    </w:p>
    <w:p>
      <w:pPr>
        <w:spacing w:after="120" w:line="259" w:lineRule="auto"/>
      </w:pPr>
      <w:r>
        <w:rPr>
          <w:b w:val="0"/>
          <w:i w:val="0"/>
        </w:rPr>
        <w:t>Two deployment models are supported: a shared app with venue switcher (single app, multiple venues selectable — suitable for pilot deployments) and dedicated white-label apps (separate app per venue or brand on App Store, requiring individual submission). The shared app model allows rapid multi-venue rollout without separate app store submissions for each venue.</w:t>
      </w:r>
    </w:p>
    <w:p>
      <w:pPr>
        <w:pStyle w:val="Heading3"/>
        <w:spacing w:before="160" w:after="60"/>
      </w:pPr>
      <w:r>
        <w:rPr>
          <w:b/>
          <w:color w:val="2E75B6"/>
          <w:sz w:val="23"/>
        </w:rPr>
        <w:t>Staff Operations Application — Android First, iOS Future</w:t>
      </w:r>
    </w:p>
    <w:p>
      <w:pPr>
        <w:spacing w:after="120" w:line="259" w:lineRule="auto"/>
      </w:pPr>
      <w:r>
        <w:rPr>
          <w:b w:val="0"/>
          <w:i w:val="0"/>
        </w:rPr>
        <w:t>The staff app equips frontline venue staff with everything they need: ticket validation, queue management, incident reporting, mobile sales, and shift management — all from a single Android device. Every critical workflow is offline-capable because venue Wi-Fi is unreliable during peak events and staff cannot stop working when it drops.</w:t>
      </w:r>
    </w:p>
    <w:tbl>
      <w:tblPr>
        <w:tblStyle w:val="TableGrid"/>
        <w:tblW w:type="auto" w:w="0"/>
        <w:jc w:val="center"/>
        <w:tblLook w:firstColumn="1" w:firstRow="1" w:lastColumn="0" w:lastRow="0" w:noHBand="0" w:noVBand="1" w:val="04A0"/>
      </w:tblPr>
      <w:tblGrid>
        <w:gridCol w:w="4824"/>
        <w:gridCol w:w="4824"/>
      </w:tblGrid>
      <w:tr>
        <w:tc>
          <w:tcPr>
            <w:tcW w:type="dxa" w:w="4824"/>
            <w:shd w:val="clear" w:fill="1F3864"/>
          </w:tcPr>
          <w:p>
            <w:pPr>
              <w:spacing w:after="20" w:before="20"/>
            </w:pPr>
            <w:r/>
            <w:r>
              <w:rPr>
                <w:b/>
                <w:i w:val="0"/>
                <w:color w:val="FFFFFF"/>
                <w:sz w:val="19"/>
              </w:rPr>
              <w:t>Capability</w:t>
            </w:r>
          </w:p>
        </w:tc>
        <w:tc>
          <w:tcPr>
            <w:tcW w:type="dxa" w:w="4824"/>
            <w:shd w:val="clear" w:fill="1F3864"/>
          </w:tcPr>
          <w:p>
            <w:pPr>
              <w:spacing w:after="20" w:before="20"/>
            </w:pPr>
            <w:r/>
            <w:r>
              <w:rPr>
                <w:b/>
                <w:i w:val="0"/>
                <w:color w:val="FFFFFF"/>
                <w:sz w:val="19"/>
              </w:rPr>
              <w:t>Notes</w:t>
            </w:r>
          </w:p>
        </w:tc>
      </w:tr>
      <w:tr>
        <w:tc>
          <w:tcPr>
            <w:tcW w:type="dxa" w:w="4824"/>
          </w:tcPr>
          <w:p>
            <w:pPr>
              <w:spacing w:after="20" w:before="20"/>
            </w:pPr>
            <w:r/>
            <w:r>
              <w:rPr>
                <w:b w:val="0"/>
                <w:i w:val="0"/>
                <w:sz w:val="19"/>
              </w:rPr>
              <w:t>Ticket validation (offline)</w:t>
            </w:r>
          </w:p>
        </w:tc>
        <w:tc>
          <w:tcPr>
            <w:tcW w:type="dxa" w:w="4824"/>
          </w:tcPr>
          <w:p>
            <w:pPr>
              <w:spacing w:after="20" w:before="20"/>
            </w:pPr>
            <w:r/>
            <w:r>
              <w:rPr>
                <w:b w:val="0"/>
                <w:i w:val="0"/>
                <w:sz w:val="19"/>
              </w:rPr>
              <w:t>Camera scan and hardware scan trigger; cryptographic offline validation; sub-100ms response</w:t>
            </w:r>
          </w:p>
        </w:tc>
      </w:tr>
      <w:tr>
        <w:tc>
          <w:tcPr>
            <w:tcW w:type="dxa" w:w="4824"/>
            <w:shd w:val="clear" w:fill="EEF3F8"/>
          </w:tcPr>
          <w:p>
            <w:pPr>
              <w:spacing w:after="20" w:before="20"/>
            </w:pPr>
            <w:r/>
            <w:r>
              <w:rPr>
                <w:b w:val="0"/>
                <w:i w:val="0"/>
                <w:sz w:val="19"/>
              </w:rPr>
              <w:t>Guest lookup (partial offline)</w:t>
            </w:r>
          </w:p>
        </w:tc>
        <w:tc>
          <w:tcPr>
            <w:tcW w:type="dxa" w:w="4824"/>
            <w:shd w:val="clear" w:fill="EEF3F8"/>
          </w:tcPr>
          <w:p>
            <w:pPr>
              <w:spacing w:after="20" w:before="20"/>
            </w:pPr>
            <w:r/>
            <w:r>
              <w:rPr>
                <w:b w:val="0"/>
                <w:i w:val="0"/>
                <w:sz w:val="19"/>
              </w:rPr>
              <w:t>Search by name, booking reference, or ticket QR; locally cached guest index when offline</w:t>
            </w:r>
          </w:p>
        </w:tc>
      </w:tr>
      <w:tr>
        <w:tc>
          <w:tcPr>
            <w:tcW w:type="dxa" w:w="4824"/>
          </w:tcPr>
          <w:p>
            <w:pPr>
              <w:spacing w:after="20" w:before="20"/>
            </w:pPr>
            <w:r/>
            <w:r>
              <w:rPr>
                <w:b w:val="0"/>
                <w:i w:val="0"/>
                <w:sz w:val="19"/>
              </w:rPr>
              <w:t>Queue management (offline)</w:t>
            </w:r>
          </w:p>
        </w:tc>
        <w:tc>
          <w:tcPr>
            <w:tcW w:type="dxa" w:w="4824"/>
          </w:tcPr>
          <w:p>
            <w:pPr>
              <w:spacing w:after="20" w:before="20"/>
            </w:pPr>
            <w:r/>
            <w:r>
              <w:rPr>
                <w:b w:val="0"/>
                <w:i w:val="0"/>
                <w:sz w:val="19"/>
              </w:rPr>
              <w:t>View and manage virtual queues; push next guest; local state synced on reconnect</w:t>
            </w:r>
          </w:p>
        </w:tc>
      </w:tr>
      <w:tr>
        <w:tc>
          <w:tcPr>
            <w:tcW w:type="dxa" w:w="4824"/>
            <w:shd w:val="clear" w:fill="EEF3F8"/>
          </w:tcPr>
          <w:p>
            <w:pPr>
              <w:spacing w:after="20" w:before="20"/>
            </w:pPr>
            <w:r/>
            <w:r>
              <w:rPr>
                <w:b w:val="0"/>
                <w:i w:val="0"/>
                <w:sz w:val="19"/>
              </w:rPr>
              <w:t>Incident reporting (offline)</w:t>
            </w:r>
          </w:p>
        </w:tc>
        <w:tc>
          <w:tcPr>
            <w:tcW w:type="dxa" w:w="4824"/>
            <w:shd w:val="clear" w:fill="EEF3F8"/>
          </w:tcPr>
          <w:p>
            <w:pPr>
              <w:spacing w:after="20" w:before="20"/>
            </w:pPr>
            <w:r/>
            <w:r>
              <w:rPr>
                <w:b w:val="0"/>
                <w:i w:val="0"/>
                <w:sz w:val="19"/>
              </w:rPr>
              <w:t>Log operational incidents, safety alerts, maintenance requests; stored locally, submitted on reconnect</w:t>
            </w:r>
          </w:p>
        </w:tc>
      </w:tr>
      <w:tr>
        <w:tc>
          <w:tcPr>
            <w:tcW w:type="dxa" w:w="4824"/>
          </w:tcPr>
          <w:p>
            <w:pPr>
              <w:spacing w:after="20" w:before="20"/>
            </w:pPr>
            <w:r/>
            <w:r>
              <w:rPr>
                <w:b w:val="0"/>
                <w:i w:val="0"/>
                <w:sz w:val="19"/>
              </w:rPr>
              <w:t>Shift management</w:t>
            </w:r>
          </w:p>
        </w:tc>
        <w:tc>
          <w:tcPr>
            <w:tcW w:type="dxa" w:w="4824"/>
          </w:tcPr>
          <w:p>
            <w:pPr>
              <w:spacing w:after="20" w:before="20"/>
            </w:pPr>
            <w:r/>
            <w:r>
              <w:rPr>
                <w:b w:val="0"/>
                <w:i w:val="0"/>
                <w:sz w:val="19"/>
              </w:rPr>
              <w:t>Clock in/out; view shift schedule; shift handover notes; all local event log</w:t>
            </w:r>
          </w:p>
        </w:tc>
      </w:tr>
      <w:tr>
        <w:tc>
          <w:tcPr>
            <w:tcW w:type="dxa" w:w="4824"/>
            <w:shd w:val="clear" w:fill="EEF3F8"/>
          </w:tcPr>
          <w:p>
            <w:pPr>
              <w:spacing w:after="20" w:before="20"/>
            </w:pPr>
            <w:r/>
            <w:r>
              <w:rPr>
                <w:b w:val="0"/>
                <w:i w:val="0"/>
                <w:sz w:val="19"/>
              </w:rPr>
              <w:t>Flying POS — cash (offline)</w:t>
            </w:r>
          </w:p>
        </w:tc>
        <w:tc>
          <w:tcPr>
            <w:tcW w:type="dxa" w:w="4824"/>
            <w:shd w:val="clear" w:fill="EEF3F8"/>
          </w:tcPr>
          <w:p>
            <w:pPr>
              <w:spacing w:after="20" w:before="20"/>
            </w:pPr>
            <w:r/>
            <w:r>
              <w:rPr>
                <w:b w:val="0"/>
                <w:i w:val="0"/>
                <w:sz w:val="19"/>
              </w:rPr>
              <w:t>Mobile ticket sales and retail transactions; Bluetooth card reader (Stripe Terminal) — card requires connectivity</w:t>
            </w:r>
          </w:p>
        </w:tc>
      </w:tr>
      <w:tr>
        <w:tc>
          <w:tcPr>
            <w:tcW w:type="dxa" w:w="4824"/>
          </w:tcPr>
          <w:p>
            <w:pPr>
              <w:spacing w:after="20" w:before="20"/>
            </w:pPr>
            <w:r/>
            <w:r>
              <w:rPr>
                <w:b w:val="0"/>
                <w:i w:val="0"/>
                <w:sz w:val="19"/>
              </w:rPr>
              <w:t>Real-time attendance (online)</w:t>
            </w:r>
          </w:p>
        </w:tc>
        <w:tc>
          <w:tcPr>
            <w:tcW w:type="dxa" w:w="4824"/>
          </w:tcPr>
          <w:p>
            <w:pPr>
              <w:spacing w:after="20" w:before="20"/>
            </w:pPr>
            <w:r/>
            <w:r>
              <w:rPr>
                <w:b w:val="0"/>
                <w:i w:val="0"/>
                <w:sz w:val="19"/>
              </w:rPr>
              <w:t>Live venue headcount and attraction occupancy; requires live data stream</w:t>
            </w:r>
          </w:p>
        </w:tc>
      </w:tr>
      <w:tr>
        <w:tc>
          <w:tcPr>
            <w:tcW w:type="dxa" w:w="4824"/>
            <w:shd w:val="clear" w:fill="EEF3F8"/>
          </w:tcPr>
          <w:p>
            <w:pPr>
              <w:spacing w:after="20" w:before="20"/>
            </w:pPr>
            <w:r/>
            <w:r>
              <w:rPr>
                <w:b w:val="0"/>
                <w:i w:val="0"/>
                <w:sz w:val="19"/>
              </w:rPr>
              <w:t>Push notifications (online)</w:t>
            </w:r>
          </w:p>
        </w:tc>
        <w:tc>
          <w:tcPr>
            <w:tcW w:type="dxa" w:w="4824"/>
            <w:shd w:val="clear" w:fill="EEF3F8"/>
          </w:tcPr>
          <w:p>
            <w:pPr>
              <w:spacing w:after="20" w:before="20"/>
            </w:pPr>
            <w:r/>
            <w:r>
              <w:rPr>
                <w:b w:val="0"/>
                <w:i w:val="0"/>
                <w:sz w:val="19"/>
              </w:rPr>
              <w:t>Operational alerts from Command Center — queue overflow, incident alerts</w:t>
            </w:r>
          </w:p>
        </w:tc>
      </w:tr>
      <w:tr>
        <w:tc>
          <w:tcPr>
            <w:tcW w:type="dxa" w:w="4824"/>
          </w:tcPr>
          <w:p>
            <w:pPr>
              <w:spacing w:after="20" w:before="20"/>
            </w:pPr>
            <w:r/>
            <w:r>
              <w:rPr>
                <w:b w:val="0"/>
                <w:i w:val="0"/>
                <w:sz w:val="19"/>
              </w:rPr>
              <w:t>Hardware scanner integration</w:t>
            </w:r>
          </w:p>
        </w:tc>
        <w:tc>
          <w:tcPr>
            <w:tcW w:type="dxa" w:w="4824"/>
          </w:tcPr>
          <w:p>
            <w:pPr>
              <w:spacing w:after="20" w:before="20"/>
            </w:pPr>
            <w:r/>
            <w:r>
              <w:rPr>
                <w:b w:val="0"/>
                <w:i w:val="0"/>
                <w:sz w:val="19"/>
              </w:rPr>
              <w:t>Android DataWedge intent broadcasting for Zebra and Honeywell hardware scan triggers</w:t>
            </w:r>
          </w:p>
        </w:tc>
      </w:tr>
    </w:tbl>
    <w:p>
      <w:pPr>
        <w:spacing w:after="40"/>
      </w:pPr>
    </w:p>
    <w:p>
      <w:pPr>
        <w:spacing w:after="120" w:line="259" w:lineRule="auto"/>
      </w:pPr>
      <w:r>
        <w:rPr>
          <w:b w:val="0"/>
          <w:i w:val="0"/>
        </w:rPr>
        <w:t>The staff app is confirmed for Android 10 and above at Phase 1 launch, per the Q&amp;A response. The React Native codebase makes future iOS support a configuration and testing effort, not a rebuild — iOS support is available in a future release without architectural change.</w:t>
      </w:r>
    </w:p>
    <w:p>
      <w:pPr>
        <w:pStyle w:val="Heading2"/>
        <w:spacing w:before="200" w:after="80"/>
      </w:pPr>
      <w:r>
        <w:rPr>
          <w:b/>
          <w:color w:val="2E75B6"/>
          <w:sz w:val="28"/>
        </w:rPr>
        <w:t>7.12 Shared Architecture &amp; App Security</w:t>
      </w:r>
    </w:p>
    <w:p>
      <w:pPr>
        <w:spacing w:after="120" w:line="259" w:lineRule="auto"/>
      </w:pPr>
      <w:r>
        <w:rPr>
          <w:b w:val="0"/>
          <w:i w:val="0"/>
        </w:rPr>
        <w:t>Both apps share a significant codebase. The offline sync engine (WatermelonDB + event log), cryptographic ticket signature library, API client with retry and tenant context, design system components, and push notification service are identical across both apps. This reduces development effort, ensures consistency, and means security fixes applied to shared components benefit both apps simultaneously.</w:t>
      </w:r>
    </w:p>
    <w:p>
      <w:pPr>
        <w:pStyle w:val="Heading3"/>
        <w:spacing w:before="160" w:after="60"/>
      </w:pPr>
      <w:r>
        <w:rPr>
          <w:b/>
          <w:color w:val="2E75B6"/>
          <w:sz w:val="23"/>
        </w:rPr>
        <w:t>Mobile Security Controls</w:t>
      </w:r>
    </w:p>
    <w:tbl>
      <w:tblPr>
        <w:tblStyle w:val="TableGrid"/>
        <w:tblW w:type="auto" w:w="0"/>
        <w:jc w:val="center"/>
        <w:tblLook w:firstColumn="1" w:firstRow="1" w:lastColumn="0" w:lastRow="0" w:noHBand="0" w:noVBand="1" w:val="04A0"/>
      </w:tblPr>
      <w:tblGrid>
        <w:gridCol w:w="4824"/>
        <w:gridCol w:w="4824"/>
      </w:tblGrid>
      <w:tr>
        <w:tc>
          <w:tcPr>
            <w:tcW w:type="dxa" w:w="4824"/>
            <w:shd w:val="clear" w:fill="1F3864"/>
          </w:tcPr>
          <w:p>
            <w:pPr>
              <w:spacing w:after="20" w:before="20"/>
            </w:pPr>
            <w:r/>
            <w:r>
              <w:rPr>
                <w:b/>
                <w:i w:val="0"/>
                <w:color w:val="FFFFFF"/>
                <w:sz w:val="19"/>
              </w:rPr>
              <w:t>Control</w:t>
            </w:r>
          </w:p>
        </w:tc>
        <w:tc>
          <w:tcPr>
            <w:tcW w:type="dxa" w:w="4824"/>
            <w:shd w:val="clear" w:fill="1F3864"/>
          </w:tcPr>
          <w:p>
            <w:pPr>
              <w:spacing w:after="20" w:before="20"/>
            </w:pPr>
            <w:r/>
            <w:r>
              <w:rPr>
                <w:b/>
                <w:i w:val="0"/>
                <w:color w:val="FFFFFF"/>
                <w:sz w:val="19"/>
              </w:rPr>
              <w:t>Implementation</w:t>
            </w:r>
          </w:p>
        </w:tc>
      </w:tr>
      <w:tr>
        <w:tc>
          <w:tcPr>
            <w:tcW w:type="dxa" w:w="4824"/>
          </w:tcPr>
          <w:p>
            <w:pPr>
              <w:spacing w:after="20" w:before="20"/>
            </w:pPr>
            <w:r/>
            <w:r>
              <w:rPr>
                <w:b w:val="0"/>
                <w:i w:val="0"/>
                <w:sz w:val="19"/>
              </w:rPr>
              <w:t>Authentication</w:t>
            </w:r>
          </w:p>
        </w:tc>
        <w:tc>
          <w:tcPr>
            <w:tcW w:type="dxa" w:w="4824"/>
          </w:tcPr>
          <w:p>
            <w:pPr>
              <w:spacing w:after="20" w:before="20"/>
            </w:pPr>
            <w:r/>
            <w:r>
              <w:rPr>
                <w:b w:val="0"/>
                <w:i w:val="0"/>
                <w:sz w:val="19"/>
              </w:rPr>
              <w:t>JWT and refresh token rotation; biometric login (Face ID, fingerprint) as optional second factor</w:t>
            </w:r>
          </w:p>
        </w:tc>
      </w:tr>
      <w:tr>
        <w:tc>
          <w:tcPr>
            <w:tcW w:type="dxa" w:w="4824"/>
            <w:shd w:val="clear" w:fill="EEF3F8"/>
          </w:tcPr>
          <w:p>
            <w:pPr>
              <w:spacing w:after="20" w:before="20"/>
            </w:pPr>
            <w:r/>
            <w:r>
              <w:rPr>
                <w:b w:val="0"/>
                <w:i w:val="0"/>
                <w:sz w:val="19"/>
              </w:rPr>
              <w:t>Certificate pinning</w:t>
            </w:r>
          </w:p>
        </w:tc>
        <w:tc>
          <w:tcPr>
            <w:tcW w:type="dxa" w:w="4824"/>
            <w:shd w:val="clear" w:fill="EEF3F8"/>
          </w:tcPr>
          <w:p>
            <w:pPr>
              <w:spacing w:after="20" w:before="20"/>
            </w:pPr>
            <w:r/>
            <w:r>
              <w:rPr>
                <w:b w:val="0"/>
                <w:i w:val="0"/>
                <w:sz w:val="19"/>
              </w:rPr>
              <w:t>HTTPS certificate pinning on all API calls; prevents man-in-the-middle attacks on venue Wi-Fi networks</w:t>
            </w:r>
          </w:p>
        </w:tc>
      </w:tr>
      <w:tr>
        <w:tc>
          <w:tcPr>
            <w:tcW w:type="dxa" w:w="4824"/>
          </w:tcPr>
          <w:p>
            <w:pPr>
              <w:spacing w:after="20" w:before="20"/>
            </w:pPr>
            <w:r/>
            <w:r>
              <w:rPr>
                <w:b w:val="0"/>
                <w:i w:val="0"/>
                <w:sz w:val="19"/>
              </w:rPr>
              <w:t>Local data encryption</w:t>
            </w:r>
          </w:p>
        </w:tc>
        <w:tc>
          <w:tcPr>
            <w:tcW w:type="dxa" w:w="4824"/>
          </w:tcPr>
          <w:p>
            <w:pPr>
              <w:spacing w:after="20" w:before="20"/>
            </w:pPr>
            <w:r/>
            <w:r>
              <w:rPr>
                <w:b w:val="0"/>
                <w:i w:val="0"/>
                <w:sz w:val="19"/>
              </w:rPr>
              <w:t>AES-256 encryption of all locally stored data — SQLite, event log, ticket validation cache</w:t>
            </w:r>
          </w:p>
        </w:tc>
      </w:tr>
      <w:tr>
        <w:tc>
          <w:tcPr>
            <w:tcW w:type="dxa" w:w="4824"/>
            <w:shd w:val="clear" w:fill="EEF3F8"/>
          </w:tcPr>
          <w:p>
            <w:pPr>
              <w:spacing w:after="20" w:before="20"/>
            </w:pPr>
            <w:r/>
            <w:r>
              <w:rPr>
                <w:b w:val="0"/>
                <w:i w:val="0"/>
                <w:sz w:val="19"/>
              </w:rPr>
              <w:t>Secure enclave</w:t>
            </w:r>
          </w:p>
        </w:tc>
        <w:tc>
          <w:tcPr>
            <w:tcW w:type="dxa" w:w="4824"/>
            <w:shd w:val="clear" w:fill="EEF3F8"/>
          </w:tcPr>
          <w:p>
            <w:pPr>
              <w:spacing w:after="20" w:before="20"/>
            </w:pPr>
            <w:r/>
            <w:r>
              <w:rPr>
                <w:b w:val="0"/>
                <w:i w:val="0"/>
                <w:sz w:val="19"/>
              </w:rPr>
              <w:t>Cryptographic keys stored in iOS Secure Enclave and Android Keystore — hardware-backed</w:t>
            </w:r>
          </w:p>
        </w:tc>
      </w:tr>
      <w:tr>
        <w:tc>
          <w:tcPr>
            <w:tcW w:type="dxa" w:w="4824"/>
          </w:tcPr>
          <w:p>
            <w:pPr>
              <w:spacing w:after="20" w:before="20"/>
            </w:pPr>
            <w:r/>
            <w:r>
              <w:rPr>
                <w:b w:val="0"/>
                <w:i w:val="0"/>
                <w:sz w:val="19"/>
              </w:rPr>
              <w:t>Jailbreak and root detection</w:t>
            </w:r>
          </w:p>
        </w:tc>
        <w:tc>
          <w:tcPr>
            <w:tcW w:type="dxa" w:w="4824"/>
          </w:tcPr>
          <w:p>
            <w:pPr>
              <w:spacing w:after="20" w:before="20"/>
            </w:pPr>
            <w:r/>
            <w:r>
              <w:rPr>
                <w:b w:val="0"/>
                <w:i w:val="0"/>
                <w:sz w:val="19"/>
              </w:rPr>
              <w:t>App detects compromised device OS and restricts sensitive operations accordingly</w:t>
            </w:r>
          </w:p>
        </w:tc>
      </w:tr>
      <w:tr>
        <w:tc>
          <w:tcPr>
            <w:tcW w:type="dxa" w:w="4824"/>
            <w:shd w:val="clear" w:fill="EEF3F8"/>
          </w:tcPr>
          <w:p>
            <w:pPr>
              <w:spacing w:after="20" w:before="20"/>
            </w:pPr>
            <w:r/>
            <w:r>
              <w:rPr>
                <w:b w:val="0"/>
                <w:i w:val="0"/>
                <w:sz w:val="19"/>
              </w:rPr>
              <w:t>Session management</w:t>
            </w:r>
          </w:p>
        </w:tc>
        <w:tc>
          <w:tcPr>
            <w:tcW w:type="dxa" w:w="4824"/>
            <w:shd w:val="clear" w:fill="EEF3F8"/>
          </w:tcPr>
          <w:p>
            <w:pPr>
              <w:spacing w:after="20" w:before="20"/>
            </w:pPr>
            <w:r/>
            <w:r>
              <w:rPr>
                <w:b w:val="0"/>
                <w:i w:val="0"/>
                <w:sz w:val="19"/>
              </w:rPr>
              <w:t>Configurable session timeout; remote session invalidation from admin console</w:t>
            </w:r>
          </w:p>
        </w:tc>
      </w:tr>
      <w:tr>
        <w:tc>
          <w:tcPr>
            <w:tcW w:type="dxa" w:w="4824"/>
          </w:tcPr>
          <w:p>
            <w:pPr>
              <w:spacing w:after="20" w:before="20"/>
            </w:pPr>
            <w:r/>
            <w:r>
              <w:rPr>
                <w:b w:val="0"/>
                <w:i w:val="0"/>
                <w:sz w:val="19"/>
              </w:rPr>
              <w:t>Remote wipe</w:t>
            </w:r>
          </w:p>
        </w:tc>
        <w:tc>
          <w:tcPr>
            <w:tcW w:type="dxa" w:w="4824"/>
          </w:tcPr>
          <w:p>
            <w:pPr>
              <w:spacing w:after="20" w:before="20"/>
            </w:pPr>
            <w:r/>
            <w:r>
              <w:rPr>
                <w:b w:val="0"/>
                <w:i w:val="0"/>
                <w:sz w:val="19"/>
              </w:rPr>
              <w:t>Lost or stolen devices can be remotely wiped on next connectivity; pending unsynced events are recoverable from the central platform shadow log</w:t>
            </w:r>
          </w:p>
        </w:tc>
      </w:tr>
      <w:tr>
        <w:tc>
          <w:tcPr>
            <w:tcW w:type="dxa" w:w="4824"/>
            <w:shd w:val="clear" w:fill="EEF3F8"/>
          </w:tcPr>
          <w:p>
            <w:pPr>
              <w:spacing w:after="20" w:before="20"/>
            </w:pPr>
            <w:r/>
            <w:r>
              <w:rPr>
                <w:b w:val="0"/>
                <w:i w:val="0"/>
                <w:sz w:val="19"/>
              </w:rPr>
              <w:t>Secure enclave storage</w:t>
            </w:r>
          </w:p>
        </w:tc>
        <w:tc>
          <w:tcPr>
            <w:tcW w:type="dxa" w:w="4824"/>
            <w:shd w:val="clear" w:fill="EEF3F8"/>
          </w:tcPr>
          <w:p>
            <w:pPr>
              <w:spacing w:after="20" w:before="20"/>
            </w:pPr>
            <w:r/>
            <w:r>
              <w:rPr>
                <w:b w:val="0"/>
                <w:i w:val="0"/>
                <w:sz w:val="19"/>
              </w:rPr>
              <w:t>All cryptographic keys in iOS Secure Enclave / Android Keystore — hardware-backed, cannot be extracted</w:t>
            </w:r>
          </w:p>
        </w:tc>
      </w:tr>
      <w:tr>
        <w:tc>
          <w:tcPr>
            <w:tcW w:type="dxa" w:w="4824"/>
          </w:tcPr>
          <w:p>
            <w:pPr>
              <w:spacing w:after="20" w:before="20"/>
            </w:pPr>
            <w:r/>
            <w:r>
              <w:rPr>
                <w:b w:val="0"/>
                <w:i w:val="0"/>
                <w:sz w:val="19"/>
              </w:rPr>
              <w:t>App transport security</w:t>
            </w:r>
          </w:p>
        </w:tc>
        <w:tc>
          <w:tcPr>
            <w:tcW w:type="dxa" w:w="4824"/>
          </w:tcPr>
          <w:p>
            <w:pPr>
              <w:spacing w:after="20" w:before="20"/>
            </w:pPr>
            <w:r/>
            <w:r>
              <w:rPr>
                <w:b w:val="0"/>
                <w:i w:val="0"/>
                <w:sz w:val="19"/>
              </w:rPr>
              <w:t>iOS App Transport Security enforced; no cleartext HTTP permitted at any point</w:t>
            </w:r>
          </w:p>
        </w:tc>
      </w:tr>
    </w:tbl>
    <w:p>
      <w:pPr>
        <w:spacing w:after="40"/>
      </w:pPr>
    </w:p>
    <w:p>
      <w:pPr>
        <w:pStyle w:val="Heading3"/>
        <w:spacing w:before="160" w:after="60"/>
      </w:pPr>
      <w:r>
        <w:rPr>
          <w:b/>
          <w:color w:val="2E75B6"/>
          <w:sz w:val="23"/>
        </w:rPr>
        <w:t>App Store Distribution and Update Strategy</w:t>
      </w:r>
    </w:p>
    <w:p>
      <w:pPr>
        <w:spacing w:after="120" w:line="259" w:lineRule="auto"/>
      </w:pPr>
      <w:r>
        <w:rPr>
          <w:b w:val="0"/>
          <w:i w:val="0"/>
        </w:rPr>
        <w:t>The guest app is submitted to both Apple App Store and Google Play at Phase 1 go-live. The staff app is submitted to Google Play at Phase 1 go-live, with iOS support added in a future release. App store assets are prepared in English and Arabic.</w:t>
      </w:r>
    </w:p>
    <w:p>
      <w:pPr>
        <w:spacing w:after="120" w:line="259" w:lineRule="auto"/>
      </w:pPr>
      <w:r>
        <w:rPr>
          <w:b w:val="0"/>
          <w:i w:val="0"/>
        </w:rPr>
        <w:t>Over-the-air (OTA) updates via Expo EAS Update deliver UI changes and bug fixes without App Store review — within Apple’s OTA policy limits. Native module changes require full App Store submission and are planned for major release cycles. The staff app can additionally be distributed via Android Enterprise MDM (VMware Workspace ONE, Jamf) for venues managing their devices centrally, bypassing Google Play for internal-only distribution. Per the Q&amp;A, a phased rollout approach is preferred — both apps support this through the shared app with venue switcher model, which allows new venues to be added as configuration without a new App Store submission.</w:t>
      </w:r>
    </w:p>
    <w:p>
      <w:pPr>
        <w:pStyle w:val="Heading2"/>
        <w:spacing w:before="200" w:after="80"/>
      </w:pPr>
      <w:r>
        <w:rPr>
          <w:b/>
          <w:color w:val="2E75B6"/>
          <w:sz w:val="28"/>
        </w:rPr>
        <w:t>7.13 Multi-Tenancy Security Isolation</w:t>
      </w:r>
    </w:p>
    <w:p>
      <w:pPr>
        <w:spacing w:after="120" w:line="259" w:lineRule="auto"/>
      </w:pPr>
      <w:r>
        <w:rPr>
          <w:b w:val="0"/>
          <w:i w:val="0"/>
        </w:rPr>
        <w:t>The multi-tenancy architecture enforces security separation at every layer of the stack. Data isolation is not solely dependent on application-level logic — it is enforced at the database engine, cache, event stream, search index, vector store, and object storage layers independently. The RFP requires 99.9% uptime — this is achieved through the combination of multi-zone Kubernetes deployment, PostgreSQL HA with automatic failover, Redis cluster mode, and Kafka multi-broker replication. The multi-tenant architecture means that infrastructure scaled for one tenant’s traffic surge does not degrade availability for others.</w:t>
      </w:r>
    </w:p>
    <w:tbl>
      <w:tblPr>
        <w:tblStyle w:val="TableGrid"/>
        <w:tblW w:type="auto" w:w="0"/>
        <w:jc w:val="center"/>
        <w:tblLook w:firstColumn="1" w:firstRow="1" w:lastColumn="0" w:lastRow="0" w:noHBand="0" w:noVBand="1" w:val="04A0"/>
      </w:tblPr>
      <w:tblGrid>
        <w:gridCol w:w="4824"/>
        <w:gridCol w:w="4824"/>
      </w:tblGrid>
      <w:tr>
        <w:tc>
          <w:tcPr>
            <w:tcW w:type="dxa" w:w="4824"/>
            <w:shd w:val="clear" w:fill="1F3864"/>
          </w:tcPr>
          <w:p>
            <w:pPr>
              <w:spacing w:after="20" w:before="20"/>
            </w:pPr>
            <w:r/>
            <w:r>
              <w:rPr>
                <w:b/>
                <w:i w:val="0"/>
                <w:color w:val="FFFFFF"/>
                <w:sz w:val="19"/>
              </w:rPr>
              <w:t>Layer</w:t>
            </w:r>
          </w:p>
        </w:tc>
        <w:tc>
          <w:tcPr>
            <w:tcW w:type="dxa" w:w="4824"/>
            <w:shd w:val="clear" w:fill="1F3864"/>
          </w:tcPr>
          <w:p>
            <w:pPr>
              <w:spacing w:after="20" w:before="20"/>
            </w:pPr>
            <w:r/>
            <w:r>
              <w:rPr>
                <w:b/>
                <w:i w:val="0"/>
                <w:color w:val="FFFFFF"/>
                <w:sz w:val="19"/>
              </w:rPr>
              <w:t>Isolation Mechanism</w:t>
            </w:r>
          </w:p>
        </w:tc>
      </w:tr>
      <w:tr>
        <w:tc>
          <w:tcPr>
            <w:tcW w:type="dxa" w:w="4824"/>
          </w:tcPr>
          <w:p>
            <w:pPr>
              <w:spacing w:after="20" w:before="20"/>
            </w:pPr>
            <w:r/>
            <w:r>
              <w:rPr>
                <w:b w:val="0"/>
                <w:i w:val="0"/>
                <w:sz w:val="19"/>
              </w:rPr>
              <w:t>Database rows</w:t>
            </w:r>
          </w:p>
        </w:tc>
        <w:tc>
          <w:tcPr>
            <w:tcW w:type="dxa" w:w="4824"/>
          </w:tcPr>
          <w:p>
            <w:pPr>
              <w:spacing w:after="20" w:before="20"/>
            </w:pPr>
            <w:r/>
            <w:r>
              <w:rPr>
                <w:b w:val="0"/>
                <w:i w:val="0"/>
                <w:sz w:val="19"/>
              </w:rPr>
              <w:t>PostgreSQL Row-Level Security on all tenant-scoped tables. Enforced by the database engine regardless of application behaviour.</w:t>
            </w:r>
          </w:p>
        </w:tc>
      </w:tr>
      <w:tr>
        <w:tc>
          <w:tcPr>
            <w:tcW w:type="dxa" w:w="4824"/>
            <w:shd w:val="clear" w:fill="EEF3F8"/>
          </w:tcPr>
          <w:p>
            <w:pPr>
              <w:spacing w:after="20" w:before="20"/>
            </w:pPr>
            <w:r/>
            <w:r>
              <w:rPr>
                <w:b w:val="0"/>
                <w:i w:val="0"/>
                <w:sz w:val="19"/>
              </w:rPr>
              <w:t>Vector store</w:t>
            </w:r>
          </w:p>
        </w:tc>
        <w:tc>
          <w:tcPr>
            <w:tcW w:type="dxa" w:w="4824"/>
            <w:shd w:val="clear" w:fill="EEF3F8"/>
          </w:tcPr>
          <w:p>
            <w:pPr>
              <w:spacing w:after="20" w:before="20"/>
            </w:pPr>
            <w:r/>
            <w:r>
              <w:rPr>
                <w:b w:val="0"/>
                <w:i w:val="0"/>
                <w:sz w:val="19"/>
              </w:rPr>
              <w:t>Qdrant payload filter on tenant_id applied during ANN search (pre-filtering). Cross-tenant vectors are never scanned.</w:t>
            </w:r>
          </w:p>
        </w:tc>
      </w:tr>
      <w:tr>
        <w:tc>
          <w:tcPr>
            <w:tcW w:type="dxa" w:w="4824"/>
          </w:tcPr>
          <w:p>
            <w:pPr>
              <w:spacing w:after="20" w:before="20"/>
            </w:pPr>
            <w:r/>
            <w:r>
              <w:rPr>
                <w:b w:val="0"/>
                <w:i w:val="0"/>
                <w:sz w:val="19"/>
              </w:rPr>
              <w:t>Cache</w:t>
            </w:r>
          </w:p>
        </w:tc>
        <w:tc>
          <w:tcPr>
            <w:tcW w:type="dxa" w:w="4824"/>
          </w:tcPr>
          <w:p>
            <w:pPr>
              <w:spacing w:after="20" w:before="20"/>
            </w:pPr>
            <w:r/>
            <w:r>
              <w:rPr>
                <w:b w:val="0"/>
                <w:i w:val="0"/>
                <w:sz w:val="19"/>
              </w:rPr>
              <w:t>Redis key namespace prefixed with tenant:{id}: — cross-tenant cache reads are architecturally impossible.</w:t>
            </w:r>
          </w:p>
        </w:tc>
      </w:tr>
      <w:tr>
        <w:tc>
          <w:tcPr>
            <w:tcW w:type="dxa" w:w="4824"/>
            <w:shd w:val="clear" w:fill="EEF3F8"/>
          </w:tcPr>
          <w:p>
            <w:pPr>
              <w:spacing w:after="20" w:before="20"/>
            </w:pPr>
            <w:r/>
            <w:r>
              <w:rPr>
                <w:b w:val="0"/>
                <w:i w:val="0"/>
                <w:sz w:val="19"/>
              </w:rPr>
              <w:t>Event streaming</w:t>
            </w:r>
          </w:p>
        </w:tc>
        <w:tc>
          <w:tcPr>
            <w:tcW w:type="dxa" w:w="4824"/>
            <w:shd w:val="clear" w:fill="EEF3F8"/>
          </w:tcPr>
          <w:p>
            <w:pPr>
              <w:spacing w:after="20" w:before="20"/>
            </w:pPr>
            <w:r/>
            <w:r>
              <w:rPr>
                <w:b w:val="0"/>
                <w:i w:val="0"/>
                <w:sz w:val="19"/>
              </w:rPr>
              <w:t>Dedicated Kafka topic prefix per tenant. Cross-tenant event bleed is prevented at the message broker.</w:t>
            </w:r>
          </w:p>
        </w:tc>
      </w:tr>
      <w:tr>
        <w:tc>
          <w:tcPr>
            <w:tcW w:type="dxa" w:w="4824"/>
          </w:tcPr>
          <w:p>
            <w:pPr>
              <w:spacing w:after="20" w:before="20"/>
            </w:pPr>
            <w:r/>
            <w:r>
              <w:rPr>
                <w:b w:val="0"/>
                <w:i w:val="0"/>
                <w:sz w:val="19"/>
              </w:rPr>
              <w:t>File storage</w:t>
            </w:r>
          </w:p>
        </w:tc>
        <w:tc>
          <w:tcPr>
            <w:tcW w:type="dxa" w:w="4824"/>
          </w:tcPr>
          <w:p>
            <w:pPr>
              <w:spacing w:after="20" w:before="20"/>
            </w:pPr>
            <w:r/>
            <w:r>
              <w:rPr>
                <w:b w:val="0"/>
                <w:i w:val="0"/>
                <w:sz w:val="19"/>
              </w:rPr>
              <w:t>Separate object storage bucket or prefix per tenant. File URLs are signed and tenant-scoped.</w:t>
            </w:r>
          </w:p>
        </w:tc>
      </w:tr>
      <w:tr>
        <w:tc>
          <w:tcPr>
            <w:tcW w:type="dxa" w:w="4824"/>
            <w:shd w:val="clear" w:fill="EEF3F8"/>
          </w:tcPr>
          <w:p>
            <w:pPr>
              <w:spacing w:after="20" w:before="20"/>
            </w:pPr>
            <w:r/>
            <w:r>
              <w:rPr>
                <w:b w:val="0"/>
                <w:i w:val="0"/>
                <w:sz w:val="19"/>
              </w:rPr>
              <w:t>Search index</w:t>
            </w:r>
          </w:p>
        </w:tc>
        <w:tc>
          <w:tcPr>
            <w:tcW w:type="dxa" w:w="4824"/>
            <w:shd w:val="clear" w:fill="EEF3F8"/>
          </w:tcPr>
          <w:p>
            <w:pPr>
              <w:spacing w:after="20" w:before="20"/>
            </w:pPr>
            <w:r/>
            <w:r>
              <w:rPr>
                <w:b w:val="0"/>
                <w:i w:val="0"/>
                <w:sz w:val="19"/>
              </w:rPr>
              <w:t>Separate Elasticsearch index per tenant. Cross-index queries cannot be initiated by tenant-scoped sessions.</w:t>
            </w:r>
          </w:p>
        </w:tc>
      </w:tr>
      <w:tr>
        <w:tc>
          <w:tcPr>
            <w:tcW w:type="dxa" w:w="4824"/>
          </w:tcPr>
          <w:p>
            <w:pPr>
              <w:spacing w:after="20" w:before="20"/>
            </w:pPr>
            <w:r/>
            <w:r>
              <w:rPr>
                <w:b w:val="0"/>
                <w:i w:val="0"/>
                <w:sz w:val="19"/>
              </w:rPr>
              <w:t>API requests</w:t>
            </w:r>
          </w:p>
        </w:tc>
        <w:tc>
          <w:tcPr>
            <w:tcW w:type="dxa" w:w="4824"/>
          </w:tcPr>
          <w:p>
            <w:pPr>
              <w:spacing w:after="20" w:before="20"/>
            </w:pPr>
            <w:r/>
            <w:r>
              <w:rPr>
                <w:b w:val="0"/>
                <w:i w:val="0"/>
                <w:sz w:val="19"/>
              </w:rPr>
              <w:t>JWT-enforced tenant context on every request. Tenant ID validated server-side on every call.</w:t>
            </w:r>
          </w:p>
        </w:tc>
      </w:tr>
      <w:tr>
        <w:tc>
          <w:tcPr>
            <w:tcW w:type="dxa" w:w="4824"/>
            <w:shd w:val="clear" w:fill="EEF3F8"/>
          </w:tcPr>
          <w:p>
            <w:pPr>
              <w:spacing w:after="20" w:before="20"/>
            </w:pPr>
            <w:r/>
            <w:r>
              <w:rPr>
                <w:b w:val="0"/>
                <w:i w:val="0"/>
                <w:sz w:val="19"/>
              </w:rPr>
              <w:t>Encryption keys</w:t>
            </w:r>
          </w:p>
        </w:tc>
        <w:tc>
          <w:tcPr>
            <w:tcW w:type="dxa" w:w="4824"/>
            <w:shd w:val="clear" w:fill="EEF3F8"/>
          </w:tcPr>
          <w:p>
            <w:pPr>
              <w:spacing w:after="20" w:before="20"/>
            </w:pPr>
            <w:r/>
            <w:r>
              <w:rPr>
                <w:b w:val="0"/>
                <w:i w:val="0"/>
                <w:sz w:val="19"/>
              </w:rPr>
              <w:t>Per-tenant encryption keys for sensitive data fields stored in HSM or cloud KMS. A compromise of one tenant’s key does not expose another tenant’s data.</w:t>
            </w:r>
          </w:p>
        </w:tc>
      </w:tr>
      <w:tr>
        <w:tc>
          <w:tcPr>
            <w:tcW w:type="dxa" w:w="4824"/>
          </w:tcPr>
          <w:p>
            <w:pPr>
              <w:spacing w:after="20" w:before="20"/>
            </w:pPr>
            <w:r/>
            <w:r>
              <w:rPr>
                <w:b w:val="0"/>
                <w:i w:val="0"/>
                <w:sz w:val="19"/>
              </w:rPr>
              <w:t>Audit logs</w:t>
            </w:r>
          </w:p>
        </w:tc>
        <w:tc>
          <w:tcPr>
            <w:tcW w:type="dxa" w:w="4824"/>
          </w:tcPr>
          <w:p>
            <w:pPr>
              <w:spacing w:after="20" w:before="20"/>
            </w:pPr>
            <w:r/>
            <w:r>
              <w:rPr>
                <w:b w:val="0"/>
                <w:i w:val="0"/>
                <w:sz w:val="19"/>
              </w:rPr>
              <w:t>Tenant-scoped immutable audit stream. Platform administrators cannot access tenant audit logs without explicit, logged authorisation.</w:t>
            </w:r>
          </w:p>
        </w:tc>
      </w:tr>
    </w:tbl>
    <w:p>
      <w:pPr>
        <w:spacing w:after="40"/>
      </w:pPr>
    </w:p>
    <w:p>
      <w:pPr>
        <w:spacing w:after="120" w:line="259" w:lineRule="auto"/>
      </w:pPr>
      <w:r>
        <w:rPr>
          <w:b w:val="0"/>
          <w:i w:val="0"/>
        </w:rPr>
        <w:t>New venue onboarding is a configuration operation, not an infrastructure operation. Adding a new venue to an existing tenant takes under one business day for platform configuration — chart of accounts, product catalog, access zones, RBAC roles, payment gateway connection, and integration connectors. Hardware integration testing is a separate activity dependent on hardware availability and manufacturer SDK access, agreed with the client during implementation planning.</w:t>
      </w:r>
    </w:p>
    <w:tbl>
      <w:tblPr>
        <w:tblStyle w:val="TableGrid"/>
        <w:tblW w:type="auto" w:w="0"/>
        <w:jc w:val="center"/>
        <w:tblLook w:firstColumn="1" w:firstRow="1" w:lastColumn="0" w:lastRow="0" w:noHBand="0" w:noVBand="1" w:val="04A0"/>
      </w:tblPr>
      <w:tblGrid>
        <w:gridCol w:w="9648"/>
      </w:tblGrid>
      <w:tr>
        <w:tc>
          <w:tcPr>
            <w:tcW w:type="dxa" w:w="9648"/>
            <w:shd w:val="clear" w:fill="1F3864"/>
          </w:tcPr>
          <w:p>
            <w:pPr>
              <w:spacing w:after="20" w:before="20"/>
            </w:pPr>
            <w:r/>
            <w:r>
              <w:rPr>
                <w:b/>
                <w:i w:val="0"/>
                <w:color w:val="FFFFFF"/>
                <w:sz w:val="19"/>
              </w:rPr>
              <w:t>Penetration testing validates isolation boundaries</w:t>
            </w:r>
            <w:r>
              <w:rPr>
                <w:b/>
                <w:i w:val="0"/>
                <w:color w:val="FFFFFF"/>
                <w:sz w:val="19"/>
              </w:rPr>
              <w:t xml:space="preserve"> The platform undergoes security testing that specifically validates tenant isolation. A test that confirms a user from Tenant A cannot access Tenant B’s data — not just in the application layer but at the database, cache, and API levels — is a required gate before production go-live.</w:t>
            </w:r>
          </w:p>
        </w:tc>
      </w:tr>
    </w:tbl>
    <w:p>
      <w:pPr>
        <w:spacing w:after="40"/>
      </w:pPr>
    </w:p>
    <w:p>
      <w:pPr>
        <w:spacing w:after="120" w:line="259" w:lineRule="auto"/>
      </w:pPr>
      <w:r>
        <w:rPr>
          <w:b w:val="0"/>
          <w:i w:val="0"/>
        </w:rPr>
        <w:t>Miracle Star Trading L.L.C. | Confidential | Page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