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752A5" w14:textId="77777777" w:rsidR="000C3760" w:rsidRDefault="00D77A5A">
      <w:pPr>
        <w:spacing w:after="60"/>
        <w:jc w:val="center"/>
      </w:pPr>
      <w:r>
        <w:rPr>
          <w:rFonts w:ascii="Calibri" w:eastAsia="Calibri" w:hAnsi="Calibri" w:cs="Calibri"/>
          <w:b/>
          <w:bCs/>
          <w:color w:val="215E99"/>
          <w:sz w:val="44"/>
          <w:szCs w:val="44"/>
        </w:rPr>
        <w:t>Minutes of Meeting</w:t>
      </w:r>
    </w:p>
    <w:p w14:paraId="372A827F" w14:textId="77777777" w:rsidR="000C3760" w:rsidRDefault="00D77A5A">
      <w:pPr>
        <w:pBdr>
          <w:bottom w:val="single" w:sz="6" w:space="8" w:color="0D6EFD"/>
        </w:pBdr>
        <w:spacing w:after="160"/>
        <w:jc w:val="center"/>
      </w:pPr>
      <w:r>
        <w:rPr>
          <w:rFonts w:ascii="Calibri" w:eastAsia="Calibri" w:hAnsi="Calibri" w:cs="Calibri"/>
          <w:i/>
          <w:iCs/>
          <w:color w:val="0B1324"/>
          <w:sz w:val="24"/>
          <w:szCs w:val="24"/>
        </w:rPr>
        <w:t>Workshop — Pricing Engine, Upgrades, Media/Wallet Credentials, Reservations, Privacy &amp; Resale Marketplace</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00"/>
        <w:gridCol w:w="3125"/>
        <w:gridCol w:w="1700"/>
        <w:gridCol w:w="2825"/>
      </w:tblGrid>
      <w:tr w:rsidR="000C3760" w14:paraId="2CC08ED6"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74DD1408" w14:textId="77777777" w:rsidR="000C3760" w:rsidRDefault="00D77A5A">
            <w:r>
              <w:rPr>
                <w:rFonts w:ascii="Calibri" w:eastAsia="Calibri" w:hAnsi="Calibri" w:cs="Calibri"/>
                <w:b/>
                <w:bCs/>
                <w:color w:val="0B1324"/>
                <w:sz w:val="24"/>
                <w:szCs w:val="24"/>
              </w:rPr>
              <w:t>Date</w:t>
            </w:r>
          </w:p>
        </w:tc>
        <w:tc>
          <w:tcPr>
            <w:tcW w:w="3125" w:type="dxa"/>
            <w:tcMar>
              <w:top w:w="80" w:type="dxa"/>
              <w:left w:w="120" w:type="dxa"/>
              <w:bottom w:w="80" w:type="dxa"/>
              <w:right w:w="120" w:type="dxa"/>
            </w:tcMar>
            <w:vAlign w:val="center"/>
          </w:tcPr>
          <w:p w14:paraId="60566533" w14:textId="77777777" w:rsidR="000C3760" w:rsidRDefault="00D77A5A">
            <w:r>
              <w:rPr>
                <w:rFonts w:ascii="Calibri" w:eastAsia="Calibri" w:hAnsi="Calibri" w:cs="Calibri"/>
                <w:sz w:val="24"/>
                <w:szCs w:val="24"/>
              </w:rPr>
              <w:t>01-September-2026</w:t>
            </w:r>
          </w:p>
        </w:tc>
        <w:tc>
          <w:tcPr>
            <w:tcW w:w="1700" w:type="dxa"/>
            <w:shd w:val="clear" w:color="auto" w:fill="E7EEFB"/>
            <w:tcMar>
              <w:top w:w="80" w:type="dxa"/>
              <w:left w:w="120" w:type="dxa"/>
              <w:bottom w:w="80" w:type="dxa"/>
              <w:right w:w="120" w:type="dxa"/>
            </w:tcMar>
            <w:vAlign w:val="center"/>
          </w:tcPr>
          <w:p w14:paraId="6D753DC0" w14:textId="77777777" w:rsidR="000C3760" w:rsidRDefault="00D77A5A">
            <w:r>
              <w:rPr>
                <w:rFonts w:ascii="Calibri" w:eastAsia="Calibri" w:hAnsi="Calibri" w:cs="Calibri"/>
                <w:b/>
                <w:bCs/>
                <w:color w:val="0B1324"/>
                <w:sz w:val="24"/>
                <w:szCs w:val="24"/>
              </w:rPr>
              <w:t>Project</w:t>
            </w:r>
          </w:p>
        </w:tc>
        <w:tc>
          <w:tcPr>
            <w:tcW w:w="2825" w:type="dxa"/>
            <w:tcMar>
              <w:top w:w="80" w:type="dxa"/>
              <w:left w:w="120" w:type="dxa"/>
              <w:bottom w:w="80" w:type="dxa"/>
              <w:right w:w="120" w:type="dxa"/>
            </w:tcMar>
            <w:vAlign w:val="center"/>
          </w:tcPr>
          <w:p w14:paraId="45CEE1FD" w14:textId="77777777" w:rsidR="000C3760" w:rsidRDefault="00D77A5A">
            <w:r>
              <w:rPr>
                <w:rFonts w:ascii="Calibri" w:eastAsia="Calibri" w:hAnsi="Calibri" w:cs="Calibri"/>
                <w:sz w:val="24"/>
                <w:szCs w:val="24"/>
              </w:rPr>
              <w:t>TICVAI</w:t>
            </w:r>
          </w:p>
        </w:tc>
      </w:tr>
      <w:tr w:rsidR="000C3760" w14:paraId="05FFB30F" w14:textId="77777777">
        <w:tblPrEx>
          <w:tblCellMar>
            <w:top w:w="0" w:type="dxa"/>
            <w:bottom w:w="0" w:type="dxa"/>
          </w:tblCellMar>
        </w:tblPrEx>
        <w:tc>
          <w:tcPr>
            <w:tcW w:w="1700" w:type="dxa"/>
            <w:shd w:val="clear" w:color="auto" w:fill="E7EEFB"/>
            <w:tcMar>
              <w:top w:w="80" w:type="dxa"/>
              <w:left w:w="120" w:type="dxa"/>
              <w:bottom w:w="80" w:type="dxa"/>
              <w:right w:w="120" w:type="dxa"/>
            </w:tcMar>
            <w:vAlign w:val="center"/>
          </w:tcPr>
          <w:p w14:paraId="72347F1B" w14:textId="77777777" w:rsidR="000C3760" w:rsidRDefault="00D77A5A">
            <w:r>
              <w:rPr>
                <w:rFonts w:ascii="Calibri" w:eastAsia="Calibri" w:hAnsi="Calibri" w:cs="Calibri"/>
                <w:b/>
                <w:bCs/>
                <w:color w:val="0B1324"/>
                <w:sz w:val="24"/>
                <w:szCs w:val="24"/>
              </w:rPr>
              <w:t>Meeting Type</w:t>
            </w:r>
          </w:p>
        </w:tc>
        <w:tc>
          <w:tcPr>
            <w:tcW w:w="3125" w:type="dxa"/>
            <w:tcMar>
              <w:top w:w="80" w:type="dxa"/>
              <w:left w:w="120" w:type="dxa"/>
              <w:bottom w:w="80" w:type="dxa"/>
              <w:right w:w="120" w:type="dxa"/>
            </w:tcMar>
            <w:vAlign w:val="center"/>
          </w:tcPr>
          <w:p w14:paraId="62FD2711" w14:textId="77777777" w:rsidR="000C3760" w:rsidRDefault="00D77A5A">
            <w:r>
              <w:rPr>
                <w:rFonts w:ascii="Calibri" w:eastAsia="Calibri" w:hAnsi="Calibri" w:cs="Calibri"/>
                <w:sz w:val="24"/>
                <w:szCs w:val="24"/>
              </w:rPr>
              <w:t>Product Workshop — Pricing, Upgrades, Media/Wallet Credentials, Reservations, Privacy &amp; Resale Marketplace</w:t>
            </w:r>
          </w:p>
        </w:tc>
        <w:tc>
          <w:tcPr>
            <w:tcW w:w="1700" w:type="dxa"/>
            <w:shd w:val="clear" w:color="auto" w:fill="E7EEFB"/>
            <w:tcMar>
              <w:top w:w="80" w:type="dxa"/>
              <w:left w:w="120" w:type="dxa"/>
              <w:bottom w:w="80" w:type="dxa"/>
              <w:right w:w="120" w:type="dxa"/>
            </w:tcMar>
            <w:vAlign w:val="center"/>
          </w:tcPr>
          <w:p w14:paraId="24D0A58C" w14:textId="77777777" w:rsidR="000C3760" w:rsidRDefault="00D77A5A">
            <w:r>
              <w:rPr>
                <w:rFonts w:ascii="Calibri" w:eastAsia="Calibri" w:hAnsi="Calibri" w:cs="Calibri"/>
                <w:b/>
                <w:bCs/>
                <w:color w:val="0B1324"/>
                <w:sz w:val="24"/>
                <w:szCs w:val="24"/>
              </w:rPr>
              <w:t>Prepared by</w:t>
            </w:r>
          </w:p>
        </w:tc>
        <w:tc>
          <w:tcPr>
            <w:tcW w:w="2825" w:type="dxa"/>
            <w:tcMar>
              <w:top w:w="80" w:type="dxa"/>
              <w:left w:w="120" w:type="dxa"/>
              <w:bottom w:w="80" w:type="dxa"/>
              <w:right w:w="120" w:type="dxa"/>
            </w:tcMar>
            <w:vAlign w:val="center"/>
          </w:tcPr>
          <w:p w14:paraId="736BB4B0" w14:textId="77777777" w:rsidR="000C3760" w:rsidRDefault="00D77A5A">
            <w:r>
              <w:rPr>
                <w:rFonts w:ascii="Calibri" w:eastAsia="Calibri" w:hAnsi="Calibri" w:cs="Calibri"/>
                <w:sz w:val="24"/>
                <w:szCs w:val="24"/>
              </w:rPr>
              <w:t>Chitrangi Mestry</w:t>
            </w:r>
          </w:p>
        </w:tc>
      </w:tr>
    </w:tbl>
    <w:p w14:paraId="3D850850" w14:textId="77777777" w:rsidR="000C3760" w:rsidRDefault="000C3760">
      <w:pPr>
        <w:spacing w:after="160"/>
      </w:pPr>
    </w:p>
    <w:p w14:paraId="339CB1F1" w14:textId="77777777" w:rsidR="000C3760" w:rsidRDefault="00D77A5A">
      <w:pPr>
        <w:spacing w:before="180" w:after="100"/>
      </w:pPr>
      <w:r>
        <w:rPr>
          <w:rFonts w:ascii="Calibri" w:eastAsia="Calibri" w:hAnsi="Calibri" w:cs="Calibri"/>
          <w:b/>
          <w:bCs/>
          <w:color w:val="215E99"/>
          <w:sz w:val="32"/>
          <w:szCs w:val="32"/>
        </w:rPr>
        <w:t>Primary Objective</w:t>
      </w:r>
    </w:p>
    <w:p w14:paraId="1D632BF7" w14:textId="77777777" w:rsidR="000C3760" w:rsidRDefault="00D77A5A">
      <w:pPr>
        <w:spacing w:after="120"/>
      </w:pPr>
      <w:r>
        <w:rPr>
          <w:rFonts w:ascii="Calibri" w:eastAsia="Calibri" w:hAnsi="Calibri" w:cs="Calibri"/>
          <w:color w:val="000000"/>
          <w:sz w:val="24"/>
          <w:szCs w:val="24"/>
        </w:rPr>
        <w:t>To walk through the pricing engine in full detail (structure, rules, taxes, governance, dynamic pricing and AI forecasting), followed by ticket upgrade configuration, media/credential and wallet setup, order and reservation management, privacy/consent and cookie handling, and a deeper follow-up on the resale marketplace approach introduced the previous day — alongside a parallel discussion on infrastructure sizing benchmarks.</w:t>
      </w:r>
    </w:p>
    <w:p w14:paraId="009A6C2A" w14:textId="77777777" w:rsidR="000C3760" w:rsidRDefault="00D77A5A">
      <w:pPr>
        <w:spacing w:before="180" w:after="100"/>
      </w:pPr>
      <w:r>
        <w:rPr>
          <w:rFonts w:ascii="Calibri" w:eastAsia="Calibri" w:hAnsi="Calibri" w:cs="Calibri"/>
          <w:b/>
          <w:bCs/>
          <w:color w:val="215E99"/>
          <w:sz w:val="32"/>
          <w:szCs w:val="32"/>
        </w:rPr>
        <w:t>Participants</w:t>
      </w:r>
    </w:p>
    <w:p w14:paraId="3F343B09" w14:textId="453EE570" w:rsidR="000C3760" w:rsidRDefault="00D77A5A">
      <w:pPr>
        <w:pStyle w:val="ListParagraph"/>
        <w:numPr>
          <w:ilvl w:val="0"/>
          <w:numId w:val="2"/>
        </w:numPr>
        <w:spacing w:after="70"/>
      </w:pPr>
      <w:r>
        <w:rPr>
          <w:rFonts w:ascii="Calibri" w:eastAsia="Calibri" w:hAnsi="Calibri" w:cs="Calibri"/>
          <w:sz w:val="24"/>
          <w:szCs w:val="24"/>
        </w:rPr>
        <w:t xml:space="preserve">TICVAI Team </w:t>
      </w:r>
    </w:p>
    <w:p w14:paraId="51C98F74" w14:textId="18F9E124" w:rsidR="000C3760" w:rsidRDefault="00D77A5A">
      <w:pPr>
        <w:pStyle w:val="ListParagraph"/>
        <w:numPr>
          <w:ilvl w:val="0"/>
          <w:numId w:val="2"/>
        </w:numPr>
        <w:spacing w:after="70"/>
      </w:pPr>
      <w:r>
        <w:rPr>
          <w:rFonts w:ascii="Calibri" w:eastAsia="Calibri" w:hAnsi="Calibri" w:cs="Calibri"/>
          <w:sz w:val="24"/>
          <w:szCs w:val="24"/>
        </w:rPr>
        <w:t>Softlabs Team</w:t>
      </w:r>
      <w:r>
        <w:rPr>
          <w:rFonts w:ascii="Calibri" w:eastAsia="Calibri" w:hAnsi="Calibri" w:cs="Calibri"/>
          <w:sz w:val="24"/>
          <w:szCs w:val="24"/>
        </w:rPr>
        <w:t xml:space="preserve"> </w:t>
      </w:r>
    </w:p>
    <w:p w14:paraId="3C912983" w14:textId="77777777" w:rsidR="000C3760" w:rsidRDefault="00D77A5A">
      <w:pPr>
        <w:spacing w:before="180" w:after="100"/>
      </w:pPr>
      <w:r>
        <w:rPr>
          <w:rFonts w:ascii="Calibri" w:eastAsia="Calibri" w:hAnsi="Calibri" w:cs="Calibri"/>
          <w:b/>
          <w:bCs/>
          <w:color w:val="215E99"/>
          <w:sz w:val="32"/>
          <w:szCs w:val="32"/>
        </w:rPr>
        <w:t>Agenda</w:t>
      </w:r>
    </w:p>
    <w:p w14:paraId="27F24E4C" w14:textId="77777777" w:rsidR="000C3760" w:rsidRDefault="00D77A5A">
      <w:pPr>
        <w:pStyle w:val="ListParagraph"/>
        <w:numPr>
          <w:ilvl w:val="0"/>
          <w:numId w:val="2"/>
        </w:numPr>
        <w:spacing w:after="70"/>
      </w:pPr>
      <w:r>
        <w:rPr>
          <w:rFonts w:ascii="Calibri" w:eastAsia="Calibri" w:hAnsi="Calibri" w:cs="Calibri"/>
          <w:sz w:val="24"/>
          <w:szCs w:val="24"/>
        </w:rPr>
        <w:t>Pricing foundation and structure — price lists, categories, rate types and rate structure</w:t>
      </w:r>
    </w:p>
    <w:p w14:paraId="15B28CEF" w14:textId="77777777" w:rsidR="000C3760" w:rsidRDefault="00D77A5A">
      <w:pPr>
        <w:pStyle w:val="ListParagraph"/>
        <w:numPr>
          <w:ilvl w:val="0"/>
          <w:numId w:val="2"/>
        </w:numPr>
        <w:spacing w:after="70"/>
      </w:pPr>
      <w:r>
        <w:rPr>
          <w:rFonts w:ascii="Calibri" w:eastAsia="Calibri" w:hAnsi="Calibri" w:cs="Calibri"/>
          <w:sz w:val="24"/>
          <w:szCs w:val="24"/>
        </w:rPr>
        <w:t>Pricing rules — customer segment, membership, residency, channel and venue</w:t>
      </w:r>
    </w:p>
    <w:p w14:paraId="7DD55FB2" w14:textId="77777777" w:rsidR="000C3760" w:rsidRDefault="00D77A5A">
      <w:pPr>
        <w:pStyle w:val="ListParagraph"/>
        <w:numPr>
          <w:ilvl w:val="0"/>
          <w:numId w:val="2"/>
        </w:numPr>
        <w:spacing w:after="70"/>
      </w:pPr>
      <w:r>
        <w:rPr>
          <w:rFonts w:ascii="Calibri" w:eastAsia="Calibri" w:hAnsi="Calibri" w:cs="Calibri"/>
          <w:sz w:val="24"/>
          <w:szCs w:val="24"/>
        </w:rPr>
        <w:t>Volume/quantity-based pricing and loyalty points</w:t>
      </w:r>
    </w:p>
    <w:p w14:paraId="7DC53CAD" w14:textId="77777777" w:rsidR="000C3760" w:rsidRDefault="00D77A5A">
      <w:pPr>
        <w:pStyle w:val="ListParagraph"/>
        <w:numPr>
          <w:ilvl w:val="0"/>
          <w:numId w:val="2"/>
        </w:numPr>
        <w:spacing w:after="70"/>
      </w:pPr>
      <w:r>
        <w:rPr>
          <w:rFonts w:ascii="Calibri" w:eastAsia="Calibri" w:hAnsi="Calibri" w:cs="Calibri"/>
          <w:sz w:val="24"/>
          <w:szCs w:val="24"/>
        </w:rPr>
        <w:t>Seasonal and date-based pricing; pricing rule priority and hierarchy</w:t>
      </w:r>
    </w:p>
    <w:p w14:paraId="12B5B35C" w14:textId="77777777" w:rsidR="000C3760" w:rsidRDefault="00D77A5A">
      <w:pPr>
        <w:pStyle w:val="ListParagraph"/>
        <w:numPr>
          <w:ilvl w:val="0"/>
          <w:numId w:val="2"/>
        </w:numPr>
        <w:spacing w:after="70"/>
      </w:pPr>
      <w:r>
        <w:rPr>
          <w:rFonts w:ascii="Calibri" w:eastAsia="Calibri" w:hAnsi="Calibri" w:cs="Calibri"/>
          <w:sz w:val="24"/>
          <w:szCs w:val="24"/>
        </w:rPr>
        <w:t>Taxes, fees and price calculation</w:t>
      </w:r>
    </w:p>
    <w:p w14:paraId="5FAE834C" w14:textId="77777777" w:rsidR="000C3760" w:rsidRDefault="00D77A5A">
      <w:pPr>
        <w:pStyle w:val="ListParagraph"/>
        <w:numPr>
          <w:ilvl w:val="0"/>
          <w:numId w:val="2"/>
        </w:numPr>
        <w:spacing w:after="70"/>
      </w:pPr>
      <w:r>
        <w:rPr>
          <w:rFonts w:ascii="Calibri" w:eastAsia="Calibri" w:hAnsi="Calibri" w:cs="Calibri"/>
          <w:sz w:val="24"/>
          <w:szCs w:val="24"/>
        </w:rPr>
        <w:t>Price governance — approval, versioning, bulk updates and rollback</w:t>
      </w:r>
    </w:p>
    <w:p w14:paraId="44EFE143" w14:textId="77777777" w:rsidR="000C3760" w:rsidRDefault="00D77A5A">
      <w:pPr>
        <w:pStyle w:val="ListParagraph"/>
        <w:numPr>
          <w:ilvl w:val="0"/>
          <w:numId w:val="2"/>
        </w:numPr>
        <w:spacing w:after="70"/>
      </w:pPr>
      <w:r>
        <w:rPr>
          <w:rFonts w:ascii="Calibri" w:eastAsia="Calibri" w:hAnsi="Calibri" w:cs="Calibri"/>
          <w:sz w:val="24"/>
          <w:szCs w:val="24"/>
        </w:rPr>
        <w:t>Dynamic pricing strategies — seasonal, BOGO/sibling discounts, early-bird phased releases, inventory-based pricing</w:t>
      </w:r>
    </w:p>
    <w:p w14:paraId="41A19B56" w14:textId="77777777" w:rsidR="000C3760" w:rsidRDefault="00D77A5A">
      <w:pPr>
        <w:pStyle w:val="ListParagraph"/>
        <w:numPr>
          <w:ilvl w:val="0"/>
          <w:numId w:val="2"/>
        </w:numPr>
        <w:spacing w:after="70"/>
      </w:pPr>
      <w:r>
        <w:rPr>
          <w:rFonts w:ascii="Calibri" w:eastAsia="Calibri" w:hAnsi="Calibri" w:cs="Calibri"/>
          <w:sz w:val="24"/>
          <w:szCs w:val="24"/>
        </w:rPr>
        <w:t>AI demand forecasting and pricing simulation</w:t>
      </w:r>
    </w:p>
    <w:p w14:paraId="6FD0FD78" w14:textId="77777777" w:rsidR="000C3760" w:rsidRDefault="00D77A5A">
      <w:pPr>
        <w:pStyle w:val="ListParagraph"/>
        <w:numPr>
          <w:ilvl w:val="0"/>
          <w:numId w:val="2"/>
        </w:numPr>
        <w:spacing w:after="70"/>
      </w:pPr>
      <w:r>
        <w:rPr>
          <w:rFonts w:ascii="Calibri" w:eastAsia="Calibri" w:hAnsi="Calibri" w:cs="Calibri"/>
          <w:sz w:val="24"/>
          <w:szCs w:val="24"/>
        </w:rPr>
        <w:t>Ticket upgrade and downgrade configuration</w:t>
      </w:r>
    </w:p>
    <w:p w14:paraId="3F98CC85" w14:textId="77777777" w:rsidR="000C3760" w:rsidRDefault="00D77A5A">
      <w:pPr>
        <w:pStyle w:val="ListParagraph"/>
        <w:numPr>
          <w:ilvl w:val="0"/>
          <w:numId w:val="2"/>
        </w:numPr>
        <w:spacing w:after="70"/>
      </w:pPr>
      <w:r>
        <w:rPr>
          <w:rFonts w:ascii="Calibri" w:eastAsia="Calibri" w:hAnsi="Calibri" w:cs="Calibri"/>
          <w:sz w:val="24"/>
          <w:szCs w:val="24"/>
        </w:rPr>
        <w:t>Media and credentials — QR, RFID, NFC, and Apple/Google Wallet</w:t>
      </w:r>
    </w:p>
    <w:p w14:paraId="63EAE1C1" w14:textId="77777777" w:rsidR="000C3760" w:rsidRDefault="00D77A5A">
      <w:pPr>
        <w:pStyle w:val="ListParagraph"/>
        <w:numPr>
          <w:ilvl w:val="0"/>
          <w:numId w:val="2"/>
        </w:numPr>
        <w:spacing w:after="70"/>
      </w:pPr>
      <w:r>
        <w:rPr>
          <w:rFonts w:ascii="Calibri" w:eastAsia="Calibri" w:hAnsi="Calibri" w:cs="Calibri"/>
          <w:sz w:val="24"/>
          <w:szCs w:val="24"/>
        </w:rPr>
        <w:t>Order and reservation management</w:t>
      </w:r>
    </w:p>
    <w:p w14:paraId="44E3A857" w14:textId="77777777" w:rsidR="000C3760" w:rsidRDefault="00D77A5A">
      <w:pPr>
        <w:pStyle w:val="ListParagraph"/>
        <w:numPr>
          <w:ilvl w:val="0"/>
          <w:numId w:val="2"/>
        </w:numPr>
        <w:spacing w:after="70"/>
      </w:pPr>
      <w:r>
        <w:rPr>
          <w:rFonts w:ascii="Calibri" w:eastAsia="Calibri" w:hAnsi="Calibri" w:cs="Calibri"/>
          <w:sz w:val="24"/>
          <w:szCs w:val="24"/>
        </w:rPr>
        <w:t>Amendment, cancellation and booking status</w:t>
      </w:r>
    </w:p>
    <w:p w14:paraId="6CBDFBC7" w14:textId="77777777" w:rsidR="000C3760" w:rsidRDefault="00D77A5A">
      <w:pPr>
        <w:pStyle w:val="ListParagraph"/>
        <w:numPr>
          <w:ilvl w:val="0"/>
          <w:numId w:val="2"/>
        </w:numPr>
        <w:spacing w:after="70"/>
      </w:pPr>
      <w:r>
        <w:rPr>
          <w:rFonts w:ascii="Calibri" w:eastAsia="Calibri" w:hAnsi="Calibri" w:cs="Calibri"/>
          <w:sz w:val="24"/>
          <w:szCs w:val="24"/>
        </w:rPr>
        <w:t>Privacy consent and cookie policy</w:t>
      </w:r>
    </w:p>
    <w:p w14:paraId="4F70E9E4" w14:textId="77777777" w:rsidR="000C3760" w:rsidRDefault="00D77A5A">
      <w:pPr>
        <w:pStyle w:val="ListParagraph"/>
        <w:numPr>
          <w:ilvl w:val="0"/>
          <w:numId w:val="2"/>
        </w:numPr>
        <w:spacing w:after="70"/>
      </w:pPr>
      <w:r>
        <w:rPr>
          <w:rFonts w:ascii="Calibri" w:eastAsia="Calibri" w:hAnsi="Calibri" w:cs="Calibri"/>
          <w:sz w:val="24"/>
          <w:szCs w:val="24"/>
        </w:rPr>
        <w:t>Resale marketplace — detailed follow-up on approach and ticket ownership handling</w:t>
      </w:r>
    </w:p>
    <w:p w14:paraId="39C9BF8C" w14:textId="77777777" w:rsidR="000C3760" w:rsidRDefault="00D77A5A">
      <w:pPr>
        <w:pStyle w:val="ListParagraph"/>
        <w:numPr>
          <w:ilvl w:val="0"/>
          <w:numId w:val="2"/>
        </w:numPr>
        <w:spacing w:after="70"/>
      </w:pPr>
      <w:r>
        <w:rPr>
          <w:rFonts w:ascii="Calibri" w:eastAsia="Calibri" w:hAnsi="Calibri" w:cs="Calibri"/>
          <w:sz w:val="24"/>
          <w:szCs w:val="24"/>
        </w:rPr>
        <w:lastRenderedPageBreak/>
        <w:t>Infrastructure sizing and costing follow-up</w:t>
      </w:r>
    </w:p>
    <w:p w14:paraId="0BC63109" w14:textId="77777777" w:rsidR="000C3760" w:rsidRDefault="00D77A5A">
      <w:pPr>
        <w:pStyle w:val="ListParagraph"/>
        <w:numPr>
          <w:ilvl w:val="0"/>
          <w:numId w:val="2"/>
        </w:numPr>
        <w:spacing w:after="70"/>
      </w:pPr>
      <w:r>
        <w:rPr>
          <w:rFonts w:ascii="Calibri" w:eastAsia="Calibri" w:hAnsi="Calibri" w:cs="Calibri"/>
          <w:sz w:val="24"/>
          <w:szCs w:val="24"/>
        </w:rPr>
        <w:t>Planning for tomorrow's session (access control)</w:t>
      </w:r>
    </w:p>
    <w:p w14:paraId="4D53CB35" w14:textId="77777777" w:rsidR="000C3760" w:rsidRDefault="00D77A5A">
      <w:pPr>
        <w:spacing w:before="180" w:after="100"/>
      </w:pPr>
      <w:r>
        <w:rPr>
          <w:rFonts w:ascii="Calibri" w:eastAsia="Calibri" w:hAnsi="Calibri" w:cs="Calibri"/>
          <w:b/>
          <w:bCs/>
          <w:color w:val="215E99"/>
          <w:sz w:val="32"/>
          <w:szCs w:val="32"/>
        </w:rPr>
        <w:t>4. Detailed Discussion</w:t>
      </w:r>
    </w:p>
    <w:p w14:paraId="22A79F26" w14:textId="77777777" w:rsidR="000C3760" w:rsidRDefault="00D77A5A">
      <w:pPr>
        <w:spacing w:before="140" w:after="60"/>
      </w:pPr>
      <w:r>
        <w:rPr>
          <w:rFonts w:ascii="Calibri" w:eastAsia="Calibri" w:hAnsi="Calibri" w:cs="Calibri"/>
          <w:b/>
          <w:bCs/>
          <w:color w:val="215E99"/>
          <w:sz w:val="32"/>
          <w:szCs w:val="32"/>
        </w:rPr>
        <w:t>4.1 Pricing Foundation &amp; Structure</w:t>
      </w:r>
    </w:p>
    <w:p w14:paraId="1391480E" w14:textId="77777777" w:rsidR="000C3760" w:rsidRDefault="00D77A5A">
      <w:pPr>
        <w:pStyle w:val="ListParagraph"/>
        <w:numPr>
          <w:ilvl w:val="0"/>
          <w:numId w:val="2"/>
        </w:numPr>
        <w:spacing w:after="70"/>
      </w:pPr>
      <w:r>
        <w:rPr>
          <w:rFonts w:ascii="Calibri" w:eastAsia="Calibri" w:hAnsi="Calibri" w:cs="Calibri"/>
          <w:sz w:val="24"/>
          <w:szCs w:val="24"/>
        </w:rPr>
        <w:t>Allam introduced the pricing module across roughly seven sub-screens: an overview dashboard of all pricing setups and their status; the price list, which can be created per sales channel, segment, or product category (multiple price lists can coexist for different purposes); price category &amp; rate type, which defines sub-groupings within a price list (e.g., adult, child, member); and rate structure, which sets the amount against a product category.</w:t>
      </w:r>
    </w:p>
    <w:p w14:paraId="4785ECFE" w14:textId="77777777" w:rsidR="000C3760" w:rsidRDefault="00D77A5A">
      <w:pPr>
        <w:pStyle w:val="ListParagraph"/>
        <w:numPr>
          <w:ilvl w:val="0"/>
          <w:numId w:val="2"/>
        </w:numPr>
        <w:spacing w:after="70"/>
      </w:pPr>
      <w:r>
        <w:rPr>
          <w:rFonts w:ascii="Calibri" w:eastAsia="Calibri" w:hAnsi="Calibri" w:cs="Calibri"/>
          <w:sz w:val="24"/>
          <w:szCs w:val="24"/>
        </w:rPr>
        <w:t>Rates and products are then associated to a price list (defining which categories/products/rates apply together); bundle pricing configures pricing for packages with multiple components (e.g., admission plus a meal) and any add-ons; and multi-market/currency pricing sets different prices and currencies by country, market, or venue.</w:t>
      </w:r>
    </w:p>
    <w:p w14:paraId="77E1B70B" w14:textId="77777777" w:rsidR="000C3760" w:rsidRDefault="00D77A5A">
      <w:pPr>
        <w:pStyle w:val="ListParagraph"/>
        <w:numPr>
          <w:ilvl w:val="0"/>
          <w:numId w:val="2"/>
        </w:numPr>
        <w:spacing w:after="70"/>
      </w:pPr>
      <w:r>
        <w:rPr>
          <w:rFonts w:ascii="Calibri" w:eastAsia="Calibri" w:hAnsi="Calibri" w:cs="Calibri"/>
          <w:sz w:val="24"/>
          <w:szCs w:val="24"/>
        </w:rPr>
        <w:t>A price hierarchy screen defines which pricing level takes precedence when multiple pricing levels could apply (category level, item level, segment level, etc.); a price-list cloning capability allows an existing price list (e.g., B2C) to be copied and adjusted (e.g., discounted for B2B) rather than rebuilt from scratch; and a final validation screen confirms the overall pricing setup is complete and ready to use.</w:t>
      </w:r>
    </w:p>
    <w:p w14:paraId="29381AFB" w14:textId="77777777" w:rsidR="000C3760" w:rsidRDefault="00D77A5A">
      <w:pPr>
        <w:spacing w:before="140" w:after="60"/>
      </w:pPr>
      <w:r>
        <w:rPr>
          <w:rFonts w:ascii="Calibri" w:eastAsia="Calibri" w:hAnsi="Calibri" w:cs="Calibri"/>
          <w:b/>
          <w:bCs/>
          <w:color w:val="215E99"/>
          <w:sz w:val="32"/>
          <w:szCs w:val="32"/>
        </w:rPr>
        <w:t>4.2 Pricing Rules — Segment, Membership, Residency, Channel &amp; Venue</w:t>
      </w:r>
    </w:p>
    <w:p w14:paraId="686FDDEE" w14:textId="77777777" w:rsidR="000C3760" w:rsidRDefault="00D77A5A">
      <w:pPr>
        <w:pStyle w:val="ListParagraph"/>
        <w:numPr>
          <w:ilvl w:val="0"/>
          <w:numId w:val="2"/>
        </w:numPr>
        <w:spacing w:after="70"/>
      </w:pPr>
      <w:r>
        <w:rPr>
          <w:rFonts w:ascii="Calibri" w:eastAsia="Calibri" w:hAnsi="Calibri" w:cs="Calibri"/>
          <w:sz w:val="24"/>
          <w:szCs w:val="24"/>
        </w:rPr>
        <w:t>Pricing rules are configured on top of the price-list structure, with an overview screen showing all rules, their status, and any conflicts.</w:t>
      </w:r>
    </w:p>
    <w:p w14:paraId="26A1EFFE" w14:textId="77777777" w:rsidR="000C3760" w:rsidRDefault="00D77A5A">
      <w:pPr>
        <w:pStyle w:val="ListParagraph"/>
        <w:numPr>
          <w:ilvl w:val="0"/>
          <w:numId w:val="2"/>
        </w:numPr>
        <w:spacing w:after="70"/>
      </w:pPr>
      <w:r>
        <w:rPr>
          <w:rFonts w:ascii="Calibri" w:eastAsia="Calibri" w:hAnsi="Calibri" w:cs="Calibri"/>
          <w:sz w:val="24"/>
          <w:szCs w:val="24"/>
        </w:rPr>
        <w:t>Rules can be defined by customer segment/profile (e.g., regular guest, school, corporate, group — consistent with the customer categories discussed the previous day), each with its own pricing.</w:t>
      </w:r>
    </w:p>
    <w:p w14:paraId="2D80B8C5" w14:textId="77777777" w:rsidR="000C3760" w:rsidRDefault="00D77A5A">
      <w:pPr>
        <w:pStyle w:val="ListParagraph"/>
        <w:numPr>
          <w:ilvl w:val="0"/>
          <w:numId w:val="2"/>
        </w:numPr>
        <w:spacing w:after="70"/>
      </w:pPr>
      <w:r>
        <w:rPr>
          <w:rFonts w:ascii="Calibri" w:eastAsia="Calibri" w:hAnsi="Calibri" w:cs="Calibri"/>
          <w:sz w:val="24"/>
          <w:szCs w:val="24"/>
        </w:rPr>
        <w:t>Membership pricing is treated as its own product type, with special prices and benefits configurable for members.</w:t>
      </w:r>
    </w:p>
    <w:p w14:paraId="3E3D1AB5" w14:textId="77777777" w:rsidR="000C3760" w:rsidRDefault="00D77A5A">
      <w:pPr>
        <w:pStyle w:val="ListParagraph"/>
        <w:numPr>
          <w:ilvl w:val="0"/>
          <w:numId w:val="2"/>
        </w:numPr>
        <w:spacing w:after="70"/>
      </w:pPr>
      <w:r>
        <w:rPr>
          <w:rFonts w:ascii="Calibri" w:eastAsia="Calibri" w:hAnsi="Calibri" w:cs="Calibri"/>
          <w:sz w:val="24"/>
          <w:szCs w:val="24"/>
        </w:rPr>
        <w:t>Rules also support residency/nationality/market-based pricing (e.g., UAE-resident vs. non-resident), channel-based pricing (onsite POS, B2C, kiosk, B2B each with independent pricing), and venue/event-level pricing (different pricing per venue, attraction, or specific event).</w:t>
      </w:r>
    </w:p>
    <w:p w14:paraId="493673FC" w14:textId="77777777" w:rsidR="000C3760" w:rsidRDefault="00D77A5A">
      <w:pPr>
        <w:spacing w:before="140" w:after="60"/>
      </w:pPr>
      <w:r>
        <w:rPr>
          <w:rFonts w:ascii="Calibri" w:eastAsia="Calibri" w:hAnsi="Calibri" w:cs="Calibri"/>
          <w:b/>
          <w:bCs/>
          <w:color w:val="215E99"/>
          <w:sz w:val="32"/>
          <w:szCs w:val="32"/>
        </w:rPr>
        <w:t>4.3 Volume/Quantity Pricing &amp; Loyalty</w:t>
      </w:r>
    </w:p>
    <w:p w14:paraId="490C6968" w14:textId="77777777" w:rsidR="000C3760" w:rsidRDefault="00D77A5A">
      <w:pPr>
        <w:pStyle w:val="ListParagraph"/>
        <w:numPr>
          <w:ilvl w:val="0"/>
          <w:numId w:val="2"/>
        </w:numPr>
        <w:spacing w:after="70"/>
      </w:pPr>
      <w:r>
        <w:rPr>
          <w:rFonts w:ascii="Calibri" w:eastAsia="Calibri" w:hAnsi="Calibri" w:cs="Calibri"/>
          <w:sz w:val="24"/>
          <w:szCs w:val="24"/>
        </w:rPr>
        <w:t>Quantity-based pricing applies discounts based on group size or purchase volume — commonly used for groups and B2B partners, where tiered volume bands (e.g., up to 1,000 tickets at one rate, 1,000–5,000 at a better rate, above 5,000 at a further discount) apply automatically as sales volume increases.</w:t>
      </w:r>
    </w:p>
    <w:p w14:paraId="7C3492F8" w14:textId="77777777" w:rsidR="000C3760" w:rsidRDefault="00D77A5A">
      <w:pPr>
        <w:pStyle w:val="ListParagraph"/>
        <w:numPr>
          <w:ilvl w:val="0"/>
          <w:numId w:val="2"/>
        </w:numPr>
        <w:spacing w:after="70"/>
      </w:pPr>
      <w:r>
        <w:rPr>
          <w:rFonts w:ascii="Calibri" w:eastAsia="Calibri" w:hAnsi="Calibri" w:cs="Calibri"/>
          <w:sz w:val="24"/>
          <w:szCs w:val="24"/>
        </w:rPr>
        <w:t>Regular customer purchase history is tracked against their profile, feeding a loyalty-points model where spend accumulates points that can later be redeemed.</w:t>
      </w:r>
    </w:p>
    <w:p w14:paraId="07F72C48" w14:textId="77777777" w:rsidR="000C3760" w:rsidRDefault="00D77A5A">
      <w:pPr>
        <w:spacing w:before="140" w:after="60"/>
      </w:pPr>
      <w:r>
        <w:rPr>
          <w:rFonts w:ascii="Calibri" w:eastAsia="Calibri" w:hAnsi="Calibri" w:cs="Calibri"/>
          <w:b/>
          <w:bCs/>
          <w:color w:val="215E99"/>
          <w:sz w:val="32"/>
          <w:szCs w:val="32"/>
        </w:rPr>
        <w:lastRenderedPageBreak/>
        <w:t>4.4 Seasonal &amp; Date-Based Pricing; Rule Priority</w:t>
      </w:r>
    </w:p>
    <w:p w14:paraId="306A871F" w14:textId="77777777" w:rsidR="000C3760" w:rsidRDefault="00D77A5A">
      <w:pPr>
        <w:pStyle w:val="ListParagraph"/>
        <w:numPr>
          <w:ilvl w:val="0"/>
          <w:numId w:val="2"/>
        </w:numPr>
        <w:spacing w:after="70"/>
      </w:pPr>
      <w:r>
        <w:rPr>
          <w:rFonts w:ascii="Calibri" w:eastAsia="Calibri" w:hAnsi="Calibri" w:cs="Calibri"/>
          <w:sz w:val="24"/>
          <w:szCs w:val="24"/>
        </w:rPr>
        <w:t>Seasonal pricing applies a different rate before/after a defined date (e.g., low-season summer pricing through 30 September, high-season pricing from 1 October); date-based pricing more generally allows a price change to apply to any purchase made on or after a specific date.</w:t>
      </w:r>
    </w:p>
    <w:p w14:paraId="01CE7640" w14:textId="77777777" w:rsidR="000C3760" w:rsidRDefault="00D77A5A">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asked which rule takes precedence when multiple pricing rules could apply to the same sale simultaneously (e.g., a summer-season rate and a school-group discount on the same ticket) — whether one rule overrides the other, both apply together, or the system should default to whichever price is lowest.</w:t>
      </w:r>
    </w:p>
    <w:p w14:paraId="689B1B63" w14:textId="77777777" w:rsidR="000C3760" w:rsidRDefault="00D77A5A">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conflicts are resolved via the configurable pricing hierarchy (introduced in 4.1) rather than an automatic “lowest price wins” default — the hierarchy determines which rule supersedes or overrides another when more than one could apply to the same sale.</w:t>
      </w:r>
    </w:p>
    <w:p w14:paraId="21769044" w14:textId="77777777" w:rsidR="000C3760" w:rsidRDefault="00D77A5A">
      <w:pPr>
        <w:pStyle w:val="ListParagraph"/>
        <w:numPr>
          <w:ilvl w:val="0"/>
          <w:numId w:val="2"/>
        </w:numPr>
        <w:spacing w:after="70"/>
      </w:pPr>
      <w:r>
        <w:rPr>
          <w:rFonts w:ascii="Calibri" w:eastAsia="Calibri" w:hAnsi="Calibri" w:cs="Calibri"/>
          <w:sz w:val="24"/>
          <w:szCs w:val="24"/>
        </w:rPr>
        <w:t>Time-slot-based pricing allows prices to vary by show/session/time slot, since performances and time slots are associated to events, which in turn carry the event's pricing configuration; pricing rule priority governs which rule is ultimately applied within a single sale when conflicts exist.</w:t>
      </w:r>
    </w:p>
    <w:p w14:paraId="5C894F60" w14:textId="77777777" w:rsidR="000C3760" w:rsidRDefault="00D77A5A">
      <w:pPr>
        <w:spacing w:before="140" w:after="60"/>
      </w:pPr>
      <w:r>
        <w:rPr>
          <w:rFonts w:ascii="Calibri" w:eastAsia="Calibri" w:hAnsi="Calibri" w:cs="Calibri"/>
          <w:b/>
          <w:bCs/>
          <w:color w:val="215E99"/>
          <w:sz w:val="32"/>
          <w:szCs w:val="32"/>
        </w:rPr>
        <w:t>4.5 Taxes, Fees &amp; Price Calculation</w:t>
      </w:r>
    </w:p>
    <w:p w14:paraId="1AB70B71" w14:textId="77777777" w:rsidR="000C3760" w:rsidRDefault="00D77A5A">
      <w:pPr>
        <w:pStyle w:val="ListParagraph"/>
        <w:numPr>
          <w:ilvl w:val="0"/>
          <w:numId w:val="2"/>
        </w:numPr>
        <w:spacing w:after="70"/>
      </w:pPr>
      <w:r>
        <w:rPr>
          <w:rFonts w:ascii="Calibri" w:eastAsia="Calibri" w:hAnsi="Calibri" w:cs="Calibri"/>
          <w:sz w:val="24"/>
          <w:szCs w:val="24"/>
        </w:rPr>
        <w:t>Taxes can be configured as inclusive or exclusive, and associated at the product or category level.</w:t>
      </w:r>
    </w:p>
    <w:p w14:paraId="7B3EA14C" w14:textId="77777777" w:rsidR="000C3760" w:rsidRDefault="00D77A5A">
      <w:pPr>
        <w:pStyle w:val="ListParagraph"/>
        <w:numPr>
          <w:ilvl w:val="0"/>
          <w:numId w:val="2"/>
        </w:numPr>
        <w:spacing w:after="70"/>
      </w:pPr>
      <w:r>
        <w:rPr>
          <w:rFonts w:ascii="Calibri" w:eastAsia="Calibri" w:hAnsi="Calibri" w:cs="Calibri"/>
          <w:sz w:val="24"/>
          <w:szCs w:val="24"/>
        </w:rPr>
        <w:t>Fees are a distinct concept from taxes and can be defined flexibly — e.g., a convenience fee for call-</w:t>
      </w:r>
      <w:proofErr w:type="spellStart"/>
      <w:r>
        <w:rPr>
          <w:rFonts w:ascii="Calibri" w:eastAsia="Calibri" w:hAnsi="Calibri" w:cs="Calibri"/>
          <w:sz w:val="24"/>
          <w:szCs w:val="24"/>
        </w:rPr>
        <w:t>center</w:t>
      </w:r>
      <w:proofErr w:type="spellEnd"/>
      <w:r>
        <w:rPr>
          <w:rFonts w:ascii="Calibri" w:eastAsia="Calibri" w:hAnsi="Calibri" w:cs="Calibri"/>
          <w:sz w:val="24"/>
          <w:szCs w:val="24"/>
        </w:rPr>
        <w:t xml:space="preserve"> bookings, or a shipping fee that varies by destination (e.g., within Dubai vs. Abu Dhabi vs. Ras Al Khaimah vs. international), calculated automatically based on the address entered at checkout. Fees can be applied at the transaction, item, or ticket level.</w:t>
      </w:r>
    </w:p>
    <w:p w14:paraId="2CBEEA1B" w14:textId="77777777" w:rsidR="000C3760" w:rsidRDefault="00D77A5A">
      <w:pPr>
        <w:pStyle w:val="ListParagraph"/>
        <w:numPr>
          <w:ilvl w:val="0"/>
          <w:numId w:val="2"/>
        </w:numPr>
        <w:spacing w:after="70"/>
      </w:pPr>
      <w:r>
        <w:rPr>
          <w:rFonts w:ascii="Calibri" w:eastAsia="Calibri" w:hAnsi="Calibri" w:cs="Calibri"/>
          <w:sz w:val="24"/>
          <w:szCs w:val="24"/>
        </w:rPr>
        <w:t>A tax profile groups the applicable taxes for a ticket/item, supporting multiple taxes calculated together, including tax-on-tax scenarios required in some countries (e.g., Egypt).</w:t>
      </w:r>
    </w:p>
    <w:p w14:paraId="3327CD46" w14:textId="77777777" w:rsidR="000C3760" w:rsidRDefault="00D77A5A">
      <w:pPr>
        <w:pStyle w:val="ListParagraph"/>
        <w:numPr>
          <w:ilvl w:val="0"/>
          <w:numId w:val="2"/>
        </w:numPr>
        <w:spacing w:after="70"/>
      </w:pPr>
      <w:r>
        <w:rPr>
          <w:rFonts w:ascii="Calibri" w:eastAsia="Calibri" w:hAnsi="Calibri" w:cs="Calibri"/>
          <w:b/>
          <w:bCs/>
          <w:sz w:val="24"/>
          <w:szCs w:val="24"/>
        </w:rPr>
        <w:t xml:space="preserve">Confirmed (region-specific tax-on-discount handling): </w:t>
      </w:r>
      <w:r>
        <w:rPr>
          <w:rFonts w:ascii="Calibri" w:eastAsia="Calibri" w:hAnsi="Calibri" w:cs="Calibri"/>
          <w:sz w:val="24"/>
          <w:szCs w:val="24"/>
        </w:rPr>
        <w:t xml:space="preserve">in some regions (e.g., Egypt), tax is calculated on the full pre-discount price rather than the discounted price — e.g., a AED 100 ticket with a 20% discount is paid at AED 80, but tax is still calculated on the AED 100 base. This inclusion/exclusion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must be configurable by region.</w:t>
      </w:r>
    </w:p>
    <w:p w14:paraId="18FACA80" w14:textId="77777777" w:rsidR="000C3760" w:rsidRDefault="00D77A5A">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rounding precision must support regions requiring up to three decimal places, without rounding away the third decimal where the local currency requires exact figures.</w:t>
      </w:r>
    </w:p>
    <w:p w14:paraId="683762B2" w14:textId="77777777" w:rsidR="000C3760" w:rsidRDefault="00D77A5A">
      <w:pPr>
        <w:pStyle w:val="ListParagraph"/>
        <w:numPr>
          <w:ilvl w:val="0"/>
          <w:numId w:val="2"/>
        </w:numPr>
        <w:spacing w:after="70"/>
      </w:pPr>
      <w:r>
        <w:rPr>
          <w:rFonts w:ascii="Calibri" w:eastAsia="Calibri" w:hAnsi="Calibri" w:cs="Calibri"/>
          <w:sz w:val="24"/>
          <w:szCs w:val="24"/>
        </w:rPr>
        <w:t>Tax exemption configuration allows specific products/transactions to be flagged so tax is not calculated at all where required.</w:t>
      </w:r>
    </w:p>
    <w:p w14:paraId="2FD22A78" w14:textId="77777777" w:rsidR="000C3760" w:rsidRDefault="00D77A5A">
      <w:pPr>
        <w:spacing w:before="140" w:after="60"/>
      </w:pPr>
      <w:r>
        <w:rPr>
          <w:rFonts w:ascii="Calibri" w:eastAsia="Calibri" w:hAnsi="Calibri" w:cs="Calibri"/>
          <w:b/>
          <w:bCs/>
          <w:color w:val="215E99"/>
          <w:sz w:val="32"/>
          <w:szCs w:val="32"/>
        </w:rPr>
        <w:t>4.6 Price Governance — Approval, Versioning, Bulk Updates &amp; Rollback</w:t>
      </w:r>
    </w:p>
    <w:p w14:paraId="2CB41556" w14:textId="77777777" w:rsidR="000C3760" w:rsidRDefault="00D77A5A">
      <w:pPr>
        <w:pStyle w:val="ListParagraph"/>
        <w:numPr>
          <w:ilvl w:val="0"/>
          <w:numId w:val="2"/>
        </w:numPr>
        <w:spacing w:after="70"/>
      </w:pPr>
      <w:r>
        <w:rPr>
          <w:rFonts w:ascii="Calibri" w:eastAsia="Calibri" w:hAnsi="Calibri" w:cs="Calibri"/>
          <w:sz w:val="24"/>
          <w:szCs w:val="24"/>
        </w:rPr>
        <w:t>Price changes go through an approval workflow before publishing, with full version control (e.g., a ticket priced at AED 100, revised to AED 110, then AED 120, tracked as versions 1.0, 1.1, 1.2) for every increase or decrease.</w:t>
      </w:r>
    </w:p>
    <w:p w14:paraId="13A3529F" w14:textId="77777777" w:rsidR="000C3760" w:rsidRDefault="00D77A5A">
      <w:pPr>
        <w:pStyle w:val="ListParagraph"/>
        <w:numPr>
          <w:ilvl w:val="0"/>
          <w:numId w:val="2"/>
        </w:numPr>
        <w:spacing w:after="70"/>
      </w:pPr>
      <w:r>
        <w:rPr>
          <w:rFonts w:ascii="Calibri" w:eastAsia="Calibri" w:hAnsi="Calibri" w:cs="Calibri"/>
          <w:sz w:val="24"/>
          <w:szCs w:val="24"/>
        </w:rPr>
        <w:t xml:space="preserve">Bulk pricing updates (e.g., a flat percentage discount or price adjustment applied across all retail or F&amp;B items at once) and bulk import of new items with their prices are both </w:t>
      </w:r>
      <w:r>
        <w:rPr>
          <w:rFonts w:ascii="Calibri" w:eastAsia="Calibri" w:hAnsi="Calibri" w:cs="Calibri"/>
          <w:sz w:val="24"/>
          <w:szCs w:val="24"/>
        </w:rPr>
        <w:lastRenderedPageBreak/>
        <w:t>supported, alongside a rollback mechanism with full change history if a price update needs to be reversed.</w:t>
      </w:r>
    </w:p>
    <w:p w14:paraId="7BA55116" w14:textId="77777777" w:rsidR="000C3760" w:rsidRDefault="00D77A5A">
      <w:pPr>
        <w:spacing w:before="140" w:after="60"/>
      </w:pPr>
      <w:r>
        <w:rPr>
          <w:rFonts w:ascii="Calibri" w:eastAsia="Calibri" w:hAnsi="Calibri" w:cs="Calibri"/>
          <w:b/>
          <w:bCs/>
          <w:color w:val="215E99"/>
          <w:sz w:val="32"/>
          <w:szCs w:val="32"/>
        </w:rPr>
        <w:t>4.7 Dynamic Pricing Strategies</w:t>
      </w:r>
    </w:p>
    <w:p w14:paraId="1024A318" w14:textId="77777777" w:rsidR="000C3760" w:rsidRDefault="00D77A5A">
      <w:pPr>
        <w:pStyle w:val="ListParagraph"/>
        <w:numPr>
          <w:ilvl w:val="0"/>
          <w:numId w:val="2"/>
        </w:numPr>
        <w:spacing w:after="70"/>
      </w:pPr>
      <w:r>
        <w:rPr>
          <w:rFonts w:ascii="Calibri" w:eastAsia="Calibri" w:hAnsi="Calibri" w:cs="Calibri"/>
          <w:sz w:val="24"/>
          <w:szCs w:val="24"/>
        </w:rPr>
        <w:t>Dynamic pricing covers several strategies: seasonal variation (as in 4.4); quantity-based promotions such as “buy 2, get the 3rd free” or buy-one-get-one (BOGO) offers; and tiered sibling-style discounts (first child at full price, subsequent children at a reduced rate) as discussed in a prior session.</w:t>
      </w:r>
    </w:p>
    <w:p w14:paraId="68918AFC" w14:textId="77777777" w:rsidR="000C3760" w:rsidRDefault="00D77A5A">
      <w:pPr>
        <w:pStyle w:val="ListParagraph"/>
        <w:numPr>
          <w:ilvl w:val="0"/>
          <w:numId w:val="2"/>
        </w:numPr>
        <w:spacing w:after="70"/>
      </w:pPr>
      <w:r>
        <w:rPr>
          <w:rFonts w:ascii="Calibri" w:eastAsia="Calibri" w:hAnsi="Calibri" w:cs="Calibri"/>
          <w:b/>
          <w:bCs/>
          <w:sz w:val="24"/>
          <w:szCs w:val="24"/>
        </w:rPr>
        <w:t xml:space="preserve">Early-bird phased pricing (events): </w:t>
      </w:r>
      <w:r>
        <w:rPr>
          <w:rFonts w:ascii="Calibri" w:eastAsia="Calibri" w:hAnsi="Calibri" w:cs="Calibri"/>
          <w:sz w:val="24"/>
          <w:szCs w:val="24"/>
        </w:rPr>
        <w:t>a new event can launch with an early-bird discount (e.g., 20% off a AED 200 base price) for a defined inventory quota (e.g., the first 200 of 500 tickets), followed by a second, smaller-discount phase (e.g., 10% off for the next 100 tickets), before reverting to full price for the remainder — both discount level and quota are configurable per phase.</w:t>
      </w:r>
    </w:p>
    <w:p w14:paraId="328DD963" w14:textId="77777777" w:rsidR="000C3760" w:rsidRDefault="00D77A5A">
      <w:pPr>
        <w:pStyle w:val="ListParagraph"/>
        <w:numPr>
          <w:ilvl w:val="0"/>
          <w:numId w:val="2"/>
        </w:numPr>
        <w:spacing w:after="70"/>
      </w:pPr>
      <w:r>
        <w:rPr>
          <w:rFonts w:ascii="Calibri" w:eastAsia="Calibri" w:hAnsi="Calibri" w:cs="Calibri"/>
          <w:b/>
          <w:bCs/>
          <w:sz w:val="24"/>
          <w:szCs w:val="24"/>
        </w:rPr>
        <w:t xml:space="preserve">Inventory/availability-based pricing: </w:t>
      </w:r>
      <w:r>
        <w:rPr>
          <w:rFonts w:ascii="Calibri" w:eastAsia="Calibri" w:hAnsi="Calibri" w:cs="Calibri"/>
          <w:sz w:val="24"/>
          <w:szCs w:val="24"/>
        </w:rPr>
        <w:t>similar to airline-style dynamic pricing, price can increase (or decrease) automatically as available inventory/capacity is consumed — e.g., price steps up once a defined capacity threshold (such as 50% sold) is crossed, and again as availability becomes scarce.</w:t>
      </w:r>
    </w:p>
    <w:p w14:paraId="06D97DC4" w14:textId="77777777" w:rsidR="000C3760" w:rsidRDefault="00D77A5A">
      <w:pPr>
        <w:spacing w:before="140" w:after="60"/>
      </w:pPr>
      <w:r>
        <w:rPr>
          <w:rFonts w:ascii="Calibri" w:eastAsia="Calibri" w:hAnsi="Calibri" w:cs="Calibri"/>
          <w:b/>
          <w:bCs/>
          <w:color w:val="215E99"/>
          <w:sz w:val="32"/>
          <w:szCs w:val="32"/>
        </w:rPr>
        <w:t>4.8 AI Demand Forecasting &amp; Pricing Simulation</w:t>
      </w:r>
    </w:p>
    <w:p w14:paraId="60BA70AA" w14:textId="77777777" w:rsidR="000C3760" w:rsidRDefault="00D77A5A">
      <w:pPr>
        <w:pStyle w:val="ListParagraph"/>
        <w:numPr>
          <w:ilvl w:val="0"/>
          <w:numId w:val="2"/>
        </w:numPr>
        <w:spacing w:after="70"/>
      </w:pPr>
      <w:r>
        <w:rPr>
          <w:rFonts w:ascii="Calibri" w:eastAsia="Calibri" w:hAnsi="Calibri" w:cs="Calibri"/>
          <w:sz w:val="24"/>
          <w:szCs w:val="24"/>
        </w:rPr>
        <w:t>AI-based demand forecasting can recommend pricing/promotional action ahead of anticipated demand shifts — e.g., forecasting an upcoming rain event and recommending a discount or promotion to sustain sales during a period when demand is expected to drop.</w:t>
      </w:r>
    </w:p>
    <w:p w14:paraId="6B8106E4" w14:textId="77777777" w:rsidR="000C3760" w:rsidRDefault="00D77A5A">
      <w:pPr>
        <w:pStyle w:val="ListParagraph"/>
        <w:numPr>
          <w:ilvl w:val="0"/>
          <w:numId w:val="2"/>
        </w:numPr>
        <w:spacing w:after="70"/>
      </w:pPr>
      <w:r>
        <w:rPr>
          <w:rFonts w:ascii="Calibri" w:eastAsia="Calibri" w:hAnsi="Calibri" w:cs="Calibri"/>
          <w:sz w:val="24"/>
          <w:szCs w:val="24"/>
        </w:rPr>
        <w:t>A pricing simulation/test tool lets the business validate a proposed price change and preview its likely impact before applying it live.</w:t>
      </w:r>
    </w:p>
    <w:p w14:paraId="4FF25090" w14:textId="77777777" w:rsidR="000C3760" w:rsidRDefault="00D77A5A">
      <w:pPr>
        <w:spacing w:before="140" w:after="60"/>
      </w:pPr>
      <w:r>
        <w:rPr>
          <w:rFonts w:ascii="Calibri" w:eastAsia="Calibri" w:hAnsi="Calibri" w:cs="Calibri"/>
          <w:b/>
          <w:bCs/>
          <w:color w:val="215E99"/>
          <w:sz w:val="32"/>
          <w:szCs w:val="32"/>
        </w:rPr>
        <w:t>4.9 Ticket Upgrade &amp; Downgrade Configuration</w:t>
      </w:r>
    </w:p>
    <w:p w14:paraId="1E098858" w14:textId="77777777" w:rsidR="000C3760" w:rsidRDefault="00D77A5A">
      <w:pPr>
        <w:pStyle w:val="ListParagraph"/>
        <w:numPr>
          <w:ilvl w:val="0"/>
          <w:numId w:val="2"/>
        </w:numPr>
        <w:spacing w:after="70"/>
      </w:pPr>
      <w:r>
        <w:rPr>
          <w:rFonts w:ascii="Calibri" w:eastAsia="Calibri" w:hAnsi="Calibri" w:cs="Calibri"/>
          <w:sz w:val="24"/>
          <w:szCs w:val="24"/>
        </w:rPr>
        <w:t>An upgrade dashboard shows upgrade/exchange volume and revenue generated from upgrades for a given period.</w:t>
      </w:r>
    </w:p>
    <w:p w14:paraId="6EC05E40" w14:textId="77777777" w:rsidR="000C3760" w:rsidRDefault="00D77A5A">
      <w:pPr>
        <w:pStyle w:val="ListParagraph"/>
        <w:numPr>
          <w:ilvl w:val="0"/>
          <w:numId w:val="2"/>
        </w:numPr>
        <w:spacing w:after="70"/>
      </w:pPr>
      <w:r>
        <w:rPr>
          <w:rFonts w:ascii="Calibri" w:eastAsia="Calibri" w:hAnsi="Calibri" w:cs="Calibri"/>
          <w:sz w:val="24"/>
          <w:szCs w:val="24"/>
        </w:rPr>
        <w:t>Upgrade/exchange rules define which products can be upgraded to which other products (e.g., an adult ticket to a membership, or a lower membership tier to a higher one), with downgrade paths also supported where the business allows it.</w:t>
      </w:r>
    </w:p>
    <w:p w14:paraId="64ECA5A0" w14:textId="77777777" w:rsidR="000C3760" w:rsidRDefault="00D77A5A">
      <w:pPr>
        <w:pStyle w:val="ListParagraph"/>
        <w:numPr>
          <w:ilvl w:val="0"/>
          <w:numId w:val="2"/>
        </w:numPr>
        <w:spacing w:after="70"/>
      </w:pPr>
      <w:r>
        <w:rPr>
          <w:rFonts w:ascii="Calibri" w:eastAsia="Calibri" w:hAnsi="Calibri" w:cs="Calibri"/>
          <w:b/>
          <w:bCs/>
          <w:sz w:val="24"/>
          <w:szCs w:val="24"/>
        </w:rPr>
        <w:t xml:space="preserve">Upgrade eligibility: </w:t>
      </w:r>
      <w:r>
        <w:rPr>
          <w:rFonts w:ascii="Calibri" w:eastAsia="Calibri" w:hAnsi="Calibri" w:cs="Calibri"/>
          <w:sz w:val="24"/>
          <w:szCs w:val="24"/>
        </w:rPr>
        <w:t>the system checks ticket validity/usage status before allowing an upgrade. Two illustrative use cases were discussed: upgrading a seated-event ticket to a better section on the same day (pay the difference at the counter), and upgrading a general-admission ticket to a season pass, where the amount already paid is credited toward the new product and only the balance is charged.</w:t>
      </w:r>
    </w:p>
    <w:p w14:paraId="659AC603" w14:textId="77777777" w:rsidR="000C3760" w:rsidRDefault="00D77A5A">
      <w:pPr>
        <w:pStyle w:val="ListParagraph"/>
        <w:numPr>
          <w:ilvl w:val="0"/>
          <w:numId w:val="2"/>
        </w:numPr>
        <w:spacing w:after="70"/>
      </w:pPr>
      <w:r>
        <w:rPr>
          <w:rFonts w:ascii="Calibri" w:eastAsia="Calibri" w:hAnsi="Calibri" w:cs="Calibri"/>
          <w:b/>
          <w:bCs/>
          <w:sz w:val="24"/>
          <w:szCs w:val="24"/>
        </w:rPr>
        <w:t xml:space="preserve">Clarified (Chinmay's question on upgrade windows): </w:t>
      </w:r>
      <w:r>
        <w:rPr>
          <w:rFonts w:ascii="Calibri" w:eastAsia="Calibri" w:hAnsi="Calibri" w:cs="Calibri"/>
          <w:sz w:val="24"/>
          <w:szCs w:val="24"/>
        </w:rPr>
        <w:t>upgrade controls can restrict upgrades to before use, after use within a defined window, or up to a cut-off before the ticket/day ends — e.g., an event ticket may remain upgradeable until the guest exits, while a used day-ticket generally cannot be upgraded the following day.</w:t>
      </w:r>
    </w:p>
    <w:p w14:paraId="7DAB4797" w14:textId="77777777" w:rsidR="000C3760" w:rsidRDefault="00D77A5A">
      <w:pPr>
        <w:pStyle w:val="ListParagraph"/>
        <w:numPr>
          <w:ilvl w:val="0"/>
          <w:numId w:val="2"/>
        </w:numPr>
        <w:spacing w:after="70"/>
      </w:pPr>
      <w:r>
        <w:rPr>
          <w:rFonts w:ascii="Calibri" w:eastAsia="Calibri" w:hAnsi="Calibri" w:cs="Calibri"/>
          <w:b/>
          <w:bCs/>
          <w:sz w:val="24"/>
          <w:szCs w:val="24"/>
        </w:rPr>
        <w:t xml:space="preserve">Upgrade financial treatment — pro-rata calculation: </w:t>
      </w:r>
      <w:r>
        <w:rPr>
          <w:rFonts w:ascii="Calibri" w:eastAsia="Calibri" w:hAnsi="Calibri" w:cs="Calibri"/>
          <w:sz w:val="24"/>
          <w:szCs w:val="24"/>
        </w:rPr>
        <w:t xml:space="preserve">for usage-based products like memberships, the system calculates a pro-rata credit based on how much of the original entitlement period has already been used (e.g., 2 months used out of a 1-year silver </w:t>
      </w:r>
      <w:r>
        <w:rPr>
          <w:rFonts w:ascii="Calibri" w:eastAsia="Calibri" w:hAnsi="Calibri" w:cs="Calibri"/>
          <w:sz w:val="24"/>
          <w:szCs w:val="24"/>
        </w:rPr>
        <w:lastRenderedPageBreak/>
        <w:t>membership), and charges only the balance difference required to upgrade to the higher tier.</w:t>
      </w:r>
    </w:p>
    <w:p w14:paraId="2EE65847" w14:textId="77777777" w:rsidR="000C3760" w:rsidRDefault="00D77A5A">
      <w:pPr>
        <w:pStyle w:val="ListParagraph"/>
        <w:numPr>
          <w:ilvl w:val="0"/>
          <w:numId w:val="2"/>
        </w:numPr>
        <w:spacing w:after="70"/>
      </w:pPr>
      <w:r>
        <w:rPr>
          <w:rFonts w:ascii="Calibri" w:eastAsia="Calibri" w:hAnsi="Calibri" w:cs="Calibri"/>
          <w:sz w:val="24"/>
          <w:szCs w:val="24"/>
        </w:rPr>
        <w:t>Upgrade rules can also apply at the product-attribute level (e.g., a child ticket sold based on height, later found to be an adult by height on arrival, upgraded to an adult ticket with the difference charged).</w:t>
      </w:r>
    </w:p>
    <w:p w14:paraId="55D56F56" w14:textId="77777777" w:rsidR="000C3760" w:rsidRDefault="00D77A5A">
      <w:pPr>
        <w:pStyle w:val="ListParagraph"/>
        <w:numPr>
          <w:ilvl w:val="0"/>
          <w:numId w:val="2"/>
        </w:numPr>
        <w:spacing w:after="70"/>
      </w:pPr>
      <w:r>
        <w:rPr>
          <w:rFonts w:ascii="Calibri" w:eastAsia="Calibri" w:hAnsi="Calibri" w:cs="Calibri"/>
          <w:sz w:val="24"/>
          <w:szCs w:val="24"/>
        </w:rPr>
        <w:t>Bulk/group upgrade operations allow staff to upgrade multiple tickets in one action rather than one at a time; a distinct “quick upgrade” allows a direct, single-path upgrade (e.g., gold membership → platinum) versus a flexible upgrade where the guest can choose among several eligible target products.</w:t>
      </w:r>
    </w:p>
    <w:p w14:paraId="781D2462" w14:textId="77777777" w:rsidR="000C3760" w:rsidRDefault="00D77A5A">
      <w:pPr>
        <w:pStyle w:val="ListParagraph"/>
        <w:numPr>
          <w:ilvl w:val="0"/>
          <w:numId w:val="2"/>
        </w:numPr>
        <w:spacing w:after="70"/>
      </w:pPr>
      <w:r>
        <w:rPr>
          <w:rFonts w:ascii="Calibri" w:eastAsia="Calibri" w:hAnsi="Calibri" w:cs="Calibri"/>
          <w:b/>
          <w:bCs/>
          <w:sz w:val="24"/>
          <w:szCs w:val="24"/>
        </w:rPr>
        <w:t xml:space="preserve">Confirmed: </w:t>
      </w:r>
      <w:r>
        <w:rPr>
          <w:rFonts w:ascii="Calibri" w:eastAsia="Calibri" w:hAnsi="Calibri" w:cs="Calibri"/>
          <w:sz w:val="24"/>
          <w:szCs w:val="24"/>
        </w:rPr>
        <w:t>upgrade functionality must be available on the guest-facing mobile/web app, not only at the venue counter — guests should be able to view eligible upgrade options and complete the upgrade online without visiting on-site.</w:t>
      </w:r>
    </w:p>
    <w:p w14:paraId="1109C442" w14:textId="77777777" w:rsidR="000C3760" w:rsidRDefault="00D77A5A">
      <w:pPr>
        <w:pStyle w:val="ListParagraph"/>
        <w:numPr>
          <w:ilvl w:val="0"/>
          <w:numId w:val="2"/>
        </w:numPr>
        <w:spacing w:after="70"/>
      </w:pPr>
      <w:r>
        <w:rPr>
          <w:rFonts w:ascii="Calibri" w:eastAsia="Calibri" w:hAnsi="Calibri" w:cs="Calibri"/>
          <w:b/>
          <w:bCs/>
          <w:sz w:val="24"/>
          <w:szCs w:val="24"/>
        </w:rPr>
        <w:t xml:space="preserve">Clarified (group upgrades): </w:t>
      </w:r>
      <w:r>
        <w:rPr>
          <w:rFonts w:ascii="Calibri" w:eastAsia="Calibri" w:hAnsi="Calibri" w:cs="Calibri"/>
          <w:sz w:val="24"/>
          <w:szCs w:val="24"/>
        </w:rPr>
        <w:t>whether a group ticket can be upgraded is a business-configurable decision (via the conversion/eligibility rules) rather than enabled by default; where allowed, a group would typically raise an upgrade request (e.g., via chat/support) rather than self-service the upgrade the same way an individual guest would.</w:t>
      </w:r>
    </w:p>
    <w:p w14:paraId="3EBAC6CF" w14:textId="77777777" w:rsidR="000C3760" w:rsidRDefault="00D77A5A">
      <w:pPr>
        <w:spacing w:before="140" w:after="60"/>
      </w:pPr>
      <w:r>
        <w:rPr>
          <w:rFonts w:ascii="Calibri" w:eastAsia="Calibri" w:hAnsi="Calibri" w:cs="Calibri"/>
          <w:b/>
          <w:bCs/>
          <w:color w:val="215E99"/>
          <w:sz w:val="32"/>
          <w:szCs w:val="32"/>
        </w:rPr>
        <w:t>4.10 Media &amp; Credentials (QR, RFID, NFC &amp; Wallets)</w:t>
      </w:r>
    </w:p>
    <w:p w14:paraId="1E69BAD5" w14:textId="77777777" w:rsidR="000C3760" w:rsidRDefault="00D77A5A">
      <w:pPr>
        <w:pStyle w:val="ListParagraph"/>
        <w:numPr>
          <w:ilvl w:val="0"/>
          <w:numId w:val="2"/>
        </w:numPr>
        <w:spacing w:after="70"/>
      </w:pPr>
      <w:r>
        <w:rPr>
          <w:rFonts w:ascii="Calibri" w:eastAsia="Calibri" w:hAnsi="Calibri" w:cs="Calibri"/>
          <w:sz w:val="24"/>
          <w:szCs w:val="24"/>
        </w:rPr>
        <w:t>A media is any identifier through which a ticket is presented/redeemed — QR code, RFID/wristband, facial recognition, or another form factor — fully configurable per business, whether or not it integrates with access control or handheld scanners.</w:t>
      </w:r>
    </w:p>
    <w:p w14:paraId="593149BB" w14:textId="77777777" w:rsidR="000C3760" w:rsidRDefault="00D77A5A">
      <w:pPr>
        <w:pStyle w:val="ListParagraph"/>
        <w:numPr>
          <w:ilvl w:val="0"/>
          <w:numId w:val="2"/>
        </w:numPr>
        <w:spacing w:after="70"/>
      </w:pPr>
      <w:r>
        <w:rPr>
          <w:rFonts w:ascii="Calibri" w:eastAsia="Calibri" w:hAnsi="Calibri" w:cs="Calibri"/>
          <w:sz w:val="24"/>
          <w:szCs w:val="24"/>
        </w:rPr>
        <w:t>Virtual tickets (generated but not physically printed) are configurable in terms of media ID format — prefix, suffix, and length — and multiple media types can be linked to a single ticket (e.g., a season pass usable via face recognition, QR code, or RFID as fallback options if one method is unavailable).</w:t>
      </w:r>
    </w:p>
    <w:p w14:paraId="52E6684B" w14:textId="77777777" w:rsidR="000C3760" w:rsidRDefault="00D77A5A">
      <w:pPr>
        <w:pStyle w:val="ListParagraph"/>
        <w:numPr>
          <w:ilvl w:val="0"/>
          <w:numId w:val="2"/>
        </w:numPr>
        <w:spacing w:after="70"/>
      </w:pPr>
      <w:r>
        <w:rPr>
          <w:rFonts w:ascii="Calibri" w:eastAsia="Calibri" w:hAnsi="Calibri" w:cs="Calibri"/>
          <w:sz w:val="24"/>
          <w:szCs w:val="24"/>
        </w:rPr>
        <w:t>Wallet configuration (Apple Wallet / Google Wallet) covers template design — background color, header, footer — and the guest-facing “Add to Apple Wallet” flow after an online purchase.</w:t>
      </w:r>
    </w:p>
    <w:p w14:paraId="6C3BEB85" w14:textId="77777777" w:rsidR="000C3760" w:rsidRDefault="00D77A5A">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clarified that QR-code-based Apple/Google Wallet passes are straightforward to build, but NFC support inside a wallet pass may require direct engagement with Apple for certification/approval. He described an alternative: using an access-control vendor's (HID's) SDK to enable NFC-like functionality on a guest's phone without going through Apple directly, working with HID's own reader hardware.</w:t>
      </w:r>
    </w:p>
    <w:p w14:paraId="51C74B32" w14:textId="77777777" w:rsidR="000C3760" w:rsidRDefault="00D77A5A">
      <w:pPr>
        <w:pStyle w:val="ListParagraph"/>
        <w:numPr>
          <w:ilvl w:val="0"/>
          <w:numId w:val="2"/>
        </w:numPr>
        <w:spacing w:after="70"/>
      </w:pPr>
      <w:r>
        <w:rPr>
          <w:rFonts w:ascii="Calibri" w:eastAsia="Calibri" w:hAnsi="Calibri" w:cs="Calibri"/>
          <w:b/>
          <w:bCs/>
          <w:sz w:val="24"/>
          <w:szCs w:val="24"/>
        </w:rPr>
        <w:t xml:space="preserve">Discussed (Chinmay): </w:t>
      </w:r>
      <w:r>
        <w:rPr>
          <w:rFonts w:ascii="Calibri" w:eastAsia="Calibri" w:hAnsi="Calibri" w:cs="Calibri"/>
          <w:sz w:val="24"/>
          <w:szCs w:val="24"/>
        </w:rPr>
        <w:t>confirmed that a native Apple-certified NFC pass would work with any compatible reader, whereas the HID SDK-based approach would likely only work with HID's own readers — a meaningful compatibility trade-off. Chinmay will research how involved the direct-Apple-certification path is before committing to a direction, and lean toward that approach unless it proves to be a hard blocker, to avoid locking the platform into a single reader vendor.</w:t>
      </w:r>
    </w:p>
    <w:p w14:paraId="659C9CFF" w14:textId="77777777" w:rsidR="000C3760" w:rsidRDefault="00D77A5A">
      <w:pPr>
        <w:spacing w:before="140" w:after="60"/>
      </w:pPr>
      <w:r>
        <w:rPr>
          <w:rFonts w:ascii="Calibri" w:eastAsia="Calibri" w:hAnsi="Calibri" w:cs="Calibri"/>
          <w:b/>
          <w:bCs/>
          <w:color w:val="215E99"/>
          <w:sz w:val="32"/>
          <w:szCs w:val="32"/>
        </w:rPr>
        <w:t>4.11 Order &amp; Reservation Management</w:t>
      </w:r>
    </w:p>
    <w:p w14:paraId="443FC8B0" w14:textId="77777777" w:rsidR="000C3760" w:rsidRDefault="00D77A5A">
      <w:pPr>
        <w:pStyle w:val="ListParagraph"/>
        <w:numPr>
          <w:ilvl w:val="0"/>
          <w:numId w:val="2"/>
        </w:numPr>
        <w:spacing w:after="70"/>
      </w:pPr>
      <w:r>
        <w:rPr>
          <w:rFonts w:ascii="Calibri" w:eastAsia="Calibri" w:hAnsi="Calibri" w:cs="Calibri"/>
          <w:sz w:val="24"/>
          <w:szCs w:val="24"/>
        </w:rPr>
        <w:lastRenderedPageBreak/>
        <w:t>The sales team can create bookings for any customer type (individual, school, corporate) and send a booking confirmation; on arrival, guests present the confirmation to collect physical media or scan directly at access control.</w:t>
      </w:r>
    </w:p>
    <w:p w14:paraId="5E02F0E9" w14:textId="77777777" w:rsidR="000C3760" w:rsidRDefault="00D77A5A">
      <w:pPr>
        <w:pStyle w:val="ListParagraph"/>
        <w:numPr>
          <w:ilvl w:val="0"/>
          <w:numId w:val="2"/>
        </w:numPr>
        <w:spacing w:after="70"/>
      </w:pPr>
      <w:r>
        <w:rPr>
          <w:rFonts w:ascii="Calibri" w:eastAsia="Calibri" w:hAnsi="Calibri" w:cs="Calibri"/>
          <w:sz w:val="24"/>
          <w:szCs w:val="24"/>
        </w:rPr>
        <w:t>A dashboard shows total orders/reservations for the day, confirmed guests, and booking status; order details show the customer and the specific tickets/items in that order.</w:t>
      </w:r>
    </w:p>
    <w:p w14:paraId="31E106D8" w14:textId="77777777" w:rsidR="000C3760" w:rsidRDefault="00D77A5A">
      <w:pPr>
        <w:pStyle w:val="ListParagraph"/>
        <w:numPr>
          <w:ilvl w:val="0"/>
          <w:numId w:val="2"/>
        </w:numPr>
        <w:spacing w:after="70"/>
      </w:pPr>
      <w:r>
        <w:rPr>
          <w:rFonts w:ascii="Calibri" w:eastAsia="Calibri" w:hAnsi="Calibri" w:cs="Calibri"/>
          <w:sz w:val="24"/>
          <w:szCs w:val="24"/>
        </w:rPr>
        <w:t>Reservation/hold policy configuration defines how long a capacity-based booking is held pending payment before it is released back to inventory if payment is not completed.</w:t>
      </w:r>
    </w:p>
    <w:p w14:paraId="20D04B09" w14:textId="77777777" w:rsidR="000C3760" w:rsidRDefault="00D77A5A">
      <w:pPr>
        <w:pStyle w:val="ListParagraph"/>
        <w:numPr>
          <w:ilvl w:val="0"/>
          <w:numId w:val="2"/>
        </w:numPr>
        <w:spacing w:after="70"/>
      </w:pPr>
      <w:r>
        <w:rPr>
          <w:rFonts w:ascii="Calibri" w:eastAsia="Calibri" w:hAnsi="Calibri" w:cs="Calibri"/>
          <w:sz w:val="24"/>
          <w:szCs w:val="24"/>
        </w:rPr>
        <w:t>Booking status stages were outlined: draft → reserved (awaiting payment) → completed, with paths to cancelled or expired as applicable. Channel-specific rules govern what actions each channel can perform (create, upgrade, cancel), and whether checkout requires guest checkout (name, phone, email only) or full registration/sign-in.</w:t>
      </w:r>
    </w:p>
    <w:p w14:paraId="71DB6571" w14:textId="77777777" w:rsidR="000C3760" w:rsidRDefault="00D77A5A">
      <w:pPr>
        <w:pStyle w:val="ListParagraph"/>
        <w:numPr>
          <w:ilvl w:val="0"/>
          <w:numId w:val="2"/>
        </w:numPr>
        <w:spacing w:after="70"/>
      </w:pPr>
      <w:r>
        <w:rPr>
          <w:rFonts w:ascii="Calibri" w:eastAsia="Calibri" w:hAnsi="Calibri" w:cs="Calibri"/>
          <w:sz w:val="24"/>
          <w:szCs w:val="24"/>
        </w:rPr>
        <w:t>Bookings can be linked to the appropriate customer category (corporate account, travel agent/B2B, school) which determines what additional information is collected. Order lines show the full contents of an order (tickets, retail, F&amp;B) with associated inventory hold/availability; a final completeness check confirms payment, customer, and capacity requirements are all satisfied before an order is finalized. An upcoming/at-risk bookings view flags bookings nearing expiry (e.g., payment not yet completed) for f</w:t>
      </w:r>
      <w:r>
        <w:rPr>
          <w:rFonts w:ascii="Calibri" w:eastAsia="Calibri" w:hAnsi="Calibri" w:cs="Calibri"/>
          <w:sz w:val="24"/>
          <w:szCs w:val="24"/>
        </w:rPr>
        <w:t>ollow-up.</w:t>
      </w:r>
    </w:p>
    <w:p w14:paraId="08CFA3B4" w14:textId="77777777" w:rsidR="000C3760" w:rsidRDefault="00D77A5A">
      <w:pPr>
        <w:spacing w:before="140" w:after="60"/>
      </w:pPr>
      <w:r>
        <w:rPr>
          <w:rFonts w:ascii="Calibri" w:eastAsia="Calibri" w:hAnsi="Calibri" w:cs="Calibri"/>
          <w:b/>
          <w:bCs/>
          <w:color w:val="215E99"/>
          <w:sz w:val="32"/>
          <w:szCs w:val="32"/>
        </w:rPr>
        <w:t>4.12 Amendment, Cancellation &amp; Booking Status</w:t>
      </w:r>
    </w:p>
    <w:p w14:paraId="20C7E96A" w14:textId="77777777" w:rsidR="000C3760" w:rsidRDefault="00D77A5A">
      <w:pPr>
        <w:pStyle w:val="ListParagraph"/>
        <w:numPr>
          <w:ilvl w:val="0"/>
          <w:numId w:val="2"/>
        </w:numPr>
        <w:spacing w:after="70"/>
      </w:pPr>
      <w:r>
        <w:rPr>
          <w:rFonts w:ascii="Calibri" w:eastAsia="Calibri" w:hAnsi="Calibri" w:cs="Calibri"/>
          <w:sz w:val="24"/>
          <w:szCs w:val="24"/>
        </w:rPr>
        <w:t>Amendments and cancellations are checked against the applicable cancellation/amendment/reschedule policy before the system allows a refund, cancellation, or reschedule to proceed.</w:t>
      </w:r>
    </w:p>
    <w:p w14:paraId="305243C0" w14:textId="77777777" w:rsidR="000C3760" w:rsidRDefault="00D77A5A">
      <w:pPr>
        <w:pStyle w:val="ListParagraph"/>
        <w:numPr>
          <w:ilvl w:val="0"/>
          <w:numId w:val="2"/>
        </w:numPr>
        <w:spacing w:after="70"/>
      </w:pPr>
      <w:r>
        <w:rPr>
          <w:rFonts w:ascii="Calibri" w:eastAsia="Calibri" w:hAnsi="Calibri" w:cs="Calibri"/>
          <w:sz w:val="24"/>
          <w:szCs w:val="24"/>
        </w:rPr>
        <w:t>A booking's overall financial status (deposit required, partial payment, full payment) is tracked centrally.</w:t>
      </w:r>
    </w:p>
    <w:p w14:paraId="5EFDF816" w14:textId="77777777" w:rsidR="000C3760" w:rsidRDefault="00D77A5A">
      <w:pPr>
        <w:pStyle w:val="ListParagraph"/>
        <w:numPr>
          <w:ilvl w:val="0"/>
          <w:numId w:val="2"/>
        </w:numPr>
        <w:spacing w:after="70"/>
      </w:pPr>
      <w:r>
        <w:rPr>
          <w:rFonts w:ascii="Calibri" w:eastAsia="Calibri" w:hAnsi="Calibri" w:cs="Calibri"/>
          <w:b/>
          <w:bCs/>
          <w:sz w:val="24"/>
          <w:szCs w:val="24"/>
        </w:rPr>
        <w:t xml:space="preserve">Confirmed (partial payments): </w:t>
      </w:r>
      <w:r>
        <w:rPr>
          <w:rFonts w:ascii="Calibri" w:eastAsia="Calibri" w:hAnsi="Calibri" w:cs="Calibri"/>
          <w:sz w:val="24"/>
          <w:szCs w:val="24"/>
        </w:rPr>
        <w:t>partial payment/deposit is supported for bulk bookings such as schools and corporates — e.g., a 20–30% deposit upfront with the balance due on or before arrival.</w:t>
      </w:r>
    </w:p>
    <w:p w14:paraId="50234DF1" w14:textId="77777777" w:rsidR="000C3760" w:rsidRDefault="00D77A5A">
      <w:pPr>
        <w:spacing w:before="140" w:after="60"/>
      </w:pPr>
      <w:r>
        <w:rPr>
          <w:rFonts w:ascii="Calibri" w:eastAsia="Calibri" w:hAnsi="Calibri" w:cs="Calibri"/>
          <w:b/>
          <w:bCs/>
          <w:color w:val="215E99"/>
          <w:sz w:val="32"/>
          <w:szCs w:val="32"/>
        </w:rPr>
        <w:t>4.13 Privacy Consent &amp; Cookie Policy</w:t>
      </w:r>
    </w:p>
    <w:p w14:paraId="7571EA3E" w14:textId="77777777" w:rsidR="000C3760" w:rsidRDefault="00D77A5A">
      <w:pPr>
        <w:pStyle w:val="ListParagraph"/>
        <w:numPr>
          <w:ilvl w:val="0"/>
          <w:numId w:val="2"/>
        </w:numPr>
        <w:spacing w:after="70"/>
      </w:pPr>
      <w:r>
        <w:rPr>
          <w:rFonts w:ascii="Calibri" w:eastAsia="Calibri" w:hAnsi="Calibri" w:cs="Calibri"/>
          <w:sz w:val="24"/>
          <w:szCs w:val="24"/>
        </w:rPr>
        <w:t>Privacy consent capture during checkout covers marketing/newsletter opt-in and preferred contact method (email vs. phone), giving the marketing team a clear, compliant list of who can be contacted and how.</w:t>
      </w:r>
    </w:p>
    <w:p w14:paraId="2E34489B" w14:textId="77777777" w:rsidR="000C3760" w:rsidRDefault="00D77A5A">
      <w:pPr>
        <w:pStyle w:val="ListParagraph"/>
        <w:numPr>
          <w:ilvl w:val="0"/>
          <w:numId w:val="2"/>
        </w:numPr>
        <w:spacing w:after="70"/>
      </w:pPr>
      <w:r>
        <w:rPr>
          <w:rFonts w:ascii="Calibri" w:eastAsia="Calibri" w:hAnsi="Calibri" w:cs="Calibri"/>
          <w:sz w:val="24"/>
          <w:szCs w:val="24"/>
        </w:rPr>
        <w:t>Cookie policy management supports a configurable consent banner (accept/reject) per website, with certain cookies flagged as mandatory (non-rejectable) and others optional, templated and configurable within the system.</w:t>
      </w:r>
    </w:p>
    <w:p w14:paraId="26D2345B" w14:textId="77777777" w:rsidR="000C3760" w:rsidRDefault="00D77A5A">
      <w:pPr>
        <w:spacing w:before="140" w:after="60"/>
      </w:pPr>
      <w:r>
        <w:rPr>
          <w:rFonts w:ascii="Calibri" w:eastAsia="Calibri" w:hAnsi="Calibri" w:cs="Calibri"/>
          <w:b/>
          <w:bCs/>
          <w:color w:val="215E99"/>
          <w:sz w:val="32"/>
          <w:szCs w:val="32"/>
        </w:rPr>
        <w:t>4.14 Resale Marketplace — Detailed Follow-Up</w:t>
      </w:r>
    </w:p>
    <w:p w14:paraId="692F5CED" w14:textId="77777777" w:rsidR="000C3760" w:rsidRDefault="00D77A5A">
      <w:pPr>
        <w:pStyle w:val="ListParagraph"/>
        <w:numPr>
          <w:ilvl w:val="0"/>
          <w:numId w:val="2"/>
        </w:numPr>
        <w:spacing w:after="70"/>
      </w:pPr>
      <w:r>
        <w:rPr>
          <w:rFonts w:ascii="Calibri" w:eastAsia="Calibri" w:hAnsi="Calibri" w:cs="Calibri"/>
          <w:b/>
          <w:bCs/>
          <w:sz w:val="24"/>
          <w:szCs w:val="24"/>
        </w:rPr>
        <w:t xml:space="preserve">Recap (Qossai): </w:t>
      </w:r>
      <w:r>
        <w:rPr>
          <w:rFonts w:ascii="Calibri" w:eastAsia="Calibri" w:hAnsi="Calibri" w:cs="Calibri"/>
          <w:sz w:val="24"/>
          <w:szCs w:val="24"/>
        </w:rPr>
        <w:t>confirmed TICVAI's own resale engine will support three access models — (1) the client's own B2C website, where an end user requests to resell a ticket within an admin-configured resale price range (e.g., 10–20% below the original price); (2) a TICVAI-hosted white-label resale portal for clients without their own B2C presence (e.g., “museum.tickvai.com”); and (3) an API-based option for clients who run their own resale market but consume TICVAI's resale engine underneath.</w:t>
      </w:r>
    </w:p>
    <w:p w14:paraId="590CD014" w14:textId="77777777" w:rsidR="000C3760" w:rsidRDefault="00D77A5A">
      <w:pPr>
        <w:pStyle w:val="ListParagraph"/>
        <w:numPr>
          <w:ilvl w:val="0"/>
          <w:numId w:val="2"/>
        </w:numPr>
        <w:spacing w:after="70"/>
      </w:pPr>
      <w:r>
        <w:rPr>
          <w:rFonts w:ascii="Calibri" w:eastAsia="Calibri" w:hAnsi="Calibri" w:cs="Calibri"/>
          <w:sz w:val="24"/>
          <w:szCs w:val="24"/>
        </w:rPr>
        <w:lastRenderedPageBreak/>
        <w:t>Board 1 (resale rules) defines eligibility criteria, allowable resale price range, applicable fees/commission to the venue/tenant, and any required approval step. Board 2 covers what happens when a resale ticket is purchased — payment handling, ownership transfer, and settlement to the original seller.</w:t>
      </w:r>
    </w:p>
    <w:p w14:paraId="5B978341" w14:textId="77777777" w:rsidR="000C3760" w:rsidRDefault="00D77A5A">
      <w:pPr>
        <w:pStyle w:val="ListParagraph"/>
        <w:numPr>
          <w:ilvl w:val="0"/>
          <w:numId w:val="2"/>
        </w:numPr>
        <w:spacing w:after="70"/>
      </w:pPr>
      <w:r>
        <w:rPr>
          <w:rFonts w:ascii="Calibri" w:eastAsia="Calibri" w:hAnsi="Calibri" w:cs="Calibri"/>
          <w:b/>
          <w:bCs/>
          <w:sz w:val="24"/>
          <w:szCs w:val="24"/>
        </w:rPr>
        <w:t xml:space="preserve">Raised (Qossai): </w:t>
      </w:r>
      <w:r>
        <w:rPr>
          <w:rFonts w:ascii="Calibri" w:eastAsia="Calibri" w:hAnsi="Calibri" w:cs="Calibri"/>
          <w:sz w:val="24"/>
          <w:szCs w:val="24"/>
        </w:rPr>
        <w:t>questioned whether reselling a ticket should cancel the original virtual ticket ID and issue a brand-new one, or instead keep the same virtual ID and simply change the owner/media linked to it.</w:t>
      </w:r>
    </w:p>
    <w:p w14:paraId="5E933558" w14:textId="77777777" w:rsidR="000C3760" w:rsidRDefault="00D77A5A">
      <w:pPr>
        <w:pStyle w:val="ListParagraph"/>
        <w:numPr>
          <w:ilvl w:val="0"/>
          <w:numId w:val="2"/>
        </w:numPr>
        <w:spacing w:after="70"/>
      </w:pPr>
      <w:r>
        <w:rPr>
          <w:rFonts w:ascii="Calibri" w:eastAsia="Calibri" w:hAnsi="Calibri" w:cs="Calibri"/>
          <w:b/>
          <w:bCs/>
          <w:sz w:val="24"/>
          <w:szCs w:val="24"/>
        </w:rPr>
        <w:t xml:space="preserve">Raised (Chinmay): </w:t>
      </w:r>
      <w:r>
        <w:rPr>
          <w:rFonts w:ascii="Calibri" w:eastAsia="Calibri" w:hAnsi="Calibri" w:cs="Calibri"/>
          <w:sz w:val="24"/>
          <w:szCs w:val="24"/>
        </w:rPr>
        <w:t>cautioned that cancelling and reissuing a new ID on every resale could hurt reporting/traceability (e.g., tracking cancellations), drawing a parallel to finance ledgers, where records are never altered, only appended to preserve a full audit trail.</w:t>
      </w:r>
    </w:p>
    <w:p w14:paraId="50725DEA" w14:textId="77777777" w:rsidR="000C3760" w:rsidRDefault="00D77A5A">
      <w:pPr>
        <w:pStyle w:val="ListParagraph"/>
        <w:numPr>
          <w:ilvl w:val="0"/>
          <w:numId w:val="2"/>
        </w:numPr>
        <w:spacing w:after="70"/>
      </w:pPr>
      <w:r>
        <w:rPr>
          <w:rFonts w:ascii="Calibri" w:eastAsia="Calibri" w:hAnsi="Calibri" w:cs="Calibri"/>
          <w:b/>
          <w:bCs/>
          <w:sz w:val="24"/>
          <w:szCs w:val="24"/>
        </w:rPr>
        <w:t xml:space="preserve">Decision: </w:t>
      </w:r>
      <w:r>
        <w:rPr>
          <w:rFonts w:ascii="Calibri" w:eastAsia="Calibri" w:hAnsi="Calibri" w:cs="Calibri"/>
          <w:sz w:val="24"/>
          <w:szCs w:val="24"/>
        </w:rPr>
        <w:t xml:space="preserve">the original virtual ticket ID is preserved through a resale — only the </w:t>
      </w:r>
      <w:proofErr w:type="gramStart"/>
      <w:r>
        <w:rPr>
          <w:rFonts w:ascii="Calibri" w:eastAsia="Calibri" w:hAnsi="Calibri" w:cs="Calibri"/>
          <w:sz w:val="24"/>
          <w:szCs w:val="24"/>
        </w:rPr>
        <w:t>owner</w:t>
      </w:r>
      <w:proofErr w:type="gramEnd"/>
      <w:r>
        <w:rPr>
          <w:rFonts w:ascii="Calibri" w:eastAsia="Calibri" w:hAnsi="Calibri" w:cs="Calibri"/>
          <w:sz w:val="24"/>
          <w:szCs w:val="24"/>
        </w:rPr>
        <w:t xml:space="preserve"> name and associated media (e.g., the QR code) are changed, giving a complete, traceable ownership history against a single stable ID (e.g., ID VT0010: originally Qossai, resold to Allam, resold again to Chinmay). A separate ownership change-log table will track each transfer, so that reporting, finance, and other downstream services continue to operate against the same stable ID without needing to change how they reference tickets</w:t>
      </w:r>
      <w:r>
        <w:rPr>
          <w:rFonts w:ascii="Calibri" w:eastAsia="Calibri" w:hAnsi="Calibri" w:cs="Calibri"/>
          <w:sz w:val="24"/>
          <w:szCs w:val="24"/>
        </w:rPr>
        <w:t>.</w:t>
      </w:r>
    </w:p>
    <w:p w14:paraId="4E89B7E4" w14:textId="77777777" w:rsidR="000C3760" w:rsidRDefault="00D77A5A">
      <w:pPr>
        <w:pStyle w:val="ListParagraph"/>
        <w:numPr>
          <w:ilvl w:val="0"/>
          <w:numId w:val="2"/>
        </w:numPr>
        <w:spacing w:after="70"/>
      </w:pPr>
      <w:r>
        <w:rPr>
          <w:rFonts w:ascii="Calibri" w:eastAsia="Calibri" w:hAnsi="Calibri" w:cs="Calibri"/>
          <w:sz w:val="24"/>
          <w:szCs w:val="24"/>
        </w:rPr>
        <w:t>Board 3 covers the white-label resale page itself — how a guest lists a ticket for resale, sets a price within the allowed range, and how a buyer searches, browses, and receives the new ticket after purchase; the resale summary also shows the market fee TICVAI retains as revenue on each resale transaction. An active/sold/expired/pending resale-listing dashboard gives an overview of all resale activity.</w:t>
      </w:r>
    </w:p>
    <w:p w14:paraId="14609686" w14:textId="77777777" w:rsidR="000C3760" w:rsidRDefault="00D77A5A">
      <w:pPr>
        <w:pStyle w:val="ListParagraph"/>
        <w:numPr>
          <w:ilvl w:val="0"/>
          <w:numId w:val="2"/>
        </w:numPr>
        <w:spacing w:after="70"/>
      </w:pPr>
      <w:r>
        <w:rPr>
          <w:rFonts w:ascii="Calibri" w:eastAsia="Calibri" w:hAnsi="Calibri" w:cs="Calibri"/>
          <w:b/>
          <w:bCs/>
          <w:sz w:val="24"/>
          <w:szCs w:val="24"/>
        </w:rPr>
        <w:t xml:space="preserve">Noted (Qossai): </w:t>
      </w:r>
      <w:r>
        <w:rPr>
          <w:rFonts w:ascii="Calibri" w:eastAsia="Calibri" w:hAnsi="Calibri" w:cs="Calibri"/>
          <w:sz w:val="24"/>
          <w:szCs w:val="24"/>
        </w:rPr>
        <w:t>resale is expected to be used almost exclusively for event tickets (e.g., concerts, sports) rather than open-dated admission tickets, since admission tickets are generally flexible enough that resale demand is minimal.</w:t>
      </w:r>
    </w:p>
    <w:p w14:paraId="587B4D59" w14:textId="77777777" w:rsidR="000C3760" w:rsidRDefault="00D77A5A">
      <w:pPr>
        <w:spacing w:before="140" w:after="60"/>
      </w:pPr>
      <w:r>
        <w:rPr>
          <w:rFonts w:ascii="Calibri" w:eastAsia="Calibri" w:hAnsi="Calibri" w:cs="Calibri"/>
          <w:b/>
          <w:bCs/>
          <w:color w:val="215E99"/>
          <w:sz w:val="32"/>
          <w:szCs w:val="32"/>
        </w:rPr>
        <w:t>4.15 Infrastructure Sizing &amp; Costing Follow-Up</w:t>
      </w:r>
    </w:p>
    <w:p w14:paraId="0D5331CB" w14:textId="77777777" w:rsidR="000C3760" w:rsidRDefault="00D77A5A">
      <w:pPr>
        <w:pStyle w:val="ListParagraph"/>
        <w:numPr>
          <w:ilvl w:val="0"/>
          <w:numId w:val="2"/>
        </w:numPr>
        <w:spacing w:after="70"/>
      </w:pPr>
      <w:r>
        <w:rPr>
          <w:rFonts w:ascii="Calibri" w:eastAsia="Calibri" w:hAnsi="Calibri" w:cs="Calibri"/>
          <w:b/>
          <w:bCs/>
          <w:sz w:val="24"/>
          <w:szCs w:val="24"/>
        </w:rPr>
        <w:t xml:space="preserve">Requested (Chinmay): </w:t>
      </w:r>
      <w:r>
        <w:rPr>
          <w:rFonts w:ascii="Calibri" w:eastAsia="Calibri" w:hAnsi="Calibri" w:cs="Calibri"/>
          <w:sz w:val="24"/>
          <w:szCs w:val="24"/>
        </w:rPr>
        <w:t>following up on last week's infrastructure/costing discussion, asked Qossai and Allam for concrete venue-scenario benchmarks — expected requests-per-second for events, and daily transaction volumes by venue type — to translate into a recommended AWS/GCP configuration and cost estimate, rather than working only from the earlier placeholder figures (e.g., 10,000 customers, 10 venues).</w:t>
      </w:r>
    </w:p>
    <w:p w14:paraId="4BA9DFC9" w14:textId="77777777" w:rsidR="000C3760" w:rsidRDefault="00D77A5A">
      <w:pPr>
        <w:pStyle w:val="ListParagraph"/>
        <w:numPr>
          <w:ilvl w:val="0"/>
          <w:numId w:val="2"/>
        </w:numPr>
        <w:spacing w:after="70"/>
      </w:pPr>
      <w:r>
        <w:rPr>
          <w:rFonts w:ascii="Calibri" w:eastAsia="Calibri" w:hAnsi="Calibri" w:cs="Calibri"/>
          <w:b/>
          <w:bCs/>
          <w:sz w:val="24"/>
          <w:szCs w:val="24"/>
        </w:rPr>
        <w:t xml:space="preserve">Clarified (Qossai): </w:t>
      </w:r>
      <w:r>
        <w:rPr>
          <w:rFonts w:ascii="Calibri" w:eastAsia="Calibri" w:hAnsi="Calibri" w:cs="Calibri"/>
          <w:sz w:val="24"/>
          <w:szCs w:val="24"/>
        </w:rPr>
        <w:t>exact client-specific numbers can't be known in advance, but representative small/medium/large venue scenarios (e.g., a venue with around 1,000 daily visitors and 10 POS/access-control points, versus a 60,000-capacity stadium event) can be provided as planning estimates, with the understanding that actual client scale will vary and the system must be built to scale flexibly rather than sized for one fixed assumption.</w:t>
      </w:r>
    </w:p>
    <w:p w14:paraId="4EFAEDD9" w14:textId="77777777" w:rsidR="000C3760" w:rsidRDefault="00D77A5A">
      <w:pPr>
        <w:pStyle w:val="ListParagraph"/>
        <w:numPr>
          <w:ilvl w:val="0"/>
          <w:numId w:val="2"/>
        </w:numPr>
        <w:spacing w:after="70"/>
      </w:pPr>
      <w:r>
        <w:rPr>
          <w:rFonts w:ascii="Calibri" w:eastAsia="Calibri" w:hAnsi="Calibri" w:cs="Calibri"/>
          <w:b/>
          <w:bCs/>
          <w:sz w:val="24"/>
          <w:szCs w:val="24"/>
        </w:rPr>
        <w:t xml:space="preserve">Reiterated (Allam): </w:t>
      </w:r>
      <w:r>
        <w:rPr>
          <w:rFonts w:ascii="Calibri" w:eastAsia="Calibri" w:hAnsi="Calibri" w:cs="Calibri"/>
          <w:sz w:val="24"/>
          <w:szCs w:val="24"/>
        </w:rPr>
        <w:t>as discussed previously with Dinesh, Softlabs should also propose the reverse view — e.g., how many transactions per hour or concurrent users a given infrastructure tier can support — so the two sides can align on a recommended minimum infrastructure configuration together.</w:t>
      </w:r>
    </w:p>
    <w:p w14:paraId="0B8370C8" w14:textId="77777777" w:rsidR="000C3760" w:rsidRDefault="00D77A5A">
      <w:pPr>
        <w:spacing w:before="140" w:after="60"/>
      </w:pPr>
      <w:r>
        <w:rPr>
          <w:rFonts w:ascii="Calibri" w:eastAsia="Calibri" w:hAnsi="Calibri" w:cs="Calibri"/>
          <w:b/>
          <w:bCs/>
          <w:color w:val="215E99"/>
          <w:sz w:val="32"/>
          <w:szCs w:val="32"/>
        </w:rPr>
        <w:t>4.16 Planning &amp; Next Steps</w:t>
      </w:r>
    </w:p>
    <w:p w14:paraId="4C8A5F0E" w14:textId="77777777" w:rsidR="000C3760" w:rsidRDefault="00D77A5A">
      <w:pPr>
        <w:pStyle w:val="ListParagraph"/>
        <w:numPr>
          <w:ilvl w:val="0"/>
          <w:numId w:val="2"/>
        </w:numPr>
        <w:spacing w:after="70"/>
      </w:pPr>
      <w:r>
        <w:rPr>
          <w:rFonts w:ascii="Calibri" w:eastAsia="Calibri" w:hAnsi="Calibri" w:cs="Calibri"/>
          <w:sz w:val="24"/>
          <w:szCs w:val="24"/>
        </w:rPr>
        <w:lastRenderedPageBreak/>
        <w:t>Tomorrow's session (same time, 8:30 AM) will be extended to roughly 1.5 hours to allow enough time to fully cover the access control module.</w:t>
      </w:r>
    </w:p>
    <w:p w14:paraId="736D70FA" w14:textId="77777777" w:rsidR="000C3760" w:rsidRDefault="00D77A5A">
      <w:pPr>
        <w:pStyle w:val="ListParagraph"/>
        <w:numPr>
          <w:ilvl w:val="0"/>
          <w:numId w:val="2"/>
        </w:numPr>
        <w:spacing w:after="70"/>
      </w:pPr>
      <w:r>
        <w:rPr>
          <w:rFonts w:ascii="Calibri" w:eastAsia="Calibri" w:hAnsi="Calibri" w:cs="Calibri"/>
          <w:sz w:val="24"/>
          <w:szCs w:val="24"/>
        </w:rPr>
        <w:t>Following access control, upcoming sessions will move to promotions and cross-sell.</w:t>
      </w:r>
    </w:p>
    <w:p w14:paraId="48941F4E" w14:textId="77777777" w:rsidR="000C3760" w:rsidRDefault="00D77A5A">
      <w:pPr>
        <w:spacing w:before="180" w:after="100"/>
      </w:pPr>
      <w:r>
        <w:rPr>
          <w:rFonts w:ascii="Calibri" w:eastAsia="Calibri" w:hAnsi="Calibri" w:cs="Calibri"/>
          <w:b/>
          <w:bCs/>
          <w:color w:val="215E99"/>
          <w:sz w:val="32"/>
          <w:szCs w:val="32"/>
        </w:rPr>
        <w:t>5. Key Decisions &amp; Agreements</w:t>
      </w:r>
    </w:p>
    <w:p w14:paraId="7581D02B" w14:textId="77777777" w:rsidR="000C3760" w:rsidRDefault="00D77A5A">
      <w:pPr>
        <w:pStyle w:val="ListParagraph"/>
        <w:numPr>
          <w:ilvl w:val="0"/>
          <w:numId w:val="2"/>
        </w:numPr>
        <w:spacing w:after="70"/>
      </w:pPr>
      <w:r>
        <w:rPr>
          <w:rFonts w:ascii="Calibri" w:eastAsia="Calibri" w:hAnsi="Calibri" w:cs="Calibri"/>
          <w:sz w:val="24"/>
          <w:szCs w:val="24"/>
        </w:rPr>
        <w:t>Conflicts between simultaneously applicable pricing rules are resolved via the configurable pricing hierarchy, not an automatic “lowest price wins” default.</w:t>
      </w:r>
    </w:p>
    <w:p w14:paraId="101C03DA" w14:textId="77777777" w:rsidR="000C3760" w:rsidRDefault="00D77A5A">
      <w:pPr>
        <w:pStyle w:val="ListParagraph"/>
        <w:numPr>
          <w:ilvl w:val="0"/>
          <w:numId w:val="2"/>
        </w:numPr>
        <w:spacing w:after="70"/>
      </w:pPr>
      <w:r>
        <w:rPr>
          <w:rFonts w:ascii="Calibri" w:eastAsia="Calibri" w:hAnsi="Calibri" w:cs="Calibri"/>
          <w:sz w:val="24"/>
          <w:szCs w:val="24"/>
        </w:rPr>
        <w:t xml:space="preserve">Tax-on-discount calculation </w:t>
      </w:r>
      <w:proofErr w:type="spellStart"/>
      <w:r>
        <w:rPr>
          <w:rFonts w:ascii="Calibri" w:eastAsia="Calibri" w:hAnsi="Calibri" w:cs="Calibri"/>
          <w:sz w:val="24"/>
          <w:szCs w:val="24"/>
        </w:rPr>
        <w:t>behavior</w:t>
      </w:r>
      <w:proofErr w:type="spellEnd"/>
      <w:r>
        <w:rPr>
          <w:rFonts w:ascii="Calibri" w:eastAsia="Calibri" w:hAnsi="Calibri" w:cs="Calibri"/>
          <w:sz w:val="24"/>
          <w:szCs w:val="24"/>
        </w:rPr>
        <w:t xml:space="preserve"> (full price vs. discounted price) and decimal/rounding precision (up to three decimal places in some regions) must both be region-configurable.</w:t>
      </w:r>
    </w:p>
    <w:p w14:paraId="1DCC69FC" w14:textId="77777777" w:rsidR="000C3760" w:rsidRDefault="00D77A5A">
      <w:pPr>
        <w:pStyle w:val="ListParagraph"/>
        <w:numPr>
          <w:ilvl w:val="0"/>
          <w:numId w:val="2"/>
        </w:numPr>
        <w:spacing w:after="70"/>
      </w:pPr>
      <w:r>
        <w:rPr>
          <w:rFonts w:ascii="Calibri" w:eastAsia="Calibri" w:hAnsi="Calibri" w:cs="Calibri"/>
          <w:sz w:val="24"/>
          <w:szCs w:val="24"/>
        </w:rPr>
        <w:t>Published price changes never retroactively affect tickets already purchased under a prior price/version.</w:t>
      </w:r>
    </w:p>
    <w:p w14:paraId="460AAD55" w14:textId="77777777" w:rsidR="000C3760" w:rsidRDefault="00D77A5A">
      <w:pPr>
        <w:pStyle w:val="ListParagraph"/>
        <w:numPr>
          <w:ilvl w:val="0"/>
          <w:numId w:val="2"/>
        </w:numPr>
        <w:spacing w:after="70"/>
      </w:pPr>
      <w:r>
        <w:rPr>
          <w:rFonts w:ascii="Calibri" w:eastAsia="Calibri" w:hAnsi="Calibri" w:cs="Calibri"/>
          <w:sz w:val="24"/>
          <w:szCs w:val="24"/>
        </w:rPr>
        <w:t>Membership and other usage-based upgrades use pro-rata calculation, crediting unused entitlement period toward the cost of the upgraded product.</w:t>
      </w:r>
    </w:p>
    <w:p w14:paraId="22A865FB" w14:textId="77777777" w:rsidR="000C3760" w:rsidRDefault="00D77A5A">
      <w:pPr>
        <w:pStyle w:val="ListParagraph"/>
        <w:numPr>
          <w:ilvl w:val="0"/>
          <w:numId w:val="2"/>
        </w:numPr>
        <w:spacing w:after="70"/>
      </w:pPr>
      <w:r>
        <w:rPr>
          <w:rFonts w:ascii="Calibri" w:eastAsia="Calibri" w:hAnsi="Calibri" w:cs="Calibri"/>
          <w:sz w:val="24"/>
          <w:szCs w:val="24"/>
        </w:rPr>
        <w:t>Upgrade functionality must be available across all channels, including the guest mobile/web app, not only on-site.</w:t>
      </w:r>
    </w:p>
    <w:p w14:paraId="315D0854" w14:textId="77777777" w:rsidR="000C3760" w:rsidRDefault="00D77A5A">
      <w:pPr>
        <w:pStyle w:val="ListParagraph"/>
        <w:numPr>
          <w:ilvl w:val="0"/>
          <w:numId w:val="2"/>
        </w:numPr>
        <w:spacing w:after="70"/>
      </w:pPr>
      <w:r>
        <w:rPr>
          <w:rFonts w:ascii="Calibri" w:eastAsia="Calibri" w:hAnsi="Calibri" w:cs="Calibri"/>
          <w:sz w:val="24"/>
          <w:szCs w:val="24"/>
        </w:rPr>
        <w:t>Group ticket upgrades are business-configurable (not default-enabled) and are expected to be handled as a request (e.g., via chat/support) rather than guest self-service.</w:t>
      </w:r>
    </w:p>
    <w:p w14:paraId="5915568E" w14:textId="77777777" w:rsidR="000C3760" w:rsidRDefault="00D77A5A">
      <w:pPr>
        <w:pStyle w:val="ListParagraph"/>
        <w:numPr>
          <w:ilvl w:val="0"/>
          <w:numId w:val="2"/>
        </w:numPr>
        <w:spacing w:after="70"/>
      </w:pPr>
      <w:r>
        <w:rPr>
          <w:rFonts w:ascii="Calibri" w:eastAsia="Calibri" w:hAnsi="Calibri" w:cs="Calibri"/>
          <w:sz w:val="24"/>
          <w:szCs w:val="24"/>
        </w:rPr>
        <w:t>The resale marketplace preserves the original virtual ticket ID through a resale; only owner and media are changed, with a separate change-log table tracking ownership history for full traceability.</w:t>
      </w:r>
    </w:p>
    <w:p w14:paraId="22A66FD6" w14:textId="77777777" w:rsidR="000C3760" w:rsidRDefault="00D77A5A">
      <w:pPr>
        <w:pStyle w:val="ListParagraph"/>
        <w:numPr>
          <w:ilvl w:val="0"/>
          <w:numId w:val="2"/>
        </w:numPr>
        <w:spacing w:after="70"/>
      </w:pPr>
      <w:r>
        <w:rPr>
          <w:rFonts w:ascii="Calibri" w:eastAsia="Calibri" w:hAnsi="Calibri" w:cs="Calibri"/>
          <w:sz w:val="24"/>
          <w:szCs w:val="24"/>
        </w:rPr>
        <w:t>Resale will be supported via three access models: the client's own B2C site, a TICVAI-hosted white-label resale portal, and an API-based integration into a client's own resale market.</w:t>
      </w:r>
    </w:p>
    <w:p w14:paraId="661D2DF2" w14:textId="77777777" w:rsidR="000C3760" w:rsidRDefault="00D77A5A">
      <w:pPr>
        <w:pStyle w:val="ListParagraph"/>
        <w:numPr>
          <w:ilvl w:val="0"/>
          <w:numId w:val="2"/>
        </w:numPr>
        <w:spacing w:after="70"/>
      </w:pPr>
      <w:r>
        <w:rPr>
          <w:rFonts w:ascii="Calibri" w:eastAsia="Calibri" w:hAnsi="Calibri" w:cs="Calibri"/>
          <w:sz w:val="24"/>
          <w:szCs w:val="24"/>
        </w:rPr>
        <w:t>Partial payment/deposit is supported for bulk (school/corporate) bookings, with the balance due on or before arrival.</w:t>
      </w:r>
    </w:p>
    <w:p w14:paraId="08788884" w14:textId="77777777" w:rsidR="000C3760" w:rsidRDefault="00D77A5A">
      <w:pPr>
        <w:spacing w:before="180" w:after="100"/>
      </w:pPr>
      <w:r>
        <w:rPr>
          <w:rFonts w:ascii="Calibri" w:eastAsia="Calibri" w:hAnsi="Calibri" w:cs="Calibri"/>
          <w:b/>
          <w:bCs/>
          <w:color w:val="215E99"/>
          <w:sz w:val="32"/>
          <w:szCs w:val="32"/>
        </w:rPr>
        <w:t>6. Open Items / Questions for Follow-Up</w:t>
      </w:r>
    </w:p>
    <w:p w14:paraId="1319DD23" w14:textId="77777777" w:rsidR="000C3760" w:rsidRDefault="00D77A5A">
      <w:pPr>
        <w:pStyle w:val="ListParagraph"/>
        <w:numPr>
          <w:ilvl w:val="0"/>
          <w:numId w:val="2"/>
        </w:numPr>
        <w:spacing w:after="70"/>
      </w:pPr>
      <w:r>
        <w:rPr>
          <w:rFonts w:ascii="Calibri" w:eastAsia="Calibri" w:hAnsi="Calibri" w:cs="Calibri"/>
          <w:sz w:val="24"/>
          <w:szCs w:val="24"/>
        </w:rPr>
        <w:t>Documentation for the pricing engine, upgrade configuration, order/reservation management, and resale marketplace — pending from Allam.</w:t>
      </w:r>
    </w:p>
    <w:p w14:paraId="62454F7F" w14:textId="77777777" w:rsidR="000C3760" w:rsidRDefault="00D77A5A">
      <w:pPr>
        <w:pStyle w:val="ListParagraph"/>
        <w:numPr>
          <w:ilvl w:val="0"/>
          <w:numId w:val="2"/>
        </w:numPr>
        <w:spacing w:after="70"/>
      </w:pPr>
      <w:r>
        <w:rPr>
          <w:rFonts w:ascii="Calibri" w:eastAsia="Calibri" w:hAnsi="Calibri" w:cs="Calibri"/>
          <w:sz w:val="24"/>
          <w:szCs w:val="24"/>
        </w:rPr>
        <w:t>NFC/Apple Wallet integration approach (direct Apple certification vs. HID SDK-based NFC) — pending research from Chinmay.</w:t>
      </w:r>
    </w:p>
    <w:p w14:paraId="1807956E" w14:textId="77777777" w:rsidR="000C3760" w:rsidRDefault="00D77A5A">
      <w:pPr>
        <w:pStyle w:val="ListParagraph"/>
        <w:numPr>
          <w:ilvl w:val="0"/>
          <w:numId w:val="2"/>
        </w:numPr>
        <w:spacing w:after="70"/>
      </w:pPr>
      <w:r>
        <w:rPr>
          <w:rFonts w:ascii="Calibri" w:eastAsia="Calibri" w:hAnsi="Calibri" w:cs="Calibri"/>
          <w:sz w:val="24"/>
          <w:szCs w:val="24"/>
        </w:rPr>
        <w:t>Venue-scenario benchmarks for infrastructure sizing (small/medium/large venue traffic estimates) — pending from Qossai/Allam, in consultation with Dinesh.</w:t>
      </w:r>
    </w:p>
    <w:p w14:paraId="75FC4BB7" w14:textId="77777777" w:rsidR="000C3760" w:rsidRDefault="00D77A5A">
      <w:pPr>
        <w:pStyle w:val="ListParagraph"/>
        <w:numPr>
          <w:ilvl w:val="0"/>
          <w:numId w:val="2"/>
        </w:numPr>
        <w:spacing w:after="70"/>
      </w:pPr>
      <w:r>
        <w:rPr>
          <w:rFonts w:ascii="Calibri" w:eastAsia="Calibri" w:hAnsi="Calibri" w:cs="Calibri"/>
          <w:sz w:val="24"/>
          <w:szCs w:val="24"/>
        </w:rPr>
        <w:t>Recommended infrastructure configuration and cost estimate based on those benchmarks — pending from Chinmay once the benchmark data is received.</w:t>
      </w:r>
    </w:p>
    <w:p w14:paraId="6AF19281" w14:textId="77777777" w:rsidR="000C3760" w:rsidRDefault="00D77A5A">
      <w:pPr>
        <w:spacing w:before="180" w:after="100"/>
      </w:pPr>
      <w:r>
        <w:rPr>
          <w:rFonts w:ascii="Calibri" w:eastAsia="Calibri" w:hAnsi="Calibri" w:cs="Calibri"/>
          <w:b/>
          <w:bCs/>
          <w:color w:val="215E99"/>
          <w:sz w:val="32"/>
          <w:szCs w:val="32"/>
        </w:rPr>
        <w:t>7. Action Items</w:t>
      </w:r>
    </w:p>
    <w:tbl>
      <w:tblPr>
        <w:tblW w:w="935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800"/>
        <w:gridCol w:w="1850"/>
        <w:gridCol w:w="1800"/>
        <w:gridCol w:w="1900"/>
      </w:tblGrid>
      <w:tr w:rsidR="000C3760" w14:paraId="7CD980C3" w14:textId="77777777">
        <w:tblPrEx>
          <w:tblCellMar>
            <w:top w:w="0" w:type="dxa"/>
            <w:bottom w:w="0" w:type="dxa"/>
          </w:tblCellMar>
        </w:tblPrEx>
        <w:trPr>
          <w:tblHeader/>
        </w:trPr>
        <w:tc>
          <w:tcPr>
            <w:tcW w:w="3800" w:type="dxa"/>
            <w:shd w:val="clear" w:color="auto" w:fill="0B1324"/>
            <w:tcMar>
              <w:top w:w="80" w:type="dxa"/>
              <w:left w:w="120" w:type="dxa"/>
              <w:bottom w:w="80" w:type="dxa"/>
              <w:right w:w="120" w:type="dxa"/>
            </w:tcMar>
            <w:vAlign w:val="center"/>
          </w:tcPr>
          <w:p w14:paraId="508E55C6" w14:textId="77777777" w:rsidR="000C3760" w:rsidRDefault="00D77A5A">
            <w:r>
              <w:rPr>
                <w:rFonts w:ascii="Calibri" w:eastAsia="Calibri" w:hAnsi="Calibri" w:cs="Calibri"/>
                <w:b/>
                <w:bCs/>
                <w:color w:val="FFFFFF"/>
                <w:sz w:val="24"/>
                <w:szCs w:val="24"/>
              </w:rPr>
              <w:t>Action Item</w:t>
            </w:r>
          </w:p>
        </w:tc>
        <w:tc>
          <w:tcPr>
            <w:tcW w:w="1850" w:type="dxa"/>
            <w:shd w:val="clear" w:color="auto" w:fill="0B1324"/>
            <w:tcMar>
              <w:top w:w="80" w:type="dxa"/>
              <w:left w:w="120" w:type="dxa"/>
              <w:bottom w:w="80" w:type="dxa"/>
              <w:right w:w="120" w:type="dxa"/>
            </w:tcMar>
            <w:vAlign w:val="center"/>
          </w:tcPr>
          <w:p w14:paraId="7F7D70F5" w14:textId="77777777" w:rsidR="000C3760" w:rsidRDefault="00D77A5A">
            <w:r>
              <w:rPr>
                <w:rFonts w:ascii="Calibri" w:eastAsia="Calibri" w:hAnsi="Calibri" w:cs="Calibri"/>
                <w:b/>
                <w:bCs/>
                <w:color w:val="FFFFFF"/>
                <w:sz w:val="24"/>
                <w:szCs w:val="24"/>
              </w:rPr>
              <w:t>Owner</w:t>
            </w:r>
          </w:p>
        </w:tc>
        <w:tc>
          <w:tcPr>
            <w:tcW w:w="1800" w:type="dxa"/>
            <w:shd w:val="clear" w:color="auto" w:fill="0B1324"/>
            <w:tcMar>
              <w:top w:w="80" w:type="dxa"/>
              <w:left w:w="120" w:type="dxa"/>
              <w:bottom w:w="80" w:type="dxa"/>
              <w:right w:w="120" w:type="dxa"/>
            </w:tcMar>
            <w:vAlign w:val="center"/>
          </w:tcPr>
          <w:p w14:paraId="0A6353A7" w14:textId="77777777" w:rsidR="000C3760" w:rsidRDefault="00D77A5A">
            <w:r>
              <w:rPr>
                <w:rFonts w:ascii="Calibri" w:eastAsia="Calibri" w:hAnsi="Calibri" w:cs="Calibri"/>
                <w:b/>
                <w:bCs/>
                <w:color w:val="FFFFFF"/>
                <w:sz w:val="24"/>
                <w:szCs w:val="24"/>
              </w:rPr>
              <w:t>Due</w:t>
            </w:r>
          </w:p>
        </w:tc>
        <w:tc>
          <w:tcPr>
            <w:tcW w:w="1900" w:type="dxa"/>
            <w:shd w:val="clear" w:color="auto" w:fill="0B1324"/>
            <w:tcMar>
              <w:top w:w="80" w:type="dxa"/>
              <w:left w:w="120" w:type="dxa"/>
              <w:bottom w:w="80" w:type="dxa"/>
              <w:right w:w="120" w:type="dxa"/>
            </w:tcMar>
            <w:vAlign w:val="center"/>
          </w:tcPr>
          <w:p w14:paraId="1F8CEFD5" w14:textId="77777777" w:rsidR="000C3760" w:rsidRDefault="00D77A5A">
            <w:r>
              <w:rPr>
                <w:rFonts w:ascii="Calibri" w:eastAsia="Calibri" w:hAnsi="Calibri" w:cs="Calibri"/>
                <w:b/>
                <w:bCs/>
                <w:color w:val="FFFFFF"/>
                <w:sz w:val="24"/>
                <w:szCs w:val="24"/>
              </w:rPr>
              <w:t>Status</w:t>
            </w:r>
          </w:p>
        </w:tc>
      </w:tr>
      <w:tr w:rsidR="000C3760" w14:paraId="6AEB8355" w14:textId="77777777">
        <w:tblPrEx>
          <w:tblCellMar>
            <w:top w:w="0" w:type="dxa"/>
            <w:bottom w:w="0" w:type="dxa"/>
          </w:tblCellMar>
        </w:tblPrEx>
        <w:tc>
          <w:tcPr>
            <w:tcW w:w="3800" w:type="dxa"/>
            <w:tcMar>
              <w:top w:w="80" w:type="dxa"/>
              <w:left w:w="120" w:type="dxa"/>
              <w:bottom w:w="80" w:type="dxa"/>
              <w:right w:w="120" w:type="dxa"/>
            </w:tcMar>
          </w:tcPr>
          <w:p w14:paraId="3F2DB67F" w14:textId="77777777" w:rsidR="000C3760" w:rsidRDefault="00D77A5A">
            <w:r>
              <w:rPr>
                <w:rFonts w:ascii="Calibri" w:eastAsia="Calibri" w:hAnsi="Calibri" w:cs="Calibri"/>
                <w:sz w:val="24"/>
                <w:szCs w:val="24"/>
              </w:rPr>
              <w:t xml:space="preserve">Share documentation for the pricing engine, upgrade configuration, order/reservation management, </w:t>
            </w:r>
            <w:r>
              <w:rPr>
                <w:rFonts w:ascii="Calibri" w:eastAsia="Calibri" w:hAnsi="Calibri" w:cs="Calibri"/>
                <w:sz w:val="24"/>
                <w:szCs w:val="24"/>
              </w:rPr>
              <w:lastRenderedPageBreak/>
              <w:t>and resale marketplace covered today</w:t>
            </w:r>
          </w:p>
        </w:tc>
        <w:tc>
          <w:tcPr>
            <w:tcW w:w="1850" w:type="dxa"/>
            <w:tcMar>
              <w:top w:w="80" w:type="dxa"/>
              <w:left w:w="120" w:type="dxa"/>
              <w:bottom w:w="80" w:type="dxa"/>
              <w:right w:w="120" w:type="dxa"/>
            </w:tcMar>
          </w:tcPr>
          <w:p w14:paraId="57BEF124" w14:textId="77777777" w:rsidR="000C3760" w:rsidRDefault="00D77A5A">
            <w:r>
              <w:rPr>
                <w:rFonts w:ascii="Calibri" w:eastAsia="Calibri" w:hAnsi="Calibri" w:cs="Calibri"/>
                <w:sz w:val="24"/>
                <w:szCs w:val="24"/>
              </w:rPr>
              <w:lastRenderedPageBreak/>
              <w:t>Allam</w:t>
            </w:r>
          </w:p>
        </w:tc>
        <w:tc>
          <w:tcPr>
            <w:tcW w:w="1800" w:type="dxa"/>
            <w:tcMar>
              <w:top w:w="80" w:type="dxa"/>
              <w:left w:w="120" w:type="dxa"/>
              <w:bottom w:w="80" w:type="dxa"/>
              <w:right w:w="120" w:type="dxa"/>
            </w:tcMar>
          </w:tcPr>
          <w:p w14:paraId="5335C519" w14:textId="77777777" w:rsidR="000C3760" w:rsidRDefault="00D77A5A">
            <w:r>
              <w:rPr>
                <w:rFonts w:ascii="Calibri" w:eastAsia="Calibri" w:hAnsi="Calibri" w:cs="Calibri"/>
                <w:sz w:val="24"/>
                <w:szCs w:val="24"/>
              </w:rPr>
              <w:t>After this session</w:t>
            </w:r>
          </w:p>
        </w:tc>
        <w:tc>
          <w:tcPr>
            <w:tcW w:w="1900" w:type="dxa"/>
            <w:tcMar>
              <w:top w:w="80" w:type="dxa"/>
              <w:left w:w="120" w:type="dxa"/>
              <w:bottom w:w="80" w:type="dxa"/>
              <w:right w:w="120" w:type="dxa"/>
            </w:tcMar>
          </w:tcPr>
          <w:p w14:paraId="50D733D0" w14:textId="77777777" w:rsidR="000C3760" w:rsidRDefault="00D77A5A">
            <w:r>
              <w:rPr>
                <w:rFonts w:ascii="Calibri" w:eastAsia="Calibri" w:hAnsi="Calibri" w:cs="Calibri"/>
                <w:sz w:val="24"/>
                <w:szCs w:val="24"/>
              </w:rPr>
              <w:t>Open</w:t>
            </w:r>
          </w:p>
        </w:tc>
      </w:tr>
      <w:tr w:rsidR="000C3760" w14:paraId="348144F6" w14:textId="77777777">
        <w:tblPrEx>
          <w:tblCellMar>
            <w:top w:w="0" w:type="dxa"/>
            <w:bottom w:w="0" w:type="dxa"/>
          </w:tblCellMar>
        </w:tblPrEx>
        <w:tc>
          <w:tcPr>
            <w:tcW w:w="3800" w:type="dxa"/>
            <w:tcMar>
              <w:top w:w="80" w:type="dxa"/>
              <w:left w:w="120" w:type="dxa"/>
              <w:bottom w:w="80" w:type="dxa"/>
              <w:right w:w="120" w:type="dxa"/>
            </w:tcMar>
          </w:tcPr>
          <w:p w14:paraId="681A4CBC" w14:textId="77777777" w:rsidR="000C3760" w:rsidRDefault="00D77A5A">
            <w:r>
              <w:rPr>
                <w:rFonts w:ascii="Calibri" w:eastAsia="Calibri" w:hAnsi="Calibri" w:cs="Calibri"/>
                <w:sz w:val="24"/>
                <w:szCs w:val="24"/>
              </w:rPr>
              <w:t>Research the Apple/Google Wallet NFC integration approach (direct Apple certification vs. HID SDK-based NFC) and recommend a direction, weighing reader-compatibility risk</w:t>
            </w:r>
          </w:p>
        </w:tc>
        <w:tc>
          <w:tcPr>
            <w:tcW w:w="1850" w:type="dxa"/>
            <w:tcMar>
              <w:top w:w="80" w:type="dxa"/>
              <w:left w:w="120" w:type="dxa"/>
              <w:bottom w:w="80" w:type="dxa"/>
              <w:right w:w="120" w:type="dxa"/>
            </w:tcMar>
          </w:tcPr>
          <w:p w14:paraId="53FEC80C" w14:textId="77777777" w:rsidR="000C3760" w:rsidRDefault="00D77A5A">
            <w:r>
              <w:rPr>
                <w:rFonts w:ascii="Calibri" w:eastAsia="Calibri" w:hAnsi="Calibri" w:cs="Calibri"/>
                <w:sz w:val="24"/>
                <w:szCs w:val="24"/>
              </w:rPr>
              <w:t>Chinmay Parab</w:t>
            </w:r>
          </w:p>
        </w:tc>
        <w:tc>
          <w:tcPr>
            <w:tcW w:w="1800" w:type="dxa"/>
            <w:tcMar>
              <w:top w:w="80" w:type="dxa"/>
              <w:left w:w="120" w:type="dxa"/>
              <w:bottom w:w="80" w:type="dxa"/>
              <w:right w:w="120" w:type="dxa"/>
            </w:tcMar>
          </w:tcPr>
          <w:p w14:paraId="704D68F2" w14:textId="77777777" w:rsidR="000C3760" w:rsidRDefault="00D77A5A">
            <w:r>
              <w:rPr>
                <w:rFonts w:ascii="Calibri" w:eastAsia="Calibri" w:hAnsi="Calibri" w:cs="Calibri"/>
                <w:sz w:val="24"/>
                <w:szCs w:val="24"/>
              </w:rPr>
              <w:t>Next few sessions</w:t>
            </w:r>
          </w:p>
        </w:tc>
        <w:tc>
          <w:tcPr>
            <w:tcW w:w="1900" w:type="dxa"/>
            <w:tcMar>
              <w:top w:w="80" w:type="dxa"/>
              <w:left w:w="120" w:type="dxa"/>
              <w:bottom w:w="80" w:type="dxa"/>
              <w:right w:w="120" w:type="dxa"/>
            </w:tcMar>
          </w:tcPr>
          <w:p w14:paraId="64BFFE07" w14:textId="77777777" w:rsidR="000C3760" w:rsidRDefault="00D77A5A">
            <w:r>
              <w:rPr>
                <w:rFonts w:ascii="Calibri" w:eastAsia="Calibri" w:hAnsi="Calibri" w:cs="Calibri"/>
                <w:sz w:val="24"/>
                <w:szCs w:val="24"/>
              </w:rPr>
              <w:t>Open</w:t>
            </w:r>
          </w:p>
        </w:tc>
      </w:tr>
      <w:tr w:rsidR="000C3760" w14:paraId="252BBD0C" w14:textId="77777777">
        <w:tblPrEx>
          <w:tblCellMar>
            <w:top w:w="0" w:type="dxa"/>
            <w:bottom w:w="0" w:type="dxa"/>
          </w:tblCellMar>
        </w:tblPrEx>
        <w:tc>
          <w:tcPr>
            <w:tcW w:w="3800" w:type="dxa"/>
            <w:tcMar>
              <w:top w:w="80" w:type="dxa"/>
              <w:left w:w="120" w:type="dxa"/>
              <w:bottom w:w="80" w:type="dxa"/>
              <w:right w:w="120" w:type="dxa"/>
            </w:tcMar>
          </w:tcPr>
          <w:p w14:paraId="5E3F52DA" w14:textId="77777777" w:rsidR="000C3760" w:rsidRDefault="00D77A5A">
            <w:r>
              <w:rPr>
                <w:rFonts w:ascii="Calibri" w:eastAsia="Calibri" w:hAnsi="Calibri" w:cs="Calibri"/>
                <w:sz w:val="24"/>
                <w:szCs w:val="24"/>
              </w:rPr>
              <w:t>Provide venue-scenario benchmarks (small/medium/large venue — concurrent users, expected requests-per-second, daily volumes) for infrastructure sizing</w:t>
            </w:r>
          </w:p>
        </w:tc>
        <w:tc>
          <w:tcPr>
            <w:tcW w:w="1850" w:type="dxa"/>
            <w:tcMar>
              <w:top w:w="80" w:type="dxa"/>
              <w:left w:w="120" w:type="dxa"/>
              <w:bottom w:w="80" w:type="dxa"/>
              <w:right w:w="120" w:type="dxa"/>
            </w:tcMar>
          </w:tcPr>
          <w:p w14:paraId="3E5A6BF5" w14:textId="77777777" w:rsidR="000C3760" w:rsidRDefault="00D77A5A">
            <w:r>
              <w:rPr>
                <w:rFonts w:ascii="Calibri" w:eastAsia="Calibri" w:hAnsi="Calibri" w:cs="Calibri"/>
                <w:sz w:val="24"/>
                <w:szCs w:val="24"/>
              </w:rPr>
              <w:t xml:space="preserve">Qossai </w:t>
            </w:r>
            <w:proofErr w:type="spellStart"/>
            <w:r>
              <w:rPr>
                <w:rFonts w:ascii="Calibri" w:eastAsia="Calibri" w:hAnsi="Calibri" w:cs="Calibri"/>
                <w:sz w:val="24"/>
                <w:szCs w:val="24"/>
              </w:rPr>
              <w:t>Alqawasmi</w:t>
            </w:r>
            <w:proofErr w:type="spellEnd"/>
            <w:r>
              <w:rPr>
                <w:rFonts w:ascii="Calibri" w:eastAsia="Calibri" w:hAnsi="Calibri" w:cs="Calibri"/>
                <w:sz w:val="24"/>
                <w:szCs w:val="24"/>
              </w:rPr>
              <w:t xml:space="preserve"> / Allam (with Dinesh)</w:t>
            </w:r>
          </w:p>
        </w:tc>
        <w:tc>
          <w:tcPr>
            <w:tcW w:w="1800" w:type="dxa"/>
            <w:tcMar>
              <w:top w:w="80" w:type="dxa"/>
              <w:left w:w="120" w:type="dxa"/>
              <w:bottom w:w="80" w:type="dxa"/>
              <w:right w:w="120" w:type="dxa"/>
            </w:tcMar>
          </w:tcPr>
          <w:p w14:paraId="2DEC6C06" w14:textId="77777777" w:rsidR="000C3760" w:rsidRDefault="00D77A5A">
            <w:r>
              <w:rPr>
                <w:rFonts w:ascii="Calibri" w:eastAsia="Calibri" w:hAnsi="Calibri" w:cs="Calibri"/>
                <w:sz w:val="24"/>
                <w:szCs w:val="24"/>
              </w:rPr>
              <w:t>Next session</w:t>
            </w:r>
          </w:p>
        </w:tc>
        <w:tc>
          <w:tcPr>
            <w:tcW w:w="1900" w:type="dxa"/>
            <w:tcMar>
              <w:top w:w="80" w:type="dxa"/>
              <w:left w:w="120" w:type="dxa"/>
              <w:bottom w:w="80" w:type="dxa"/>
              <w:right w:w="120" w:type="dxa"/>
            </w:tcMar>
          </w:tcPr>
          <w:p w14:paraId="61F8E9BC" w14:textId="77777777" w:rsidR="000C3760" w:rsidRDefault="00D77A5A">
            <w:r>
              <w:rPr>
                <w:rFonts w:ascii="Calibri" w:eastAsia="Calibri" w:hAnsi="Calibri" w:cs="Calibri"/>
                <w:sz w:val="24"/>
                <w:szCs w:val="24"/>
              </w:rPr>
              <w:t>Open</w:t>
            </w:r>
          </w:p>
        </w:tc>
      </w:tr>
      <w:tr w:rsidR="000C3760" w14:paraId="24B98F33" w14:textId="77777777">
        <w:tblPrEx>
          <w:tblCellMar>
            <w:top w:w="0" w:type="dxa"/>
            <w:bottom w:w="0" w:type="dxa"/>
          </w:tblCellMar>
        </w:tblPrEx>
        <w:tc>
          <w:tcPr>
            <w:tcW w:w="3800" w:type="dxa"/>
            <w:tcMar>
              <w:top w:w="80" w:type="dxa"/>
              <w:left w:w="120" w:type="dxa"/>
              <w:bottom w:w="80" w:type="dxa"/>
              <w:right w:w="120" w:type="dxa"/>
            </w:tcMar>
          </w:tcPr>
          <w:p w14:paraId="1A00307B" w14:textId="77777777" w:rsidR="000C3760" w:rsidRDefault="00D77A5A">
            <w:r>
              <w:rPr>
                <w:rFonts w:ascii="Calibri" w:eastAsia="Calibri" w:hAnsi="Calibri" w:cs="Calibri"/>
                <w:sz w:val="24"/>
                <w:szCs w:val="24"/>
              </w:rPr>
              <w:t xml:space="preserve">Propose a recommended/minimum infrastructure configuration and cost estimate for B2C ticket-selling capacity, based on </w:t>
            </w:r>
            <w:proofErr w:type="spellStart"/>
            <w:r>
              <w:rPr>
                <w:rFonts w:ascii="Calibri" w:eastAsia="Calibri" w:hAnsi="Calibri" w:cs="Calibri"/>
                <w:sz w:val="24"/>
                <w:szCs w:val="24"/>
              </w:rPr>
              <w:t>Qossai's</w:t>
            </w:r>
            <w:proofErr w:type="spellEnd"/>
            <w:r>
              <w:rPr>
                <w:rFonts w:ascii="Calibri" w:eastAsia="Calibri" w:hAnsi="Calibri" w:cs="Calibri"/>
                <w:sz w:val="24"/>
                <w:szCs w:val="24"/>
              </w:rPr>
              <w:t xml:space="preserve"> benchmark data</w:t>
            </w:r>
          </w:p>
        </w:tc>
        <w:tc>
          <w:tcPr>
            <w:tcW w:w="1850" w:type="dxa"/>
            <w:tcMar>
              <w:top w:w="80" w:type="dxa"/>
              <w:left w:w="120" w:type="dxa"/>
              <w:bottom w:w="80" w:type="dxa"/>
              <w:right w:w="120" w:type="dxa"/>
            </w:tcMar>
          </w:tcPr>
          <w:p w14:paraId="14509E3A" w14:textId="77777777" w:rsidR="000C3760" w:rsidRDefault="00D77A5A">
            <w:r>
              <w:rPr>
                <w:rFonts w:ascii="Calibri" w:eastAsia="Calibri" w:hAnsi="Calibri" w:cs="Calibri"/>
                <w:sz w:val="24"/>
                <w:szCs w:val="24"/>
              </w:rPr>
              <w:t>Chinmay Parab</w:t>
            </w:r>
          </w:p>
        </w:tc>
        <w:tc>
          <w:tcPr>
            <w:tcW w:w="1800" w:type="dxa"/>
            <w:tcMar>
              <w:top w:w="80" w:type="dxa"/>
              <w:left w:w="120" w:type="dxa"/>
              <w:bottom w:w="80" w:type="dxa"/>
              <w:right w:w="120" w:type="dxa"/>
            </w:tcMar>
          </w:tcPr>
          <w:p w14:paraId="73D2CBBE" w14:textId="77777777" w:rsidR="000C3760" w:rsidRDefault="00D77A5A">
            <w:r>
              <w:rPr>
                <w:rFonts w:ascii="Calibri" w:eastAsia="Calibri" w:hAnsi="Calibri" w:cs="Calibri"/>
                <w:sz w:val="24"/>
                <w:szCs w:val="24"/>
              </w:rPr>
              <w:t>After benchmark data received</w:t>
            </w:r>
          </w:p>
        </w:tc>
        <w:tc>
          <w:tcPr>
            <w:tcW w:w="1900" w:type="dxa"/>
            <w:tcMar>
              <w:top w:w="80" w:type="dxa"/>
              <w:left w:w="120" w:type="dxa"/>
              <w:bottom w:w="80" w:type="dxa"/>
              <w:right w:w="120" w:type="dxa"/>
            </w:tcMar>
          </w:tcPr>
          <w:p w14:paraId="78DF2C75" w14:textId="77777777" w:rsidR="000C3760" w:rsidRDefault="00D77A5A">
            <w:r>
              <w:rPr>
                <w:rFonts w:ascii="Calibri" w:eastAsia="Calibri" w:hAnsi="Calibri" w:cs="Calibri"/>
                <w:sz w:val="24"/>
                <w:szCs w:val="24"/>
              </w:rPr>
              <w:t>Open</w:t>
            </w:r>
          </w:p>
        </w:tc>
      </w:tr>
      <w:tr w:rsidR="000C3760" w14:paraId="3DB3DE7F" w14:textId="77777777">
        <w:tblPrEx>
          <w:tblCellMar>
            <w:top w:w="0" w:type="dxa"/>
            <w:bottom w:w="0" w:type="dxa"/>
          </w:tblCellMar>
        </w:tblPrEx>
        <w:tc>
          <w:tcPr>
            <w:tcW w:w="3800" w:type="dxa"/>
            <w:tcMar>
              <w:top w:w="80" w:type="dxa"/>
              <w:left w:w="120" w:type="dxa"/>
              <w:bottom w:w="80" w:type="dxa"/>
              <w:right w:w="120" w:type="dxa"/>
            </w:tcMar>
          </w:tcPr>
          <w:p w14:paraId="7DB75364" w14:textId="77777777" w:rsidR="000C3760" w:rsidRDefault="00D77A5A">
            <w:r>
              <w:rPr>
                <w:rFonts w:ascii="Calibri" w:eastAsia="Calibri" w:hAnsi="Calibri" w:cs="Calibri"/>
                <w:sz w:val="24"/>
                <w:szCs w:val="24"/>
              </w:rPr>
              <w:t>Prepare and run the access control module walkthrough (extended 1.5-hour session)</w:t>
            </w:r>
          </w:p>
        </w:tc>
        <w:tc>
          <w:tcPr>
            <w:tcW w:w="1850" w:type="dxa"/>
            <w:tcMar>
              <w:top w:w="80" w:type="dxa"/>
              <w:left w:w="120" w:type="dxa"/>
              <w:bottom w:w="80" w:type="dxa"/>
              <w:right w:w="120" w:type="dxa"/>
            </w:tcMar>
          </w:tcPr>
          <w:p w14:paraId="7D07288C" w14:textId="77777777" w:rsidR="000C3760" w:rsidRDefault="00D77A5A">
            <w:r>
              <w:rPr>
                <w:rFonts w:ascii="Calibri" w:eastAsia="Calibri" w:hAnsi="Calibri" w:cs="Calibri"/>
                <w:sz w:val="24"/>
                <w:szCs w:val="24"/>
              </w:rPr>
              <w:t>Allam</w:t>
            </w:r>
          </w:p>
        </w:tc>
        <w:tc>
          <w:tcPr>
            <w:tcW w:w="1800" w:type="dxa"/>
            <w:tcMar>
              <w:top w:w="80" w:type="dxa"/>
              <w:left w:w="120" w:type="dxa"/>
              <w:bottom w:w="80" w:type="dxa"/>
              <w:right w:w="120" w:type="dxa"/>
            </w:tcMar>
          </w:tcPr>
          <w:p w14:paraId="16AB8191" w14:textId="77777777" w:rsidR="000C3760" w:rsidRDefault="00D77A5A">
            <w:r>
              <w:rPr>
                <w:rFonts w:ascii="Calibri" w:eastAsia="Calibri" w:hAnsi="Calibri" w:cs="Calibri"/>
                <w:sz w:val="24"/>
                <w:szCs w:val="24"/>
              </w:rPr>
              <w:t>Tomorrow, 8:30 AM</w:t>
            </w:r>
          </w:p>
        </w:tc>
        <w:tc>
          <w:tcPr>
            <w:tcW w:w="1900" w:type="dxa"/>
            <w:tcMar>
              <w:top w:w="80" w:type="dxa"/>
              <w:left w:w="120" w:type="dxa"/>
              <w:bottom w:w="80" w:type="dxa"/>
              <w:right w:w="120" w:type="dxa"/>
            </w:tcMar>
          </w:tcPr>
          <w:p w14:paraId="4C965125" w14:textId="77777777" w:rsidR="000C3760" w:rsidRDefault="00D77A5A">
            <w:r>
              <w:rPr>
                <w:rFonts w:ascii="Calibri" w:eastAsia="Calibri" w:hAnsi="Calibri" w:cs="Calibri"/>
                <w:sz w:val="24"/>
                <w:szCs w:val="24"/>
              </w:rPr>
              <w:t>Open</w:t>
            </w:r>
          </w:p>
        </w:tc>
      </w:tr>
      <w:tr w:rsidR="000C3760" w14:paraId="594F1B69" w14:textId="77777777">
        <w:tblPrEx>
          <w:tblCellMar>
            <w:top w:w="0" w:type="dxa"/>
            <w:bottom w:w="0" w:type="dxa"/>
          </w:tblCellMar>
        </w:tblPrEx>
        <w:tc>
          <w:tcPr>
            <w:tcW w:w="3800" w:type="dxa"/>
            <w:tcMar>
              <w:top w:w="80" w:type="dxa"/>
              <w:left w:w="120" w:type="dxa"/>
              <w:bottom w:w="80" w:type="dxa"/>
              <w:right w:w="120" w:type="dxa"/>
            </w:tcMar>
          </w:tcPr>
          <w:p w14:paraId="386B70C0" w14:textId="77777777" w:rsidR="000C3760" w:rsidRDefault="00D77A5A">
            <w:r>
              <w:rPr>
                <w:rFonts w:ascii="Calibri" w:eastAsia="Calibri" w:hAnsi="Calibri" w:cs="Calibri"/>
                <w:sz w:val="24"/>
                <w:szCs w:val="24"/>
              </w:rPr>
              <w:t>Continue resale-marketplace design incorporating the confirmed ID-preservation and ownership change-log approach</w:t>
            </w:r>
          </w:p>
        </w:tc>
        <w:tc>
          <w:tcPr>
            <w:tcW w:w="1850" w:type="dxa"/>
            <w:tcMar>
              <w:top w:w="80" w:type="dxa"/>
              <w:left w:w="120" w:type="dxa"/>
              <w:bottom w:w="80" w:type="dxa"/>
              <w:right w:w="120" w:type="dxa"/>
            </w:tcMar>
          </w:tcPr>
          <w:p w14:paraId="0CD13B96" w14:textId="77777777" w:rsidR="000C3760" w:rsidRDefault="00D77A5A">
            <w:r>
              <w:rPr>
                <w:rFonts w:ascii="Calibri" w:eastAsia="Calibri" w:hAnsi="Calibri" w:cs="Calibri"/>
                <w:sz w:val="24"/>
                <w:szCs w:val="24"/>
              </w:rPr>
              <w:t>Softlabs Team</w:t>
            </w:r>
          </w:p>
        </w:tc>
        <w:tc>
          <w:tcPr>
            <w:tcW w:w="1800" w:type="dxa"/>
            <w:tcMar>
              <w:top w:w="80" w:type="dxa"/>
              <w:left w:w="120" w:type="dxa"/>
              <w:bottom w:w="80" w:type="dxa"/>
              <w:right w:w="120" w:type="dxa"/>
            </w:tcMar>
          </w:tcPr>
          <w:p w14:paraId="51E7A80E" w14:textId="77777777" w:rsidR="000C3760" w:rsidRDefault="00D77A5A">
            <w:r>
              <w:rPr>
                <w:rFonts w:ascii="Calibri" w:eastAsia="Calibri" w:hAnsi="Calibri" w:cs="Calibri"/>
                <w:sz w:val="24"/>
                <w:szCs w:val="24"/>
              </w:rPr>
              <w:t>Ongoing</w:t>
            </w:r>
          </w:p>
        </w:tc>
        <w:tc>
          <w:tcPr>
            <w:tcW w:w="1900" w:type="dxa"/>
            <w:tcMar>
              <w:top w:w="80" w:type="dxa"/>
              <w:left w:w="120" w:type="dxa"/>
              <w:bottom w:w="80" w:type="dxa"/>
              <w:right w:w="120" w:type="dxa"/>
            </w:tcMar>
          </w:tcPr>
          <w:p w14:paraId="3F2714A0" w14:textId="77777777" w:rsidR="000C3760" w:rsidRDefault="00D77A5A">
            <w:r>
              <w:rPr>
                <w:rFonts w:ascii="Calibri" w:eastAsia="Calibri" w:hAnsi="Calibri" w:cs="Calibri"/>
                <w:sz w:val="24"/>
                <w:szCs w:val="24"/>
              </w:rPr>
              <w:t>In Progress</w:t>
            </w:r>
          </w:p>
        </w:tc>
      </w:tr>
    </w:tbl>
    <w:p w14:paraId="4ADB6A74" w14:textId="77777777" w:rsidR="000C3760" w:rsidRDefault="000C3760">
      <w:pPr>
        <w:spacing w:after="160"/>
      </w:pPr>
    </w:p>
    <w:p w14:paraId="5E8FBFC7" w14:textId="77777777" w:rsidR="000C3760" w:rsidRDefault="00D77A5A">
      <w:pPr>
        <w:spacing w:before="180" w:after="100"/>
      </w:pPr>
      <w:r>
        <w:rPr>
          <w:rFonts w:ascii="Calibri" w:eastAsia="Calibri" w:hAnsi="Calibri" w:cs="Calibri"/>
          <w:b/>
          <w:bCs/>
          <w:color w:val="215E99"/>
          <w:sz w:val="32"/>
          <w:szCs w:val="32"/>
        </w:rPr>
        <w:t>8. Next Steps</w:t>
      </w:r>
    </w:p>
    <w:p w14:paraId="4BBD14C0" w14:textId="77777777" w:rsidR="000C3760" w:rsidRDefault="00D77A5A">
      <w:pPr>
        <w:pStyle w:val="ListParagraph"/>
        <w:numPr>
          <w:ilvl w:val="0"/>
          <w:numId w:val="2"/>
        </w:numPr>
        <w:spacing w:after="70"/>
      </w:pPr>
      <w:r>
        <w:rPr>
          <w:rFonts w:ascii="Calibri" w:eastAsia="Calibri" w:hAnsi="Calibri" w:cs="Calibri"/>
          <w:sz w:val="24"/>
          <w:szCs w:val="24"/>
        </w:rPr>
        <w:t>Tomorrow's session (8:30 AM, extended to ~1.5 hours) will cover the access control module in full.</w:t>
      </w:r>
    </w:p>
    <w:p w14:paraId="2FD1F353" w14:textId="77777777" w:rsidR="000C3760" w:rsidRDefault="00D77A5A">
      <w:pPr>
        <w:pStyle w:val="ListParagraph"/>
        <w:numPr>
          <w:ilvl w:val="0"/>
          <w:numId w:val="2"/>
        </w:numPr>
        <w:spacing w:after="70"/>
      </w:pPr>
      <w:r>
        <w:rPr>
          <w:rFonts w:ascii="Calibri" w:eastAsia="Calibri" w:hAnsi="Calibri" w:cs="Calibri"/>
          <w:sz w:val="24"/>
          <w:szCs w:val="24"/>
        </w:rPr>
        <w:t>Promotions and cross-sell modules to follow once access control is complete.</w:t>
      </w:r>
    </w:p>
    <w:p w14:paraId="24708E5F" w14:textId="77777777" w:rsidR="000C3760" w:rsidRDefault="00D77A5A">
      <w:pPr>
        <w:pStyle w:val="ListParagraph"/>
        <w:numPr>
          <w:ilvl w:val="0"/>
          <w:numId w:val="2"/>
        </w:numPr>
        <w:spacing w:after="70"/>
      </w:pPr>
      <w:r>
        <w:rPr>
          <w:rFonts w:ascii="Calibri" w:eastAsia="Calibri" w:hAnsi="Calibri" w:cs="Calibri"/>
          <w:sz w:val="24"/>
          <w:szCs w:val="24"/>
        </w:rPr>
        <w:t>Qossai and Allam to provide infrastructure sizing benchmarks; Chinmay to follow up with a recommended configuration and cost estimate.</w:t>
      </w:r>
    </w:p>
    <w:p w14:paraId="0D12967A" w14:textId="77777777" w:rsidR="000C3760" w:rsidRDefault="00D77A5A">
      <w:pPr>
        <w:spacing w:before="120"/>
        <w:jc w:val="center"/>
      </w:pPr>
      <w:r>
        <w:rPr>
          <w:rFonts w:ascii="Calibri" w:eastAsia="Calibri" w:hAnsi="Calibri" w:cs="Calibri"/>
          <w:i/>
          <w:iCs/>
          <w:color w:val="595959"/>
          <w:sz w:val="24"/>
          <w:szCs w:val="24"/>
        </w:rPr>
        <w:t>--- End of Minutes ---</w:t>
      </w:r>
    </w:p>
    <w:sectPr w:rsidR="000C3760">
      <w:headerReference w:type="default" r:id="rId7"/>
      <w:footerReference w:type="default" r:id="rId8"/>
      <w:pgSz w:w="12240" w:h="15840"/>
      <w:pgMar w:top="720" w:right="1440" w:bottom="9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6CAFC" w14:textId="77777777" w:rsidR="00D77A5A" w:rsidRDefault="00D77A5A">
      <w:r>
        <w:separator/>
      </w:r>
    </w:p>
  </w:endnote>
  <w:endnote w:type="continuationSeparator" w:id="0">
    <w:p w14:paraId="17EEFBC9" w14:textId="77777777" w:rsidR="00D77A5A" w:rsidRDefault="00D77A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20372" w14:textId="77777777" w:rsidR="000C3760" w:rsidRDefault="00D77A5A">
    <w:pPr>
      <w:jc w:val="center"/>
    </w:pPr>
    <w:r>
      <w:rPr>
        <w:rFonts w:ascii="Calibri" w:eastAsia="Calibri" w:hAnsi="Calibri" w:cs="Calibri"/>
        <w:color w:val="595959"/>
        <w:sz w:val="24"/>
        <w:szCs w:val="24"/>
      </w:rPr>
      <w:t xml:space="preserve">Page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PAGE</w:instrText>
    </w:r>
    <w:r>
      <w:rPr>
        <w:rFonts w:ascii="Calibri" w:eastAsia="Calibri" w:hAnsi="Calibri" w:cs="Calibri"/>
        <w:color w:val="595959"/>
        <w:sz w:val="24"/>
        <w:szCs w:val="24"/>
      </w:rPr>
      <w:fldChar w:fldCharType="separate"/>
    </w:r>
    <w:r w:rsidR="0064596E">
      <w:rPr>
        <w:rFonts w:ascii="Calibri" w:eastAsia="Calibri" w:hAnsi="Calibri" w:cs="Calibri"/>
        <w:noProof/>
        <w:color w:val="595959"/>
        <w:sz w:val="24"/>
        <w:szCs w:val="24"/>
      </w:rPr>
      <w:t>1</w:t>
    </w:r>
    <w:r>
      <w:rPr>
        <w:rFonts w:ascii="Calibri" w:eastAsia="Calibri" w:hAnsi="Calibri" w:cs="Calibri"/>
        <w:color w:val="595959"/>
        <w:sz w:val="24"/>
        <w:szCs w:val="24"/>
      </w:rPr>
      <w:fldChar w:fldCharType="end"/>
    </w:r>
    <w:r>
      <w:rPr>
        <w:rFonts w:ascii="Calibri" w:eastAsia="Calibri" w:hAnsi="Calibri" w:cs="Calibri"/>
        <w:color w:val="595959"/>
        <w:sz w:val="24"/>
        <w:szCs w:val="24"/>
      </w:rPr>
      <w:t xml:space="preserve"> of </w:t>
    </w:r>
    <w:r>
      <w:rPr>
        <w:rFonts w:ascii="Calibri" w:eastAsia="Calibri" w:hAnsi="Calibri" w:cs="Calibri"/>
        <w:color w:val="595959"/>
        <w:sz w:val="24"/>
        <w:szCs w:val="24"/>
      </w:rPr>
      <w:fldChar w:fldCharType="begin"/>
    </w:r>
    <w:r>
      <w:rPr>
        <w:rFonts w:ascii="Calibri" w:eastAsia="Calibri" w:hAnsi="Calibri" w:cs="Calibri"/>
        <w:color w:val="595959"/>
        <w:sz w:val="24"/>
        <w:szCs w:val="24"/>
      </w:rPr>
      <w:instrText>NUMPAGES</w:instrText>
    </w:r>
    <w:r>
      <w:rPr>
        <w:rFonts w:ascii="Calibri" w:eastAsia="Calibri" w:hAnsi="Calibri" w:cs="Calibri"/>
        <w:color w:val="595959"/>
        <w:sz w:val="24"/>
        <w:szCs w:val="24"/>
      </w:rPr>
      <w:fldChar w:fldCharType="separate"/>
    </w:r>
    <w:r w:rsidR="0064596E">
      <w:rPr>
        <w:rFonts w:ascii="Calibri" w:eastAsia="Calibri" w:hAnsi="Calibri" w:cs="Calibri"/>
        <w:noProof/>
        <w:color w:val="595959"/>
        <w:sz w:val="24"/>
        <w:szCs w:val="24"/>
      </w:rPr>
      <w:t>2</w:t>
    </w:r>
    <w:r>
      <w:rPr>
        <w:rFonts w:ascii="Calibri" w:eastAsia="Calibri" w:hAnsi="Calibri" w:cs="Calibri"/>
        <w:color w:val="595959"/>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51F8D" w14:textId="77777777" w:rsidR="00D77A5A" w:rsidRDefault="00D77A5A">
      <w:r>
        <w:separator/>
      </w:r>
    </w:p>
  </w:footnote>
  <w:footnote w:type="continuationSeparator" w:id="0">
    <w:p w14:paraId="5149D650" w14:textId="77777777" w:rsidR="00D77A5A" w:rsidRDefault="00D77A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675"/>
      <w:gridCol w:w="4675"/>
    </w:tblGrid>
    <w:tr w:rsidR="000C3760" w14:paraId="73C18F07" w14:textId="77777777">
      <w:tblPrEx>
        <w:tblCellMar>
          <w:top w:w="0" w:type="dxa"/>
          <w:bottom w:w="0" w:type="dxa"/>
        </w:tblCellMar>
      </w:tblPrEx>
      <w:tc>
        <w:tcPr>
          <w:tcW w:w="4675" w:type="dxa"/>
          <w:tcMar>
            <w:bottom w:w="80" w:type="dxa"/>
          </w:tcMar>
          <w:vAlign w:val="center"/>
        </w:tcPr>
        <w:p w14:paraId="67C3E41B" w14:textId="77777777" w:rsidR="000C3760" w:rsidRDefault="000C3760"/>
      </w:tc>
      <w:tc>
        <w:tcPr>
          <w:tcW w:w="4675" w:type="dxa"/>
          <w:tcMar>
            <w:bottom w:w="80" w:type="dxa"/>
          </w:tcMar>
          <w:vAlign w:val="center"/>
        </w:tcPr>
        <w:p w14:paraId="6112C988" w14:textId="77777777" w:rsidR="000C3760" w:rsidRDefault="00D77A5A">
          <w:pPr>
            <w:spacing w:after="20"/>
            <w:jc w:val="right"/>
          </w:pPr>
          <w:r>
            <w:rPr>
              <w:noProof/>
            </w:rPr>
            <w:drawing>
              <wp:inline distT="0" distB="0" distL="0" distR="0" wp14:anchorId="29C49577" wp14:editId="75A6B6BE">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p w14:paraId="28CA4B90" w14:textId="77777777" w:rsidR="000C3760" w:rsidRDefault="00D77A5A">
          <w:pPr>
            <w:jc w:val="right"/>
          </w:pPr>
          <w:r>
            <w:rPr>
              <w:noProof/>
            </w:rPr>
            <w:drawing>
              <wp:inline distT="0" distB="0" distL="0" distR="0" wp14:anchorId="17BD7FED" wp14:editId="5BE165F6">
                <wp:extent cx="933450" cy="190500"/>
                <wp:effectExtent l="0" t="0" r="0" b="0"/>
                <wp:docPr id="571980207" name="Picture 57198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933450" cy="19050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3730B9"/>
    <w:multiLevelType w:val="hybridMultilevel"/>
    <w:tmpl w:val="D04C91C8"/>
    <w:lvl w:ilvl="0" w:tplc="418AA4E0">
      <w:start w:val="1"/>
      <w:numFmt w:val="bullet"/>
      <w:lvlText w:val="●"/>
      <w:lvlJc w:val="left"/>
      <w:pPr>
        <w:ind w:left="720" w:hanging="360"/>
      </w:pPr>
    </w:lvl>
    <w:lvl w:ilvl="1" w:tplc="9864C0E0">
      <w:start w:val="1"/>
      <w:numFmt w:val="bullet"/>
      <w:lvlText w:val="○"/>
      <w:lvlJc w:val="left"/>
      <w:pPr>
        <w:ind w:left="1440" w:hanging="360"/>
      </w:pPr>
    </w:lvl>
    <w:lvl w:ilvl="2" w:tplc="DA8827F8">
      <w:start w:val="1"/>
      <w:numFmt w:val="bullet"/>
      <w:lvlText w:val="■"/>
      <w:lvlJc w:val="left"/>
      <w:pPr>
        <w:ind w:left="2160" w:hanging="360"/>
      </w:pPr>
    </w:lvl>
    <w:lvl w:ilvl="3" w:tplc="99221676">
      <w:start w:val="1"/>
      <w:numFmt w:val="bullet"/>
      <w:lvlText w:val="●"/>
      <w:lvlJc w:val="left"/>
      <w:pPr>
        <w:ind w:left="2880" w:hanging="360"/>
      </w:pPr>
    </w:lvl>
    <w:lvl w:ilvl="4" w:tplc="1F8EDBA6">
      <w:start w:val="1"/>
      <w:numFmt w:val="bullet"/>
      <w:lvlText w:val="○"/>
      <w:lvlJc w:val="left"/>
      <w:pPr>
        <w:ind w:left="3600" w:hanging="360"/>
      </w:pPr>
    </w:lvl>
    <w:lvl w:ilvl="5" w:tplc="FE989588">
      <w:start w:val="1"/>
      <w:numFmt w:val="bullet"/>
      <w:lvlText w:val="■"/>
      <w:lvlJc w:val="left"/>
      <w:pPr>
        <w:ind w:left="4320" w:hanging="360"/>
      </w:pPr>
    </w:lvl>
    <w:lvl w:ilvl="6" w:tplc="F5F8B42E">
      <w:start w:val="1"/>
      <w:numFmt w:val="bullet"/>
      <w:lvlText w:val="●"/>
      <w:lvlJc w:val="left"/>
      <w:pPr>
        <w:ind w:left="5040" w:hanging="360"/>
      </w:pPr>
    </w:lvl>
    <w:lvl w:ilvl="7" w:tplc="E5AC9928">
      <w:start w:val="1"/>
      <w:numFmt w:val="bullet"/>
      <w:lvlText w:val="●"/>
      <w:lvlJc w:val="left"/>
      <w:pPr>
        <w:ind w:left="5760" w:hanging="360"/>
      </w:pPr>
    </w:lvl>
    <w:lvl w:ilvl="8" w:tplc="28A8079E">
      <w:start w:val="1"/>
      <w:numFmt w:val="bullet"/>
      <w:lvlText w:val="●"/>
      <w:lvlJc w:val="left"/>
      <w:pPr>
        <w:ind w:left="6480" w:hanging="360"/>
      </w:pPr>
    </w:lvl>
  </w:abstractNum>
  <w:abstractNum w:abstractNumId="1" w15:restartNumberingAfterBreak="0">
    <w:nsid w:val="6F4C01BC"/>
    <w:multiLevelType w:val="hybridMultilevel"/>
    <w:tmpl w:val="4AF637AE"/>
    <w:lvl w:ilvl="0" w:tplc="712C0214">
      <w:start w:val="1"/>
      <w:numFmt w:val="bullet"/>
      <w:lvlText w:val="•"/>
      <w:lvlJc w:val="left"/>
      <w:pPr>
        <w:ind w:left="360" w:hanging="260"/>
      </w:pPr>
    </w:lvl>
    <w:lvl w:ilvl="1" w:tplc="118CA31A">
      <w:start w:val="1"/>
      <w:numFmt w:val="bullet"/>
      <w:lvlText w:val="◦"/>
      <w:lvlJc w:val="left"/>
      <w:pPr>
        <w:ind w:left="720" w:hanging="260"/>
      </w:pPr>
    </w:lvl>
    <w:lvl w:ilvl="2" w:tplc="9BA6C1D2">
      <w:numFmt w:val="decimal"/>
      <w:lvlText w:val=""/>
      <w:lvlJc w:val="left"/>
    </w:lvl>
    <w:lvl w:ilvl="3" w:tplc="44D6321A">
      <w:numFmt w:val="decimal"/>
      <w:lvlText w:val=""/>
      <w:lvlJc w:val="left"/>
    </w:lvl>
    <w:lvl w:ilvl="4" w:tplc="6F5C9FFC">
      <w:numFmt w:val="decimal"/>
      <w:lvlText w:val=""/>
      <w:lvlJc w:val="left"/>
    </w:lvl>
    <w:lvl w:ilvl="5" w:tplc="FD589EC4">
      <w:numFmt w:val="decimal"/>
      <w:lvlText w:val=""/>
      <w:lvlJc w:val="left"/>
    </w:lvl>
    <w:lvl w:ilvl="6" w:tplc="4FE8E392">
      <w:numFmt w:val="decimal"/>
      <w:lvlText w:val=""/>
      <w:lvlJc w:val="left"/>
    </w:lvl>
    <w:lvl w:ilvl="7" w:tplc="0828688A">
      <w:numFmt w:val="decimal"/>
      <w:lvlText w:val=""/>
      <w:lvlJc w:val="left"/>
    </w:lvl>
    <w:lvl w:ilvl="8" w:tplc="FD9A93DA">
      <w:numFmt w:val="decimal"/>
      <w:lvlText w:val=""/>
      <w:lvlJc w:val="left"/>
    </w:lvl>
  </w:abstractNum>
  <w:num w:numId="1" w16cid:durableId="2143111207">
    <w:abstractNumId w:val="0"/>
    <w:lvlOverride w:ilvl="0">
      <w:startOverride w:val="1"/>
    </w:lvlOverride>
  </w:num>
  <w:num w:numId="2" w16cid:durableId="2976882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760"/>
    <w:rsid w:val="000C3760"/>
    <w:rsid w:val="0064596E"/>
    <w:rsid w:val="00AD1DBE"/>
    <w:rsid w:val="00D77A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325AB"/>
  <w15:docId w15:val="{C6C36099-3BB8-4DC4-917A-F301143DBF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3420</Words>
  <Characters>19500</Characters>
  <Application>Microsoft Office Word</Application>
  <DocSecurity>0</DocSecurity>
  <Lines>162</Lines>
  <Paragraphs>45</Paragraphs>
  <ScaleCrop>false</ScaleCrop>
  <Company/>
  <LinksUpToDate>false</LinksUpToDate>
  <CharactersWithSpaces>22875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Chitrangi Mestry</cp:lastModifiedBy>
  <cp:revision>2</cp:revision>
  <dcterms:created xsi:type="dcterms:W3CDTF">2026-09-01T10:16:00Z</dcterms:created>
  <dcterms:modified xsi:type="dcterms:W3CDTF">2026-09-01T10:16:00Z</dcterms:modified>
</cp:coreProperties>
</file>