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963EC" w14:textId="77777777" w:rsidR="00D057FD" w:rsidRDefault="00000000">
      <w:pPr>
        <w:spacing w:after="60"/>
        <w:jc w:val="center"/>
      </w:pPr>
      <w:r>
        <w:rPr>
          <w:rFonts w:ascii="Calibri" w:eastAsia="Calibri" w:hAnsi="Calibri" w:cs="Calibri"/>
          <w:b/>
          <w:bCs/>
          <w:color w:val="215E99"/>
          <w:sz w:val="44"/>
          <w:szCs w:val="44"/>
        </w:rPr>
        <w:t>Minutes of Meeting</w:t>
      </w:r>
    </w:p>
    <w:p w14:paraId="2C4B37DE" w14:textId="77777777" w:rsidR="00D057FD" w:rsidRDefault="00000000">
      <w:pPr>
        <w:pBdr>
          <w:bottom w:val="single" w:sz="6" w:space="8" w:color="0D6EFD"/>
        </w:pBdr>
        <w:spacing w:after="160"/>
        <w:jc w:val="center"/>
      </w:pPr>
      <w:r>
        <w:rPr>
          <w:rFonts w:ascii="Calibri" w:eastAsia="Calibri" w:hAnsi="Calibri" w:cs="Calibri"/>
          <w:i/>
          <w:iCs/>
          <w:color w:val="0B1324"/>
          <w:sz w:val="24"/>
          <w:szCs w:val="24"/>
        </w:rPr>
        <w:t>Workshop — Access Control (Devices, Rules, Dynamic QR Code, Media/Credentials &amp; Live Operations)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700"/>
        <w:gridCol w:w="3125"/>
        <w:gridCol w:w="1700"/>
        <w:gridCol w:w="2825"/>
      </w:tblGrid>
      <w:tr w:rsidR="00D057FD" w14:paraId="219C6F7F" w14:textId="77777777">
        <w:tblPrEx>
          <w:tblCellMar>
            <w:top w:w="0" w:type="dxa"/>
            <w:bottom w:w="0" w:type="dxa"/>
          </w:tblCellMar>
        </w:tblPrEx>
        <w:tc>
          <w:tcPr>
            <w:tcW w:w="1700" w:type="dxa"/>
            <w:shd w:val="clear" w:color="auto" w:fill="E7EEFB"/>
            <w:tcMar>
              <w:top w:w="80" w:type="dxa"/>
              <w:left w:w="120" w:type="dxa"/>
              <w:bottom w:w="80" w:type="dxa"/>
              <w:right w:w="120" w:type="dxa"/>
            </w:tcMar>
            <w:vAlign w:val="center"/>
          </w:tcPr>
          <w:p w14:paraId="5CAAFF09" w14:textId="77777777" w:rsidR="00D057FD" w:rsidRDefault="00000000">
            <w:r>
              <w:rPr>
                <w:rFonts w:ascii="Calibri" w:eastAsia="Calibri" w:hAnsi="Calibri" w:cs="Calibri"/>
                <w:b/>
                <w:bCs/>
                <w:color w:val="0B1324"/>
                <w:sz w:val="24"/>
                <w:szCs w:val="24"/>
              </w:rPr>
              <w:t>Date</w:t>
            </w:r>
          </w:p>
        </w:tc>
        <w:tc>
          <w:tcPr>
            <w:tcW w:w="3125" w:type="dxa"/>
            <w:tcMar>
              <w:top w:w="80" w:type="dxa"/>
              <w:left w:w="120" w:type="dxa"/>
              <w:bottom w:w="80" w:type="dxa"/>
              <w:right w:w="120" w:type="dxa"/>
            </w:tcMar>
            <w:vAlign w:val="center"/>
          </w:tcPr>
          <w:p w14:paraId="2706EFBC" w14:textId="77777777" w:rsidR="00D057FD" w:rsidRDefault="00000000">
            <w:r>
              <w:rPr>
                <w:rFonts w:ascii="Calibri" w:eastAsia="Calibri" w:hAnsi="Calibri" w:cs="Calibri"/>
                <w:sz w:val="24"/>
                <w:szCs w:val="24"/>
              </w:rPr>
              <w:t>02-September-2026</w:t>
            </w:r>
          </w:p>
        </w:tc>
        <w:tc>
          <w:tcPr>
            <w:tcW w:w="1700" w:type="dxa"/>
            <w:shd w:val="clear" w:color="auto" w:fill="E7EEFB"/>
            <w:tcMar>
              <w:top w:w="80" w:type="dxa"/>
              <w:left w:w="120" w:type="dxa"/>
              <w:bottom w:w="80" w:type="dxa"/>
              <w:right w:w="120" w:type="dxa"/>
            </w:tcMar>
            <w:vAlign w:val="center"/>
          </w:tcPr>
          <w:p w14:paraId="5027D59D" w14:textId="77777777" w:rsidR="00D057FD" w:rsidRDefault="00000000">
            <w:r>
              <w:rPr>
                <w:rFonts w:ascii="Calibri" w:eastAsia="Calibri" w:hAnsi="Calibri" w:cs="Calibri"/>
                <w:b/>
                <w:bCs/>
                <w:color w:val="0B1324"/>
                <w:sz w:val="24"/>
                <w:szCs w:val="24"/>
              </w:rPr>
              <w:t>Project</w:t>
            </w:r>
          </w:p>
        </w:tc>
        <w:tc>
          <w:tcPr>
            <w:tcW w:w="2825" w:type="dxa"/>
            <w:tcMar>
              <w:top w:w="80" w:type="dxa"/>
              <w:left w:w="120" w:type="dxa"/>
              <w:bottom w:w="80" w:type="dxa"/>
              <w:right w:w="120" w:type="dxa"/>
            </w:tcMar>
            <w:vAlign w:val="center"/>
          </w:tcPr>
          <w:p w14:paraId="233ACB78" w14:textId="77777777" w:rsidR="00D057FD" w:rsidRDefault="00000000">
            <w:r>
              <w:rPr>
                <w:rFonts w:ascii="Calibri" w:eastAsia="Calibri" w:hAnsi="Calibri" w:cs="Calibri"/>
                <w:sz w:val="24"/>
                <w:szCs w:val="24"/>
              </w:rPr>
              <w:t>TICVAI</w:t>
            </w:r>
          </w:p>
        </w:tc>
      </w:tr>
      <w:tr w:rsidR="00D057FD" w14:paraId="1DD60AE5" w14:textId="77777777">
        <w:tblPrEx>
          <w:tblCellMar>
            <w:top w:w="0" w:type="dxa"/>
            <w:bottom w:w="0" w:type="dxa"/>
          </w:tblCellMar>
        </w:tblPrEx>
        <w:tc>
          <w:tcPr>
            <w:tcW w:w="1700" w:type="dxa"/>
            <w:shd w:val="clear" w:color="auto" w:fill="E7EEFB"/>
            <w:tcMar>
              <w:top w:w="80" w:type="dxa"/>
              <w:left w:w="120" w:type="dxa"/>
              <w:bottom w:w="80" w:type="dxa"/>
              <w:right w:w="120" w:type="dxa"/>
            </w:tcMar>
            <w:vAlign w:val="center"/>
          </w:tcPr>
          <w:p w14:paraId="096E17C2" w14:textId="77777777" w:rsidR="00D057FD" w:rsidRDefault="00000000">
            <w:r>
              <w:rPr>
                <w:rFonts w:ascii="Calibri" w:eastAsia="Calibri" w:hAnsi="Calibri" w:cs="Calibri"/>
                <w:b/>
                <w:bCs/>
                <w:color w:val="0B1324"/>
                <w:sz w:val="24"/>
                <w:szCs w:val="24"/>
              </w:rPr>
              <w:t>Meeting Type</w:t>
            </w:r>
          </w:p>
        </w:tc>
        <w:tc>
          <w:tcPr>
            <w:tcW w:w="3125" w:type="dxa"/>
            <w:tcMar>
              <w:top w:w="80" w:type="dxa"/>
              <w:left w:w="120" w:type="dxa"/>
              <w:bottom w:w="80" w:type="dxa"/>
              <w:right w:w="120" w:type="dxa"/>
            </w:tcMar>
            <w:vAlign w:val="center"/>
          </w:tcPr>
          <w:p w14:paraId="5F921EED" w14:textId="77777777" w:rsidR="00D057FD" w:rsidRDefault="00000000">
            <w:r>
              <w:rPr>
                <w:rFonts w:ascii="Calibri" w:eastAsia="Calibri" w:hAnsi="Calibri" w:cs="Calibri"/>
                <w:sz w:val="24"/>
                <w:szCs w:val="24"/>
              </w:rPr>
              <w:t>Product Workshop — Access Control (Devices, Rules, Dynamic QR, Media/Credentials &amp; Live Operations)</w:t>
            </w:r>
          </w:p>
        </w:tc>
        <w:tc>
          <w:tcPr>
            <w:tcW w:w="1700" w:type="dxa"/>
            <w:shd w:val="clear" w:color="auto" w:fill="E7EEFB"/>
            <w:tcMar>
              <w:top w:w="80" w:type="dxa"/>
              <w:left w:w="120" w:type="dxa"/>
              <w:bottom w:w="80" w:type="dxa"/>
              <w:right w:w="120" w:type="dxa"/>
            </w:tcMar>
            <w:vAlign w:val="center"/>
          </w:tcPr>
          <w:p w14:paraId="03B965CF" w14:textId="77777777" w:rsidR="00D057FD" w:rsidRDefault="00000000">
            <w:r>
              <w:rPr>
                <w:rFonts w:ascii="Calibri" w:eastAsia="Calibri" w:hAnsi="Calibri" w:cs="Calibri"/>
                <w:b/>
                <w:bCs/>
                <w:color w:val="0B1324"/>
                <w:sz w:val="24"/>
                <w:szCs w:val="24"/>
              </w:rPr>
              <w:t>Prepared by</w:t>
            </w:r>
          </w:p>
        </w:tc>
        <w:tc>
          <w:tcPr>
            <w:tcW w:w="2825" w:type="dxa"/>
            <w:tcMar>
              <w:top w:w="80" w:type="dxa"/>
              <w:left w:w="120" w:type="dxa"/>
              <w:bottom w:w="80" w:type="dxa"/>
              <w:right w:w="120" w:type="dxa"/>
            </w:tcMar>
            <w:vAlign w:val="center"/>
          </w:tcPr>
          <w:p w14:paraId="7A836567" w14:textId="77777777" w:rsidR="00D057FD" w:rsidRDefault="00000000">
            <w:r>
              <w:rPr>
                <w:rFonts w:ascii="Calibri" w:eastAsia="Calibri" w:hAnsi="Calibri" w:cs="Calibri"/>
                <w:sz w:val="24"/>
                <w:szCs w:val="24"/>
              </w:rPr>
              <w:t>Chitrangi Mestry</w:t>
            </w:r>
          </w:p>
        </w:tc>
      </w:tr>
    </w:tbl>
    <w:p w14:paraId="376CAB04" w14:textId="77777777" w:rsidR="00D057FD" w:rsidRDefault="00D057FD">
      <w:pPr>
        <w:spacing w:after="160"/>
      </w:pPr>
    </w:p>
    <w:p w14:paraId="5EE9784A" w14:textId="77777777" w:rsidR="00D057FD" w:rsidRDefault="00000000">
      <w:pPr>
        <w:spacing w:before="180" w:after="100"/>
      </w:pPr>
      <w:r>
        <w:rPr>
          <w:rFonts w:ascii="Calibri" w:eastAsia="Calibri" w:hAnsi="Calibri" w:cs="Calibri"/>
          <w:b/>
          <w:bCs/>
          <w:color w:val="215E99"/>
          <w:sz w:val="32"/>
          <w:szCs w:val="32"/>
        </w:rPr>
        <w:t>Primary Objective</w:t>
      </w:r>
    </w:p>
    <w:p w14:paraId="3DB8A5CB" w14:textId="77777777" w:rsidR="00D057FD" w:rsidRDefault="00000000">
      <w:pPr>
        <w:spacing w:after="120"/>
      </w:pPr>
      <w:r>
        <w:rPr>
          <w:rFonts w:ascii="Calibri" w:eastAsia="Calibri" w:hAnsi="Calibri" w:cs="Calibri"/>
          <w:color w:val="000000"/>
          <w:sz w:val="24"/>
          <w:szCs w:val="24"/>
        </w:rPr>
        <w:t>To walk through the access control module in full detail across its ~12 configuration boards — device/gate management, access rules and entitlements, dynamic QR code design, media and credential handling, facial recognition, turnstile hardware, offline synchronization, and live operations — as an extended session ahead of moving on to promotions and cross-sell.</w:t>
      </w:r>
    </w:p>
    <w:p w14:paraId="6FBD40B3" w14:textId="77777777" w:rsidR="00D057FD" w:rsidRDefault="00000000">
      <w:pPr>
        <w:spacing w:before="180" w:after="100"/>
      </w:pPr>
      <w:r>
        <w:rPr>
          <w:rFonts w:ascii="Calibri" w:eastAsia="Calibri" w:hAnsi="Calibri" w:cs="Calibri"/>
          <w:b/>
          <w:bCs/>
          <w:color w:val="215E99"/>
          <w:sz w:val="32"/>
          <w:szCs w:val="32"/>
        </w:rPr>
        <w:t>Participants</w:t>
      </w:r>
    </w:p>
    <w:p w14:paraId="4A67F8B4" w14:textId="282D3EA2" w:rsidR="00D057FD" w:rsidRDefault="17DB51ED">
      <w:pPr>
        <w:pStyle w:val="ListParagraph"/>
        <w:numPr>
          <w:ilvl w:val="0"/>
          <w:numId w:val="2"/>
        </w:numPr>
        <w:spacing w:after="70"/>
      </w:pPr>
      <w:r w:rsidRPr="51EC30A6">
        <w:rPr>
          <w:rFonts w:ascii="Calibri" w:eastAsia="Calibri" w:hAnsi="Calibri" w:cs="Calibri"/>
          <w:sz w:val="24"/>
          <w:szCs w:val="24"/>
        </w:rPr>
        <w:t xml:space="preserve">TICVAI Team </w:t>
      </w:r>
    </w:p>
    <w:p w14:paraId="11BCFDF7" w14:textId="36A53704" w:rsidR="00D057FD" w:rsidRDefault="17DB51ED">
      <w:pPr>
        <w:pStyle w:val="ListParagraph"/>
        <w:numPr>
          <w:ilvl w:val="0"/>
          <w:numId w:val="2"/>
        </w:numPr>
        <w:spacing w:after="70"/>
      </w:pPr>
      <w:r w:rsidRPr="51EC30A6">
        <w:rPr>
          <w:rFonts w:ascii="Calibri" w:eastAsia="Calibri" w:hAnsi="Calibri" w:cs="Calibri"/>
          <w:sz w:val="24"/>
          <w:szCs w:val="24"/>
        </w:rPr>
        <w:t xml:space="preserve">Softlabs Team </w:t>
      </w:r>
    </w:p>
    <w:p w14:paraId="1A67A7C7" w14:textId="77777777" w:rsidR="00D057FD" w:rsidRDefault="00000000">
      <w:pPr>
        <w:spacing w:before="180" w:after="100"/>
      </w:pPr>
      <w:r>
        <w:rPr>
          <w:rFonts w:ascii="Calibri" w:eastAsia="Calibri" w:hAnsi="Calibri" w:cs="Calibri"/>
          <w:b/>
          <w:bCs/>
          <w:color w:val="215E99"/>
          <w:sz w:val="32"/>
          <w:szCs w:val="32"/>
        </w:rPr>
        <w:t>Agenda</w:t>
      </w:r>
    </w:p>
    <w:p w14:paraId="159C35DE" w14:textId="77777777" w:rsidR="00D057FD" w:rsidRDefault="00000000">
      <w:pPr>
        <w:pStyle w:val="ListParagraph"/>
        <w:numPr>
          <w:ilvl w:val="0"/>
          <w:numId w:val="2"/>
        </w:numPr>
        <w:spacing w:after="70"/>
      </w:pPr>
      <w:r>
        <w:rPr>
          <w:rFonts w:ascii="Calibri" w:eastAsia="Calibri" w:hAnsi="Calibri" w:cs="Calibri"/>
          <w:sz w:val="24"/>
          <w:szCs w:val="24"/>
        </w:rPr>
        <w:t>Access control overview — venue/gate visualization and device management</w:t>
      </w:r>
    </w:p>
    <w:p w14:paraId="24CB3E72" w14:textId="77777777" w:rsidR="00D057FD" w:rsidRDefault="00000000">
      <w:pPr>
        <w:pStyle w:val="ListParagraph"/>
        <w:numPr>
          <w:ilvl w:val="0"/>
          <w:numId w:val="2"/>
        </w:numPr>
        <w:spacing w:after="70"/>
      </w:pPr>
      <w:r>
        <w:rPr>
          <w:rFonts w:ascii="Calibri" w:eastAsia="Calibri" w:hAnsi="Calibri" w:cs="Calibri"/>
          <w:sz w:val="24"/>
          <w:szCs w:val="24"/>
        </w:rPr>
        <w:t>Device integration architecture, health monitoring and alerts</w:t>
      </w:r>
    </w:p>
    <w:p w14:paraId="2427691E" w14:textId="77777777" w:rsidR="00D057FD" w:rsidRDefault="00000000">
      <w:pPr>
        <w:pStyle w:val="ListParagraph"/>
        <w:numPr>
          <w:ilvl w:val="0"/>
          <w:numId w:val="2"/>
        </w:numPr>
        <w:spacing w:after="70"/>
      </w:pPr>
      <w:r>
        <w:rPr>
          <w:rFonts w:ascii="Calibri" w:eastAsia="Calibri" w:hAnsi="Calibri" w:cs="Calibri"/>
          <w:sz w:val="24"/>
          <w:szCs w:val="24"/>
        </w:rPr>
        <w:t>Access rules — entry/exit, anti-</w:t>
      </w:r>
      <w:proofErr w:type="spellStart"/>
      <w:r>
        <w:rPr>
          <w:rFonts w:ascii="Calibri" w:eastAsia="Calibri" w:hAnsi="Calibri" w:cs="Calibri"/>
          <w:sz w:val="24"/>
          <w:szCs w:val="24"/>
        </w:rPr>
        <w:t>passback</w:t>
      </w:r>
      <w:proofErr w:type="spellEnd"/>
      <w:r>
        <w:rPr>
          <w:rFonts w:ascii="Calibri" w:eastAsia="Calibri" w:hAnsi="Calibri" w:cs="Calibri"/>
          <w:sz w:val="24"/>
          <w:szCs w:val="24"/>
        </w:rPr>
        <w:t xml:space="preserve"> and validity</w:t>
      </w:r>
    </w:p>
    <w:p w14:paraId="16F8653D" w14:textId="77777777" w:rsidR="00D057FD" w:rsidRDefault="00000000">
      <w:pPr>
        <w:pStyle w:val="ListParagraph"/>
        <w:numPr>
          <w:ilvl w:val="0"/>
          <w:numId w:val="2"/>
        </w:numPr>
        <w:spacing w:after="70"/>
      </w:pPr>
      <w:r>
        <w:rPr>
          <w:rFonts w:ascii="Calibri" w:eastAsia="Calibri" w:hAnsi="Calibri" w:cs="Calibri"/>
          <w:sz w:val="24"/>
          <w:szCs w:val="24"/>
        </w:rPr>
        <w:t>Multi-park crossover, companion rules and group admission</w:t>
      </w:r>
    </w:p>
    <w:p w14:paraId="5250979F" w14:textId="77777777" w:rsidR="00D057FD" w:rsidRDefault="00000000">
      <w:pPr>
        <w:pStyle w:val="ListParagraph"/>
        <w:numPr>
          <w:ilvl w:val="0"/>
          <w:numId w:val="2"/>
        </w:numPr>
        <w:spacing w:after="70"/>
      </w:pPr>
      <w:r>
        <w:rPr>
          <w:rFonts w:ascii="Calibri" w:eastAsia="Calibri" w:hAnsi="Calibri" w:cs="Calibri"/>
          <w:sz w:val="24"/>
          <w:szCs w:val="24"/>
        </w:rPr>
        <w:t>Rule simulation tool</w:t>
      </w:r>
    </w:p>
    <w:p w14:paraId="78D58D05" w14:textId="77777777" w:rsidR="00D057FD" w:rsidRDefault="00000000">
      <w:pPr>
        <w:pStyle w:val="ListParagraph"/>
        <w:numPr>
          <w:ilvl w:val="0"/>
          <w:numId w:val="2"/>
        </w:numPr>
        <w:spacing w:after="70"/>
      </w:pPr>
      <w:r>
        <w:rPr>
          <w:rFonts w:ascii="Calibri" w:eastAsia="Calibri" w:hAnsi="Calibri" w:cs="Calibri"/>
          <w:sz w:val="24"/>
          <w:szCs w:val="24"/>
        </w:rPr>
        <w:t>Dynamic QR code — concept, generation approach and offline requirement</w:t>
      </w:r>
    </w:p>
    <w:p w14:paraId="338FE5FD" w14:textId="77777777" w:rsidR="00D057FD" w:rsidRDefault="00000000">
      <w:pPr>
        <w:pStyle w:val="ListParagraph"/>
        <w:numPr>
          <w:ilvl w:val="0"/>
          <w:numId w:val="2"/>
        </w:numPr>
        <w:spacing w:after="70"/>
      </w:pPr>
      <w:r>
        <w:rPr>
          <w:rFonts w:ascii="Calibri" w:eastAsia="Calibri" w:hAnsi="Calibri" w:cs="Calibri"/>
          <w:sz w:val="24"/>
          <w:szCs w:val="24"/>
        </w:rPr>
        <w:t>Dynamic QR code — business flexibility and exceptions</w:t>
      </w:r>
    </w:p>
    <w:p w14:paraId="3276E76A" w14:textId="77777777" w:rsidR="00D057FD" w:rsidRDefault="00000000">
      <w:pPr>
        <w:pStyle w:val="ListParagraph"/>
        <w:numPr>
          <w:ilvl w:val="0"/>
          <w:numId w:val="2"/>
        </w:numPr>
        <w:spacing w:after="70"/>
      </w:pPr>
      <w:r>
        <w:rPr>
          <w:rFonts w:ascii="Calibri" w:eastAsia="Calibri" w:hAnsi="Calibri" w:cs="Calibri"/>
          <w:sz w:val="24"/>
          <w:szCs w:val="24"/>
        </w:rPr>
        <w:t>Device binding, credential transfer and revocation</w:t>
      </w:r>
    </w:p>
    <w:p w14:paraId="16989272" w14:textId="77777777" w:rsidR="00D057FD" w:rsidRDefault="00000000">
      <w:pPr>
        <w:pStyle w:val="ListParagraph"/>
        <w:numPr>
          <w:ilvl w:val="0"/>
          <w:numId w:val="2"/>
        </w:numPr>
        <w:spacing w:after="70"/>
      </w:pPr>
      <w:r>
        <w:rPr>
          <w:rFonts w:ascii="Calibri" w:eastAsia="Calibri" w:hAnsi="Calibri" w:cs="Calibri"/>
          <w:sz w:val="24"/>
          <w:szCs w:val="24"/>
        </w:rPr>
        <w:t>Media and credential configuration</w:t>
      </w:r>
    </w:p>
    <w:p w14:paraId="7636D715" w14:textId="77777777" w:rsidR="00D057FD" w:rsidRDefault="00000000">
      <w:pPr>
        <w:pStyle w:val="ListParagraph"/>
        <w:numPr>
          <w:ilvl w:val="0"/>
          <w:numId w:val="2"/>
        </w:numPr>
        <w:spacing w:after="70"/>
      </w:pPr>
      <w:r>
        <w:rPr>
          <w:rFonts w:ascii="Calibri" w:eastAsia="Calibri" w:hAnsi="Calibri" w:cs="Calibri"/>
          <w:sz w:val="24"/>
          <w:szCs w:val="24"/>
        </w:rPr>
        <w:t xml:space="preserve">Facial recognition — Face Pass, Face Tag and </w:t>
      </w:r>
      <w:proofErr w:type="spellStart"/>
      <w:r>
        <w:rPr>
          <w:rFonts w:ascii="Calibri" w:eastAsia="Calibri" w:hAnsi="Calibri" w:cs="Calibri"/>
          <w:sz w:val="24"/>
          <w:szCs w:val="24"/>
        </w:rPr>
        <w:t>enrollment</w:t>
      </w:r>
      <w:proofErr w:type="spellEnd"/>
    </w:p>
    <w:p w14:paraId="30E63F42" w14:textId="77777777" w:rsidR="00D057FD" w:rsidRDefault="00000000">
      <w:pPr>
        <w:pStyle w:val="ListParagraph"/>
        <w:numPr>
          <w:ilvl w:val="0"/>
          <w:numId w:val="2"/>
        </w:numPr>
        <w:spacing w:after="70"/>
      </w:pPr>
      <w:r>
        <w:rPr>
          <w:rFonts w:ascii="Calibri" w:eastAsia="Calibri" w:hAnsi="Calibri" w:cs="Calibri"/>
          <w:sz w:val="24"/>
          <w:szCs w:val="24"/>
        </w:rPr>
        <w:t>Privacy and biometric data retention</w:t>
      </w:r>
    </w:p>
    <w:p w14:paraId="0C159FEC" w14:textId="77777777" w:rsidR="00D057FD" w:rsidRDefault="00000000">
      <w:pPr>
        <w:pStyle w:val="ListParagraph"/>
        <w:numPr>
          <w:ilvl w:val="0"/>
          <w:numId w:val="2"/>
        </w:numPr>
        <w:spacing w:after="70"/>
      </w:pPr>
      <w:r>
        <w:rPr>
          <w:rFonts w:ascii="Calibri" w:eastAsia="Calibri" w:hAnsi="Calibri" w:cs="Calibri"/>
          <w:sz w:val="24"/>
          <w:szCs w:val="24"/>
        </w:rPr>
        <w:t>Media as a payment method</w:t>
      </w:r>
    </w:p>
    <w:p w14:paraId="34A4C527" w14:textId="77777777" w:rsidR="00D057FD" w:rsidRDefault="00000000">
      <w:pPr>
        <w:pStyle w:val="ListParagraph"/>
        <w:numPr>
          <w:ilvl w:val="0"/>
          <w:numId w:val="2"/>
        </w:numPr>
        <w:spacing w:after="70"/>
      </w:pPr>
      <w:r>
        <w:rPr>
          <w:rFonts w:ascii="Calibri" w:eastAsia="Calibri" w:hAnsi="Calibri" w:cs="Calibri"/>
          <w:sz w:val="24"/>
          <w:szCs w:val="24"/>
        </w:rPr>
        <w:t>Turnstile hardware and handheld scanner configuration</w:t>
      </w:r>
    </w:p>
    <w:p w14:paraId="302C2749" w14:textId="77777777" w:rsidR="00D057FD" w:rsidRDefault="00000000">
      <w:pPr>
        <w:pStyle w:val="ListParagraph"/>
        <w:numPr>
          <w:ilvl w:val="0"/>
          <w:numId w:val="2"/>
        </w:numPr>
        <w:spacing w:after="70"/>
      </w:pPr>
      <w:r>
        <w:rPr>
          <w:rFonts w:ascii="Calibri" w:eastAsia="Calibri" w:hAnsi="Calibri" w:cs="Calibri"/>
          <w:sz w:val="24"/>
          <w:szCs w:val="24"/>
        </w:rPr>
        <w:t>Offline mode and synchronization</w:t>
      </w:r>
    </w:p>
    <w:p w14:paraId="28EBE540" w14:textId="77777777" w:rsidR="00D057FD" w:rsidRDefault="00000000">
      <w:pPr>
        <w:pStyle w:val="ListParagraph"/>
        <w:numPr>
          <w:ilvl w:val="0"/>
          <w:numId w:val="2"/>
        </w:numPr>
        <w:spacing w:after="70"/>
      </w:pPr>
      <w:r>
        <w:rPr>
          <w:rFonts w:ascii="Calibri" w:eastAsia="Calibri" w:hAnsi="Calibri" w:cs="Calibri"/>
          <w:sz w:val="24"/>
          <w:szCs w:val="24"/>
        </w:rPr>
        <w:t>Guest journey, group/B2B profiles and live operations dashboard</w:t>
      </w:r>
    </w:p>
    <w:p w14:paraId="7CC697E5" w14:textId="77777777" w:rsidR="00D057FD" w:rsidRDefault="00000000">
      <w:pPr>
        <w:pStyle w:val="ListParagraph"/>
        <w:numPr>
          <w:ilvl w:val="0"/>
          <w:numId w:val="2"/>
        </w:numPr>
        <w:spacing w:after="70"/>
      </w:pPr>
      <w:r>
        <w:rPr>
          <w:rFonts w:ascii="Calibri" w:eastAsia="Calibri" w:hAnsi="Calibri" w:cs="Calibri"/>
          <w:sz w:val="24"/>
          <w:szCs w:val="24"/>
        </w:rPr>
        <w:lastRenderedPageBreak/>
        <w:t>Ticket lookup, manual override, dynamic/attribute-based access control and fraud detection</w:t>
      </w:r>
    </w:p>
    <w:p w14:paraId="69BE2F9D" w14:textId="77777777" w:rsidR="00D057FD" w:rsidRDefault="00000000">
      <w:pPr>
        <w:pStyle w:val="ListParagraph"/>
        <w:numPr>
          <w:ilvl w:val="0"/>
          <w:numId w:val="2"/>
        </w:numPr>
        <w:spacing w:after="70"/>
      </w:pPr>
      <w:r>
        <w:rPr>
          <w:rFonts w:ascii="Calibri" w:eastAsia="Calibri" w:hAnsi="Calibri" w:cs="Calibri"/>
          <w:sz w:val="24"/>
          <w:szCs w:val="24"/>
        </w:rPr>
        <w:t>Planning for tomorrow's session (promotions and cross-sell)</w:t>
      </w:r>
    </w:p>
    <w:p w14:paraId="40358AF4" w14:textId="77777777" w:rsidR="00D057FD" w:rsidRDefault="00000000">
      <w:pPr>
        <w:spacing w:before="180" w:after="100"/>
      </w:pPr>
      <w:r>
        <w:rPr>
          <w:rFonts w:ascii="Calibri" w:eastAsia="Calibri" w:hAnsi="Calibri" w:cs="Calibri"/>
          <w:b/>
          <w:bCs/>
          <w:color w:val="215E99"/>
          <w:sz w:val="32"/>
          <w:szCs w:val="32"/>
        </w:rPr>
        <w:t>4. Detailed Discussion</w:t>
      </w:r>
    </w:p>
    <w:p w14:paraId="61208236" w14:textId="77777777" w:rsidR="00D057FD" w:rsidRDefault="00000000">
      <w:pPr>
        <w:spacing w:before="140" w:after="60"/>
      </w:pPr>
      <w:r>
        <w:rPr>
          <w:rFonts w:ascii="Calibri" w:eastAsia="Calibri" w:hAnsi="Calibri" w:cs="Calibri"/>
          <w:b/>
          <w:bCs/>
          <w:color w:val="215E99"/>
          <w:sz w:val="32"/>
          <w:szCs w:val="32"/>
        </w:rPr>
        <w:t>4.1 Access Control Overview &amp; Gate/Device Visualization</w:t>
      </w:r>
    </w:p>
    <w:p w14:paraId="37304E13" w14:textId="77777777" w:rsidR="00D057FD" w:rsidRDefault="00000000">
      <w:pPr>
        <w:pStyle w:val="ListParagraph"/>
        <w:numPr>
          <w:ilvl w:val="0"/>
          <w:numId w:val="2"/>
        </w:numPr>
        <w:spacing w:after="70"/>
      </w:pPr>
      <w:r>
        <w:rPr>
          <w:rFonts w:ascii="Calibri" w:eastAsia="Calibri" w:hAnsi="Calibri" w:cs="Calibri"/>
          <w:sz w:val="24"/>
          <w:szCs w:val="24"/>
        </w:rPr>
        <w:t>Allam introduced a venue-wide attendance overview (open/closed gates, offline/maintenance status, graphed) and a visual map of all access control locations across multiple venues/tenants, including entry and exit turnstile layouts that vary by venue.</w:t>
      </w:r>
    </w:p>
    <w:p w14:paraId="532FFD6D" w14:textId="77777777" w:rsidR="00D057FD" w:rsidRDefault="00000000">
      <w:pPr>
        <w:pStyle w:val="ListParagraph"/>
        <w:numPr>
          <w:ilvl w:val="0"/>
          <w:numId w:val="2"/>
        </w:numPr>
        <w:spacing w:after="70"/>
      </w:pPr>
      <w:r>
        <w:rPr>
          <w:rFonts w:ascii="Calibri" w:eastAsia="Calibri" w:hAnsi="Calibri" w:cs="Calibri"/>
          <w:sz w:val="24"/>
          <w:szCs w:val="24"/>
        </w:rPr>
        <w:t>Gate and zone management shows how many physical gates exist per location (e.g., three gates at a “main entry plaza,” two at a “main entry zone”); a device inventory view lists all access control devices (turnstiles and handheld scanners) that can be added and assigned per gate.</w:t>
      </w:r>
    </w:p>
    <w:p w14:paraId="731A2638" w14:textId="77777777" w:rsidR="00D057FD" w:rsidRDefault="00000000">
      <w:pPr>
        <w:pStyle w:val="ListParagraph"/>
        <w:numPr>
          <w:ilvl w:val="0"/>
          <w:numId w:val="2"/>
        </w:numPr>
        <w:spacing w:after="70"/>
      </w:pPr>
      <w:r>
        <w:rPr>
          <w:rFonts w:ascii="Calibri" w:eastAsia="Calibri" w:hAnsi="Calibri" w:cs="Calibri"/>
          <w:sz w:val="24"/>
          <w:szCs w:val="24"/>
        </w:rPr>
        <w:t>Devices are added to the system by selecting an integrated turnstile model and configuring its connection details (e.g., IP address); a real-time health-check view shows device connectivity status across the estate.</w:t>
      </w:r>
    </w:p>
    <w:p w14:paraId="4D393A90" w14:textId="77777777" w:rsidR="00D057FD" w:rsidRDefault="00000000">
      <w:pPr>
        <w:spacing w:before="140" w:after="60"/>
      </w:pPr>
      <w:r>
        <w:rPr>
          <w:rFonts w:ascii="Calibri" w:eastAsia="Calibri" w:hAnsi="Calibri" w:cs="Calibri"/>
          <w:b/>
          <w:bCs/>
          <w:color w:val="215E99"/>
          <w:sz w:val="32"/>
          <w:szCs w:val="32"/>
        </w:rPr>
        <w:t>4.2 Device Integration Architecture, Health Monitoring &amp; Alerts</w:t>
      </w:r>
    </w:p>
    <w:p w14:paraId="278888D8" w14:textId="77777777" w:rsidR="00D057FD" w:rsidRDefault="00000000">
      <w:pPr>
        <w:pStyle w:val="ListParagraph"/>
        <w:numPr>
          <w:ilvl w:val="0"/>
          <w:numId w:val="2"/>
        </w:numPr>
        <w:spacing w:after="70"/>
      </w:pPr>
      <w:r>
        <w:rPr>
          <w:rFonts w:ascii="Calibri" w:eastAsia="Calibri" w:hAnsi="Calibri" w:cs="Calibri"/>
          <w:b/>
          <w:bCs/>
          <w:sz w:val="24"/>
          <w:szCs w:val="24"/>
        </w:rPr>
        <w:t xml:space="preserve">Confirmed (Qossai): </w:t>
      </w:r>
      <w:r>
        <w:rPr>
          <w:rFonts w:ascii="Calibri" w:eastAsia="Calibri" w:hAnsi="Calibri" w:cs="Calibri"/>
          <w:sz w:val="24"/>
          <w:szCs w:val="24"/>
        </w:rPr>
        <w:t>integration happens at two levels — the turnstile itself and the reader — each producing its own outputs. Devices push events to TICVAI via a TCP/IP API (confirmed with a turnstile vendor during the session): anti-</w:t>
      </w:r>
      <w:proofErr w:type="spellStart"/>
      <w:r>
        <w:rPr>
          <w:rFonts w:ascii="Calibri" w:eastAsia="Calibri" w:hAnsi="Calibri" w:cs="Calibri"/>
          <w:sz w:val="24"/>
          <w:szCs w:val="24"/>
        </w:rPr>
        <w:t>passback</w:t>
      </w:r>
      <w:proofErr w:type="spellEnd"/>
      <w:r>
        <w:rPr>
          <w:rFonts w:ascii="Calibri" w:eastAsia="Calibri" w:hAnsi="Calibri" w:cs="Calibri"/>
          <w:sz w:val="24"/>
          <w:szCs w:val="24"/>
        </w:rPr>
        <w:t xml:space="preserve"> attempts, power loss, network loss, and other fault conditions are detected by the device itself and sent to TICVAI as alarms/events, rather than requiring TICVAI to poll or independently detect hardware state.</w:t>
      </w:r>
    </w:p>
    <w:p w14:paraId="3BF69AD7" w14:textId="77777777" w:rsidR="00D057FD" w:rsidRDefault="00000000">
      <w:pPr>
        <w:pStyle w:val="ListParagraph"/>
        <w:numPr>
          <w:ilvl w:val="0"/>
          <w:numId w:val="2"/>
        </w:numPr>
        <w:spacing w:after="70"/>
      </w:pPr>
      <w:r>
        <w:rPr>
          <w:rFonts w:ascii="Calibri" w:eastAsia="Calibri" w:hAnsi="Calibri" w:cs="Calibri"/>
          <w:b/>
          <w:bCs/>
          <w:sz w:val="24"/>
          <w:szCs w:val="24"/>
        </w:rPr>
        <w:t xml:space="preserve">Confirmed: </w:t>
      </w:r>
      <w:r>
        <w:rPr>
          <w:rFonts w:ascii="Calibri" w:eastAsia="Calibri" w:hAnsi="Calibri" w:cs="Calibri"/>
          <w:sz w:val="24"/>
          <w:szCs w:val="24"/>
        </w:rPr>
        <w:t>TICVAI's role is to receive these vendor-pushed events and surface them as alerts/reports (e.g., notifying the operations team automatically when a turnstile goes offline) rather than to build fault-detection logic itself.</w:t>
      </w:r>
    </w:p>
    <w:p w14:paraId="7E9EF1CF" w14:textId="77777777" w:rsidR="00D057FD" w:rsidRDefault="00000000">
      <w:pPr>
        <w:pStyle w:val="ListParagraph"/>
        <w:numPr>
          <w:ilvl w:val="0"/>
          <w:numId w:val="2"/>
        </w:numPr>
        <w:spacing w:after="70"/>
      </w:pPr>
      <w:r>
        <w:rPr>
          <w:rFonts w:ascii="Calibri" w:eastAsia="Calibri" w:hAnsi="Calibri" w:cs="Calibri"/>
          <w:sz w:val="24"/>
          <w:szCs w:val="24"/>
        </w:rPr>
        <w:t>An example of extended integration was also raised: some turnstile vendors can trigger a linked CCTV system to capture footage on an anti-</w:t>
      </w:r>
      <w:proofErr w:type="spellStart"/>
      <w:r>
        <w:rPr>
          <w:rFonts w:ascii="Calibri" w:eastAsia="Calibri" w:hAnsi="Calibri" w:cs="Calibri"/>
          <w:sz w:val="24"/>
          <w:szCs w:val="24"/>
        </w:rPr>
        <w:t>passback</w:t>
      </w:r>
      <w:proofErr w:type="spellEnd"/>
      <w:r>
        <w:rPr>
          <w:rFonts w:ascii="Calibri" w:eastAsia="Calibri" w:hAnsi="Calibri" w:cs="Calibri"/>
          <w:sz w:val="24"/>
          <w:szCs w:val="24"/>
        </w:rPr>
        <w:t xml:space="preserve"> attempt, which can then be emailed to security — the turnstile is generally treated as the primary integration point, but the reader supplies its own outputs where the turnstile alone doesn't.</w:t>
      </w:r>
    </w:p>
    <w:p w14:paraId="32AF8BE2" w14:textId="77777777" w:rsidR="00D057FD" w:rsidRDefault="00000000">
      <w:pPr>
        <w:spacing w:before="140" w:after="60"/>
      </w:pPr>
      <w:r>
        <w:rPr>
          <w:rFonts w:ascii="Calibri" w:eastAsia="Calibri" w:hAnsi="Calibri" w:cs="Calibri"/>
          <w:b/>
          <w:bCs/>
          <w:color w:val="215E99"/>
          <w:sz w:val="32"/>
          <w:szCs w:val="32"/>
        </w:rPr>
        <w:t>4.3 Access Rules — Entry/Exit, Anti-</w:t>
      </w:r>
      <w:proofErr w:type="spellStart"/>
      <w:r>
        <w:rPr>
          <w:rFonts w:ascii="Calibri" w:eastAsia="Calibri" w:hAnsi="Calibri" w:cs="Calibri"/>
          <w:b/>
          <w:bCs/>
          <w:color w:val="215E99"/>
          <w:sz w:val="32"/>
          <w:szCs w:val="32"/>
        </w:rPr>
        <w:t>Passback</w:t>
      </w:r>
      <w:proofErr w:type="spellEnd"/>
      <w:r>
        <w:rPr>
          <w:rFonts w:ascii="Calibri" w:eastAsia="Calibri" w:hAnsi="Calibri" w:cs="Calibri"/>
          <w:b/>
          <w:bCs/>
          <w:color w:val="215E99"/>
          <w:sz w:val="32"/>
          <w:szCs w:val="32"/>
        </w:rPr>
        <w:t xml:space="preserve"> &amp; Validity</w:t>
      </w:r>
    </w:p>
    <w:p w14:paraId="13963658" w14:textId="77777777" w:rsidR="00D057FD" w:rsidRDefault="00000000">
      <w:pPr>
        <w:pStyle w:val="ListParagraph"/>
        <w:numPr>
          <w:ilvl w:val="0"/>
          <w:numId w:val="2"/>
        </w:numPr>
        <w:spacing w:after="70"/>
      </w:pPr>
      <w:r>
        <w:rPr>
          <w:rFonts w:ascii="Calibri" w:eastAsia="Calibri" w:hAnsi="Calibri" w:cs="Calibri"/>
          <w:sz w:val="24"/>
          <w:szCs w:val="24"/>
        </w:rPr>
        <w:t>An access rules dashboard shows active rules, drafts, and status; rules define validity conditions (e.g., valid for a single day, a week) and are configured by an administrator based on business need.</w:t>
      </w:r>
    </w:p>
    <w:p w14:paraId="04AF8E43" w14:textId="77777777" w:rsidR="00D057FD" w:rsidRDefault="00000000">
      <w:pPr>
        <w:pStyle w:val="ListParagraph"/>
        <w:numPr>
          <w:ilvl w:val="0"/>
          <w:numId w:val="2"/>
        </w:numPr>
        <w:spacing w:after="70"/>
      </w:pPr>
      <w:r>
        <w:rPr>
          <w:rFonts w:ascii="Calibri" w:eastAsia="Calibri" w:hAnsi="Calibri" w:cs="Calibri"/>
          <w:sz w:val="24"/>
          <w:szCs w:val="24"/>
        </w:rPr>
        <w:t>Entry/exit rules cover: one entry per day vs. unlimited or limited re-entry; whether an exit scan is required, or whether exit turnstiles are left in free-rotation with headcount inferred from passage; and configurable turnstile modes (free rotation, entry, exit).</w:t>
      </w:r>
    </w:p>
    <w:p w14:paraId="5DF14DF8" w14:textId="77777777" w:rsidR="00D057FD" w:rsidRDefault="00000000">
      <w:pPr>
        <w:pStyle w:val="ListParagraph"/>
        <w:numPr>
          <w:ilvl w:val="0"/>
          <w:numId w:val="2"/>
        </w:numPr>
        <w:spacing w:after="70"/>
      </w:pPr>
      <w:r>
        <w:rPr>
          <w:rFonts w:ascii="Calibri" w:eastAsia="Calibri" w:hAnsi="Calibri" w:cs="Calibri"/>
          <w:sz w:val="24"/>
          <w:szCs w:val="24"/>
        </w:rPr>
        <w:t>Anti-</w:t>
      </w:r>
      <w:proofErr w:type="spellStart"/>
      <w:r>
        <w:rPr>
          <w:rFonts w:ascii="Calibri" w:eastAsia="Calibri" w:hAnsi="Calibri" w:cs="Calibri"/>
          <w:sz w:val="24"/>
          <w:szCs w:val="24"/>
        </w:rPr>
        <w:t>passback</w:t>
      </w:r>
      <w:proofErr w:type="spellEnd"/>
      <w:r>
        <w:rPr>
          <w:rFonts w:ascii="Calibri" w:eastAsia="Calibri" w:hAnsi="Calibri" w:cs="Calibri"/>
          <w:sz w:val="24"/>
          <w:szCs w:val="24"/>
        </w:rPr>
        <w:t xml:space="preserve"> rules prevent a scanned ticket from being scanned again within a configured time window, with an "exit-before-re-entry" option to prevent a ticket being passed back out to let another person in.</w:t>
      </w:r>
    </w:p>
    <w:p w14:paraId="0D4914B0" w14:textId="77777777" w:rsidR="00D057FD" w:rsidRDefault="00000000">
      <w:pPr>
        <w:pStyle w:val="ListParagraph"/>
        <w:numPr>
          <w:ilvl w:val="0"/>
          <w:numId w:val="2"/>
        </w:numPr>
        <w:spacing w:after="70"/>
      </w:pPr>
      <w:r>
        <w:rPr>
          <w:rFonts w:ascii="Calibri" w:eastAsia="Calibri" w:hAnsi="Calibri" w:cs="Calibri"/>
          <w:b/>
          <w:bCs/>
          <w:sz w:val="24"/>
          <w:szCs w:val="24"/>
        </w:rPr>
        <w:lastRenderedPageBreak/>
        <w:t xml:space="preserve">Discussed (edge case — scan without physical passage): </w:t>
      </w:r>
      <w:r>
        <w:rPr>
          <w:rFonts w:ascii="Calibri" w:eastAsia="Calibri" w:hAnsi="Calibri" w:cs="Calibri"/>
          <w:sz w:val="24"/>
          <w:szCs w:val="24"/>
        </w:rPr>
        <w:t>Chinmay raised the risk of a guest scanning a ticket but not physically passing through the turnstile (e.g., due to a stroller or a brief delay causing the turnstile to re-lock), then being unable to re-scan since the system already marked the ticket as used.</w:t>
      </w:r>
    </w:p>
    <w:p w14:paraId="47AB6580" w14:textId="77777777" w:rsidR="00D057FD" w:rsidRDefault="00000000">
      <w:pPr>
        <w:pStyle w:val="ListParagraph"/>
        <w:numPr>
          <w:ilvl w:val="0"/>
          <w:numId w:val="2"/>
        </w:numPr>
        <w:spacing w:after="70"/>
      </w:pPr>
      <w:r>
        <w:rPr>
          <w:rFonts w:ascii="Calibri" w:eastAsia="Calibri" w:hAnsi="Calibri" w:cs="Calibri"/>
          <w:b/>
          <w:bCs/>
          <w:sz w:val="24"/>
          <w:szCs w:val="24"/>
        </w:rPr>
        <w:t xml:space="preserve">Decision: </w:t>
      </w:r>
      <w:r>
        <w:rPr>
          <w:rFonts w:ascii="Calibri" w:eastAsia="Calibri" w:hAnsi="Calibri" w:cs="Calibri"/>
          <w:sz w:val="24"/>
          <w:szCs w:val="24"/>
        </w:rPr>
        <w:t>the system will treat a successful scan as “used” regardless of physical passage, to close off a fraud vector; genuine cases are resolved manually by security via the ticket's scan-history log rather than by loosening the used/unused rule — confirmed by both Allam and Qossai as the safer approach.</w:t>
      </w:r>
    </w:p>
    <w:p w14:paraId="1561B6DF" w14:textId="77777777" w:rsidR="00D057FD" w:rsidRDefault="00000000">
      <w:pPr>
        <w:pStyle w:val="ListParagraph"/>
        <w:numPr>
          <w:ilvl w:val="0"/>
          <w:numId w:val="2"/>
        </w:numPr>
        <w:spacing w:after="70"/>
      </w:pPr>
      <w:r>
        <w:rPr>
          <w:rFonts w:ascii="Calibri" w:eastAsia="Calibri" w:hAnsi="Calibri" w:cs="Calibri"/>
          <w:sz w:val="24"/>
          <w:szCs w:val="24"/>
        </w:rPr>
        <w:t xml:space="preserve">Validity and calendar rules define the date range a ticket is valid for, plus configurable </w:t>
      </w:r>
      <w:proofErr w:type="spellStart"/>
      <w:r>
        <w:rPr>
          <w:rFonts w:ascii="Calibri" w:eastAsia="Calibri" w:hAnsi="Calibri" w:cs="Calibri"/>
          <w:sz w:val="24"/>
          <w:szCs w:val="24"/>
        </w:rPr>
        <w:t>blockout</w:t>
      </w:r>
      <w:proofErr w:type="spellEnd"/>
      <w:r>
        <w:rPr>
          <w:rFonts w:ascii="Calibri" w:eastAsia="Calibri" w:hAnsi="Calibri" w:cs="Calibri"/>
          <w:sz w:val="24"/>
          <w:szCs w:val="24"/>
        </w:rPr>
        <w:t xml:space="preserve"> dates (e.g., certain tickets excluded from use on public holidays or special event days); an entitlement consumption engine tracks how many entries a ticket has used against its allowance and blocks further use once exhausted.</w:t>
      </w:r>
    </w:p>
    <w:p w14:paraId="60B1348B" w14:textId="77777777" w:rsidR="00D057FD" w:rsidRDefault="00000000">
      <w:pPr>
        <w:spacing w:before="140" w:after="60"/>
      </w:pPr>
      <w:r>
        <w:rPr>
          <w:rFonts w:ascii="Calibri" w:eastAsia="Calibri" w:hAnsi="Calibri" w:cs="Calibri"/>
          <w:b/>
          <w:bCs/>
          <w:color w:val="215E99"/>
          <w:sz w:val="32"/>
          <w:szCs w:val="32"/>
        </w:rPr>
        <w:t>4.4 Multi-Park Crossover, Companion Rules &amp; Group Admission</w:t>
      </w:r>
    </w:p>
    <w:p w14:paraId="0939A6CB" w14:textId="77777777" w:rsidR="00D057FD" w:rsidRDefault="00000000">
      <w:pPr>
        <w:pStyle w:val="ListParagraph"/>
        <w:numPr>
          <w:ilvl w:val="0"/>
          <w:numId w:val="2"/>
        </w:numPr>
        <w:spacing w:after="70"/>
      </w:pPr>
      <w:r>
        <w:rPr>
          <w:rFonts w:ascii="Calibri" w:eastAsia="Calibri" w:hAnsi="Calibri" w:cs="Calibri"/>
          <w:sz w:val="24"/>
          <w:szCs w:val="24"/>
        </w:rPr>
        <w:t>Multi-park crossover rules (for multi-venue/multi-tenant operators) define how many different parks a multi-day ticket can be used at, whether multiple parks can be visited in the same day or are limited to one per day, and whether usage days must be consecutive from first scan or can be used flexibly within a longer validity window.</w:t>
      </w:r>
    </w:p>
    <w:p w14:paraId="03C07B9D" w14:textId="77777777" w:rsidR="00D057FD" w:rsidRDefault="00000000">
      <w:pPr>
        <w:pStyle w:val="ListParagraph"/>
        <w:numPr>
          <w:ilvl w:val="0"/>
          <w:numId w:val="2"/>
        </w:numPr>
        <w:spacing w:after="70"/>
      </w:pPr>
      <w:r>
        <w:rPr>
          <w:rFonts w:ascii="Calibri" w:eastAsia="Calibri" w:hAnsi="Calibri" w:cs="Calibri"/>
          <w:sz w:val="24"/>
          <w:szCs w:val="24"/>
        </w:rPr>
        <w:t>Companion rules can require a dependent ticket type (e.g., a child ticket) to be accompanied by a qualifying ticket (e.g., an adult) to gain entry.</w:t>
      </w:r>
    </w:p>
    <w:p w14:paraId="0A52DC8D" w14:textId="77777777" w:rsidR="00D057FD" w:rsidRDefault="00000000">
      <w:pPr>
        <w:pStyle w:val="ListParagraph"/>
        <w:numPr>
          <w:ilvl w:val="0"/>
          <w:numId w:val="2"/>
        </w:numPr>
        <w:spacing w:after="70"/>
      </w:pPr>
      <w:r>
        <w:rPr>
          <w:rFonts w:ascii="Calibri" w:eastAsia="Calibri" w:hAnsi="Calibri" w:cs="Calibri"/>
          <w:sz w:val="24"/>
          <w:szCs w:val="24"/>
        </w:rPr>
        <w:t>Group admission supports multiple models: a single media scanned once to admit an entire counted group; a single QR code that can be scanned repeatedly (rotating admission) until the group's headcount is exhausted; or multiple individual QR codes for a group, scanned independently over time.</w:t>
      </w:r>
    </w:p>
    <w:p w14:paraId="27E3CEA3" w14:textId="77777777" w:rsidR="00D057FD" w:rsidRDefault="00000000">
      <w:pPr>
        <w:spacing w:before="140" w:after="60"/>
      </w:pPr>
      <w:r>
        <w:rPr>
          <w:rFonts w:ascii="Calibri" w:eastAsia="Calibri" w:hAnsi="Calibri" w:cs="Calibri"/>
          <w:b/>
          <w:bCs/>
          <w:color w:val="215E99"/>
          <w:sz w:val="32"/>
          <w:szCs w:val="32"/>
        </w:rPr>
        <w:t>4.5 Rule Simulation Tool</w:t>
      </w:r>
    </w:p>
    <w:p w14:paraId="697B0CA4" w14:textId="77777777" w:rsidR="00D057FD" w:rsidRDefault="00000000">
      <w:pPr>
        <w:pStyle w:val="ListParagraph"/>
        <w:numPr>
          <w:ilvl w:val="0"/>
          <w:numId w:val="2"/>
        </w:numPr>
        <w:spacing w:after="70"/>
      </w:pPr>
      <w:r>
        <w:rPr>
          <w:rFonts w:ascii="Calibri" w:eastAsia="Calibri" w:hAnsi="Calibri" w:cs="Calibri"/>
          <w:sz w:val="24"/>
          <w:szCs w:val="24"/>
        </w:rPr>
        <w:t>A simulation/test tool allows an administrator to validate a configured access rule (e.g., a ticket permitted in Zone A and B but not C or D) via a virtual scan before publishing, without needing to run a real transaction.</w:t>
      </w:r>
    </w:p>
    <w:p w14:paraId="30A0F015" w14:textId="77777777" w:rsidR="00D057FD" w:rsidRDefault="00000000">
      <w:pPr>
        <w:spacing w:before="140" w:after="60"/>
      </w:pPr>
      <w:r>
        <w:rPr>
          <w:rFonts w:ascii="Calibri" w:eastAsia="Calibri" w:hAnsi="Calibri" w:cs="Calibri"/>
          <w:b/>
          <w:bCs/>
          <w:color w:val="215E99"/>
          <w:sz w:val="32"/>
          <w:szCs w:val="32"/>
        </w:rPr>
        <w:t>4.6 Dynamic QR Code — Concept, Generation Approach &amp; Offline Requirement</w:t>
      </w:r>
    </w:p>
    <w:p w14:paraId="29271CD0" w14:textId="77777777" w:rsidR="00D057FD" w:rsidRDefault="00000000">
      <w:pPr>
        <w:pStyle w:val="ListParagraph"/>
        <w:numPr>
          <w:ilvl w:val="0"/>
          <w:numId w:val="2"/>
        </w:numPr>
        <w:spacing w:after="70"/>
      </w:pPr>
      <w:r>
        <w:rPr>
          <w:rFonts w:ascii="Calibri" w:eastAsia="Calibri" w:hAnsi="Calibri" w:cs="Calibri"/>
          <w:sz w:val="24"/>
          <w:szCs w:val="24"/>
        </w:rPr>
        <w:t>Dynamic QR codes refresh periodically (rather than remaining static) to reduce fraud/resale risk, and typically require additional hardware (beacons) at the venue in addition to turnstiles.</w:t>
      </w:r>
    </w:p>
    <w:p w14:paraId="5C892077" w14:textId="77777777" w:rsidR="00D057FD" w:rsidRDefault="00000000">
      <w:pPr>
        <w:pStyle w:val="ListParagraph"/>
        <w:numPr>
          <w:ilvl w:val="0"/>
          <w:numId w:val="2"/>
        </w:numPr>
        <w:spacing w:after="70"/>
      </w:pPr>
      <w:r>
        <w:rPr>
          <w:rFonts w:ascii="Calibri" w:eastAsia="Calibri" w:hAnsi="Calibri" w:cs="Calibri"/>
          <w:b/>
          <w:bCs/>
          <w:sz w:val="24"/>
          <w:szCs w:val="24"/>
        </w:rPr>
        <w:t xml:space="preserve">Two generation approaches discussed (Qossai): </w:t>
      </w:r>
      <w:r>
        <w:rPr>
          <w:rFonts w:ascii="Calibri" w:eastAsia="Calibri" w:hAnsi="Calibri" w:cs="Calibri"/>
          <w:sz w:val="24"/>
          <w:szCs w:val="24"/>
        </w:rPr>
        <w:t>(1) beacon-based — the QR code stays hidden until the guest's phone is detected near a gate-mounted beacon via Bluetooth, at which point the code is generated and refreshes every ~2 minutes; and (2) app-generated — the mobile app itself generates the refreshing code without beacon proximity detection. Qossai noted beacon-based is generally considered more secure, since the dynamic code isn't simply stored/derivable on the device itself.</w:t>
      </w:r>
    </w:p>
    <w:p w14:paraId="13AF6B52" w14:textId="77777777" w:rsidR="00D057FD" w:rsidRDefault="00000000">
      <w:pPr>
        <w:pStyle w:val="ListParagraph"/>
        <w:numPr>
          <w:ilvl w:val="0"/>
          <w:numId w:val="2"/>
        </w:numPr>
        <w:spacing w:after="70"/>
      </w:pPr>
      <w:r>
        <w:rPr>
          <w:rFonts w:ascii="Calibri" w:eastAsia="Calibri" w:hAnsi="Calibri" w:cs="Calibri"/>
          <w:b/>
          <w:bCs/>
          <w:sz w:val="24"/>
          <w:szCs w:val="24"/>
        </w:rPr>
        <w:t xml:space="preserve">Hard requirement raised (Qossai): </w:t>
      </w:r>
      <w:r>
        <w:rPr>
          <w:rFonts w:ascii="Calibri" w:eastAsia="Calibri" w:hAnsi="Calibri" w:cs="Calibri"/>
          <w:sz w:val="24"/>
          <w:szCs w:val="24"/>
        </w:rPr>
        <w:t xml:space="preserve">the dynamic QR code must still be able to appear and function without an active internet connection, since large, crowded events (e.g., 10,000+ </w:t>
      </w:r>
      <w:r>
        <w:rPr>
          <w:rFonts w:ascii="Calibri" w:eastAsia="Calibri" w:hAnsi="Calibri" w:cs="Calibri"/>
          <w:sz w:val="24"/>
          <w:szCs w:val="24"/>
        </w:rPr>
        <w:lastRenderedPageBreak/>
        <w:t>attendees) commonly experience severe network congestion. Whatever generation approach is chosen must work offline via Bluetooth/beacon proximity or an equivalent local mechanism.</w:t>
      </w:r>
    </w:p>
    <w:p w14:paraId="4BB4E674" w14:textId="77777777" w:rsidR="00D057FD" w:rsidRDefault="00000000">
      <w:pPr>
        <w:pStyle w:val="ListParagraph"/>
        <w:numPr>
          <w:ilvl w:val="0"/>
          <w:numId w:val="2"/>
        </w:numPr>
        <w:spacing w:after="70"/>
      </w:pPr>
      <w:r>
        <w:rPr>
          <w:rFonts w:ascii="Calibri" w:eastAsia="Calibri" w:hAnsi="Calibri" w:cs="Calibri"/>
          <w:b/>
          <w:bCs/>
          <w:sz w:val="24"/>
          <w:szCs w:val="24"/>
        </w:rPr>
        <w:t xml:space="preserve">Discussed (Chinmay): </w:t>
      </w:r>
      <w:r>
        <w:rPr>
          <w:rFonts w:ascii="Calibri" w:eastAsia="Calibri" w:hAnsi="Calibri" w:cs="Calibri"/>
          <w:sz w:val="24"/>
          <w:szCs w:val="24"/>
        </w:rPr>
        <w:t>raised GPS geofencing as a possible complementary/simpler approach, and flagged a technical limitation of Bluetooth Low Energy (BLE) beacons — a single BLE connection point generally serves one device at a time, which could complicate simultaneous detection for a queue of multiple guests. Qossai noted that in a prior real-world deployment, adjustable BLE signal range (e.g., 1–2 meters) successfully handled this by ensuring only the nearest guest's device would trigger, with the resulting QR code valid across any turnstile in that gate zone.</w:t>
      </w:r>
    </w:p>
    <w:p w14:paraId="75F9DCC9" w14:textId="77777777" w:rsidR="00D057FD" w:rsidRDefault="00000000">
      <w:pPr>
        <w:pStyle w:val="ListParagraph"/>
        <w:numPr>
          <w:ilvl w:val="0"/>
          <w:numId w:val="2"/>
        </w:numPr>
        <w:spacing w:after="70"/>
      </w:pPr>
      <w:r>
        <w:rPr>
          <w:rFonts w:ascii="Calibri" w:eastAsia="Calibri" w:hAnsi="Calibri" w:cs="Calibri"/>
          <w:b/>
          <w:bCs/>
          <w:sz w:val="24"/>
          <w:szCs w:val="24"/>
        </w:rPr>
        <w:t xml:space="preserve">Action: </w:t>
      </w:r>
      <w:r>
        <w:rPr>
          <w:rFonts w:ascii="Calibri" w:eastAsia="Calibri" w:hAnsi="Calibri" w:cs="Calibri"/>
          <w:sz w:val="24"/>
          <w:szCs w:val="24"/>
        </w:rPr>
        <w:t>Qossai to share (has already shared via WhatsApp) a scope-of-work / reference document from a prior real-world dynamic QR code deployment for the team's review.</w:t>
      </w:r>
    </w:p>
    <w:p w14:paraId="0D97F366" w14:textId="77777777" w:rsidR="00D057FD" w:rsidRDefault="00000000">
      <w:pPr>
        <w:pStyle w:val="ListParagraph"/>
        <w:numPr>
          <w:ilvl w:val="0"/>
          <w:numId w:val="2"/>
        </w:numPr>
        <w:spacing w:after="70"/>
      </w:pPr>
      <w:r>
        <w:rPr>
          <w:rFonts w:ascii="Calibri" w:eastAsia="Calibri" w:hAnsi="Calibri" w:cs="Calibri"/>
          <w:sz w:val="24"/>
          <w:szCs w:val="24"/>
        </w:rPr>
        <w:t>The QR code's payload/definition must embed identifying components (e.g., ticket ID) so that, even offline, a reader can cryptographically validate that a scanned code was genuinely generated by the TICVAI platform rather than accept or reject based on connectivity alone.</w:t>
      </w:r>
    </w:p>
    <w:p w14:paraId="19614495" w14:textId="77777777" w:rsidR="00D057FD" w:rsidRDefault="00000000">
      <w:pPr>
        <w:pStyle w:val="ListParagraph"/>
        <w:numPr>
          <w:ilvl w:val="0"/>
          <w:numId w:val="2"/>
        </w:numPr>
        <w:spacing w:after="70"/>
      </w:pPr>
      <w:r>
        <w:rPr>
          <w:rFonts w:ascii="Calibri" w:eastAsia="Calibri" w:hAnsi="Calibri" w:cs="Calibri"/>
          <w:sz w:val="24"/>
          <w:szCs w:val="24"/>
        </w:rPr>
        <w:t>Credential activation and display rules control when a dynamic QR code becomes visible (e.g., blurred until beacon proximity is detected, then activated and refreshing on a short interval, such as every 6–12 seconds) and prevent screenshot capture of the active code.</w:t>
      </w:r>
    </w:p>
    <w:p w14:paraId="4390C845" w14:textId="77777777" w:rsidR="00D057FD" w:rsidRDefault="00000000">
      <w:pPr>
        <w:spacing w:before="140" w:after="60"/>
      </w:pPr>
      <w:r>
        <w:rPr>
          <w:rFonts w:ascii="Calibri" w:eastAsia="Calibri" w:hAnsi="Calibri" w:cs="Calibri"/>
          <w:b/>
          <w:bCs/>
          <w:color w:val="215E99"/>
          <w:sz w:val="32"/>
          <w:szCs w:val="32"/>
        </w:rPr>
        <w:t>4.7 Dynamic QR Code — Business Flexibility &amp; Exceptions</w:t>
      </w:r>
    </w:p>
    <w:p w14:paraId="245FC520" w14:textId="77777777" w:rsidR="00D057FD" w:rsidRDefault="00000000">
      <w:pPr>
        <w:pStyle w:val="ListParagraph"/>
        <w:numPr>
          <w:ilvl w:val="0"/>
          <w:numId w:val="2"/>
        </w:numPr>
        <w:spacing w:after="70"/>
      </w:pPr>
      <w:r>
        <w:rPr>
          <w:rFonts w:ascii="Calibri" w:eastAsia="Calibri" w:hAnsi="Calibri" w:cs="Calibri"/>
          <w:b/>
          <w:bCs/>
          <w:sz w:val="24"/>
          <w:szCs w:val="24"/>
        </w:rPr>
        <w:t xml:space="preserve">Raised (Chinmay): </w:t>
      </w:r>
      <w:r>
        <w:rPr>
          <w:rFonts w:ascii="Calibri" w:eastAsia="Calibri" w:hAnsi="Calibri" w:cs="Calibri"/>
          <w:sz w:val="24"/>
          <w:szCs w:val="24"/>
        </w:rPr>
        <w:t>asked how physical, on-site POS-issued tickets fit into a fully dynamic-QR event, since those are generated and used same-day at the venue.</w:t>
      </w:r>
    </w:p>
    <w:p w14:paraId="091A3019" w14:textId="77777777" w:rsidR="00D057FD" w:rsidRDefault="00000000">
      <w:pPr>
        <w:pStyle w:val="ListParagraph"/>
        <w:numPr>
          <w:ilvl w:val="0"/>
          <w:numId w:val="2"/>
        </w:numPr>
        <w:spacing w:after="70"/>
      </w:pPr>
      <w:r>
        <w:rPr>
          <w:rFonts w:ascii="Calibri" w:eastAsia="Calibri" w:hAnsi="Calibri" w:cs="Calibri"/>
          <w:b/>
          <w:bCs/>
          <w:sz w:val="24"/>
          <w:szCs w:val="24"/>
        </w:rPr>
        <w:t xml:space="preserve">Clarified (Qossai/Allam): </w:t>
      </w:r>
      <w:r>
        <w:rPr>
          <w:rFonts w:ascii="Calibri" w:eastAsia="Calibri" w:hAnsi="Calibri" w:cs="Calibri"/>
          <w:sz w:val="24"/>
          <w:szCs w:val="24"/>
        </w:rPr>
        <w:t>a venue decides upfront, per event, whether it will be sold entirely via dynamic QR code or allow normal tickets — for a fully dynamic event, even POS-purchased tickets are delivered by email/SMS with instructions to download the app and link the ticket, rather than issued as a static QR code on the spot. The system must support both modes and mixed configurations, since dynamic QR is primarily valuable for high-fraud-risk, high-demand ticketed events (concerts, sports, capacity-constrained shows) rather than general admission (e.g., museums), where resale/fraud risk is minimal.</w:t>
      </w:r>
    </w:p>
    <w:p w14:paraId="4CB3EFE5" w14:textId="77777777" w:rsidR="00D057FD" w:rsidRDefault="00000000">
      <w:pPr>
        <w:pStyle w:val="ListParagraph"/>
        <w:numPr>
          <w:ilvl w:val="0"/>
          <w:numId w:val="2"/>
        </w:numPr>
        <w:spacing w:after="70"/>
      </w:pPr>
      <w:r>
        <w:rPr>
          <w:rFonts w:ascii="Calibri" w:eastAsia="Calibri" w:hAnsi="Calibri" w:cs="Calibri"/>
          <w:b/>
          <w:bCs/>
          <w:sz w:val="24"/>
          <w:szCs w:val="24"/>
        </w:rPr>
        <w:t xml:space="preserve">Flagged as an open exception (Qossai): </w:t>
      </w:r>
      <w:r>
        <w:rPr>
          <w:rFonts w:ascii="Calibri" w:eastAsia="Calibri" w:hAnsi="Calibri" w:cs="Calibri"/>
          <w:sz w:val="24"/>
          <w:szCs w:val="24"/>
        </w:rPr>
        <w:t>VIP/premium invitations (physically delivered passes) and B2B/reseller-issued tickets don't cleanly fit a fully-dynamic-QR-only policy and may need to fall back to a standard QR code or RFID card — confirmed the platform should support a per-product override to disable dynamic QR for specific ticket types as an exception, even within an otherwise fully-dynamic event.</w:t>
      </w:r>
    </w:p>
    <w:p w14:paraId="2E07029A" w14:textId="77777777" w:rsidR="00D057FD" w:rsidRDefault="00000000">
      <w:pPr>
        <w:pStyle w:val="ListParagraph"/>
        <w:numPr>
          <w:ilvl w:val="0"/>
          <w:numId w:val="2"/>
        </w:numPr>
        <w:spacing w:after="70"/>
      </w:pPr>
      <w:r>
        <w:rPr>
          <w:rFonts w:ascii="Calibri" w:eastAsia="Calibri" w:hAnsi="Calibri" w:cs="Calibri"/>
          <w:b/>
          <w:bCs/>
          <w:sz w:val="24"/>
          <w:szCs w:val="24"/>
        </w:rPr>
        <w:t xml:space="preserve">Confirmed (Pradnya's question): </w:t>
      </w:r>
      <w:r>
        <w:rPr>
          <w:rFonts w:ascii="Calibri" w:eastAsia="Calibri" w:hAnsi="Calibri" w:cs="Calibri"/>
          <w:sz w:val="24"/>
          <w:szCs w:val="24"/>
        </w:rPr>
        <w:t>any ticket purchased online for a dynamic-QR event must be linked to the mobile app to display the working code — web/desktop purchases are redirected into the app experience for activation, not exempted from it.</w:t>
      </w:r>
    </w:p>
    <w:p w14:paraId="5DFBA2B0" w14:textId="77777777" w:rsidR="00D057FD" w:rsidRDefault="00000000">
      <w:pPr>
        <w:spacing w:before="140" w:after="60"/>
      </w:pPr>
      <w:r>
        <w:rPr>
          <w:rFonts w:ascii="Calibri" w:eastAsia="Calibri" w:hAnsi="Calibri" w:cs="Calibri"/>
          <w:b/>
          <w:bCs/>
          <w:color w:val="215E99"/>
          <w:sz w:val="32"/>
          <w:szCs w:val="32"/>
        </w:rPr>
        <w:t>4.8 Device Binding, Credential Transfer &amp; Revocation</w:t>
      </w:r>
    </w:p>
    <w:p w14:paraId="199D247D" w14:textId="77777777" w:rsidR="00D057FD" w:rsidRDefault="00000000">
      <w:pPr>
        <w:pStyle w:val="ListParagraph"/>
        <w:numPr>
          <w:ilvl w:val="0"/>
          <w:numId w:val="2"/>
        </w:numPr>
        <w:spacing w:after="70"/>
      </w:pPr>
      <w:r>
        <w:rPr>
          <w:rFonts w:ascii="Calibri" w:eastAsia="Calibri" w:hAnsi="Calibri" w:cs="Calibri"/>
          <w:sz w:val="24"/>
          <w:szCs w:val="24"/>
        </w:rPr>
        <w:t xml:space="preserve">Device binding maps a digital ticket to a single approved device ID once activated in the app, preventing the same login/ticket from being actively used by multiple people </w:t>
      </w:r>
      <w:r>
        <w:rPr>
          <w:rFonts w:ascii="Calibri" w:eastAsia="Calibri" w:hAnsi="Calibri" w:cs="Calibri"/>
          <w:sz w:val="24"/>
          <w:szCs w:val="24"/>
        </w:rPr>
        <w:lastRenderedPageBreak/>
        <w:t>simultaneously on different devices; re-registering to a new device requires deactivating the prior binding.</w:t>
      </w:r>
    </w:p>
    <w:p w14:paraId="3C8D8E20" w14:textId="77777777" w:rsidR="00D057FD" w:rsidRDefault="00000000">
      <w:pPr>
        <w:pStyle w:val="ListParagraph"/>
        <w:numPr>
          <w:ilvl w:val="0"/>
          <w:numId w:val="2"/>
        </w:numPr>
        <w:spacing w:after="70"/>
      </w:pPr>
      <w:r>
        <w:rPr>
          <w:rFonts w:ascii="Calibri" w:eastAsia="Calibri" w:hAnsi="Calibri" w:cs="Calibri"/>
          <w:sz w:val="24"/>
          <w:szCs w:val="24"/>
        </w:rPr>
        <w:t>Credential transfer allows a guest who can no longer attend to formally transfer their ticket to another person's device, after which the original holder's copy is invalidated.</w:t>
      </w:r>
    </w:p>
    <w:p w14:paraId="1D923CBD" w14:textId="77777777" w:rsidR="00D057FD" w:rsidRDefault="00000000">
      <w:pPr>
        <w:pStyle w:val="ListParagraph"/>
        <w:numPr>
          <w:ilvl w:val="0"/>
          <w:numId w:val="2"/>
        </w:numPr>
        <w:spacing w:after="70"/>
      </w:pPr>
      <w:r>
        <w:rPr>
          <w:rFonts w:ascii="Calibri" w:eastAsia="Calibri" w:hAnsi="Calibri" w:cs="Calibri"/>
          <w:sz w:val="24"/>
          <w:szCs w:val="24"/>
        </w:rPr>
        <w:t>Credential revocation automatically invalidates the prior ticket/credential whenever a refund, exchange, or reissue occurs.</w:t>
      </w:r>
    </w:p>
    <w:p w14:paraId="0E30F3B5" w14:textId="77777777" w:rsidR="00D057FD" w:rsidRDefault="00000000">
      <w:pPr>
        <w:pStyle w:val="ListParagraph"/>
        <w:numPr>
          <w:ilvl w:val="0"/>
          <w:numId w:val="2"/>
        </w:numPr>
        <w:spacing w:after="70"/>
      </w:pPr>
      <w:r>
        <w:rPr>
          <w:rFonts w:ascii="Calibri" w:eastAsia="Calibri" w:hAnsi="Calibri" w:cs="Calibri"/>
          <w:sz w:val="24"/>
          <w:szCs w:val="24"/>
        </w:rPr>
        <w:t>Offline cryptographic validation (recap) allows gates to validate a QR code's authenticity locally when connectivity is down, synchronizing with the central system once back online.</w:t>
      </w:r>
    </w:p>
    <w:p w14:paraId="07022074" w14:textId="77777777" w:rsidR="00D057FD" w:rsidRDefault="00000000">
      <w:pPr>
        <w:spacing w:before="140" w:after="60"/>
      </w:pPr>
      <w:r>
        <w:rPr>
          <w:rFonts w:ascii="Calibri" w:eastAsia="Calibri" w:hAnsi="Calibri" w:cs="Calibri"/>
          <w:b/>
          <w:bCs/>
          <w:color w:val="215E99"/>
          <w:sz w:val="32"/>
          <w:szCs w:val="32"/>
        </w:rPr>
        <w:t>4.9 Media &amp; Credential Configuration</w:t>
      </w:r>
    </w:p>
    <w:p w14:paraId="77A3B05E" w14:textId="77777777" w:rsidR="00D057FD" w:rsidRDefault="00000000">
      <w:pPr>
        <w:pStyle w:val="ListParagraph"/>
        <w:numPr>
          <w:ilvl w:val="0"/>
          <w:numId w:val="2"/>
        </w:numPr>
        <w:spacing w:after="70"/>
      </w:pPr>
      <w:r>
        <w:rPr>
          <w:rFonts w:ascii="Calibri" w:eastAsia="Calibri" w:hAnsi="Calibri" w:cs="Calibri"/>
          <w:sz w:val="24"/>
          <w:szCs w:val="24"/>
        </w:rPr>
        <w:t>A media-types board defines all supported credential types (QR code, RFID, NFC, facial/biometric, etc.) and how each is supported and associated with a ticket — a ticket can carry a single media type or multiple in parallel.</w:t>
      </w:r>
    </w:p>
    <w:p w14:paraId="5DB2091F" w14:textId="77777777" w:rsidR="00D057FD" w:rsidRDefault="00000000">
      <w:pPr>
        <w:pStyle w:val="ListParagraph"/>
        <w:numPr>
          <w:ilvl w:val="0"/>
          <w:numId w:val="2"/>
        </w:numPr>
        <w:spacing w:after="70"/>
      </w:pPr>
      <w:r>
        <w:rPr>
          <w:rFonts w:ascii="Calibri" w:eastAsia="Calibri" w:hAnsi="Calibri" w:cs="Calibri"/>
          <w:sz w:val="24"/>
          <w:szCs w:val="24"/>
        </w:rPr>
        <w:t>Verification method configuration defines how a given ticket is validated at the gate (QR scan, facial match, RFID read); media issuance/encoding profile configuration defines what unique information is embedded in the credential (recapping the QR code definition/components discussed in 4.6).</w:t>
      </w:r>
    </w:p>
    <w:p w14:paraId="1214D796" w14:textId="77777777" w:rsidR="00D057FD" w:rsidRDefault="00000000">
      <w:pPr>
        <w:pStyle w:val="ListParagraph"/>
        <w:numPr>
          <w:ilvl w:val="0"/>
          <w:numId w:val="2"/>
        </w:numPr>
        <w:spacing w:after="70"/>
      </w:pPr>
      <w:r>
        <w:rPr>
          <w:rFonts w:ascii="Calibri" w:eastAsia="Calibri" w:hAnsi="Calibri" w:cs="Calibri"/>
          <w:b/>
          <w:bCs/>
          <w:sz w:val="24"/>
          <w:szCs w:val="24"/>
        </w:rPr>
        <w:t xml:space="preserve">Media swap: </w:t>
      </w:r>
      <w:r>
        <w:rPr>
          <w:rFonts w:ascii="Calibri" w:eastAsia="Calibri" w:hAnsi="Calibri" w:cs="Calibri"/>
          <w:sz w:val="24"/>
          <w:szCs w:val="24"/>
        </w:rPr>
        <w:t>a zero-value transaction that converts a purchased ticket's media from one form to another on-site (e.g., scanning an online QR code at a kiosk to issue a physical wristband instead).</w:t>
      </w:r>
    </w:p>
    <w:p w14:paraId="449F497E" w14:textId="77777777" w:rsidR="00D057FD" w:rsidRDefault="00000000">
      <w:pPr>
        <w:pStyle w:val="ListParagraph"/>
        <w:numPr>
          <w:ilvl w:val="0"/>
          <w:numId w:val="2"/>
        </w:numPr>
        <w:spacing w:after="70"/>
      </w:pPr>
      <w:r>
        <w:rPr>
          <w:rFonts w:ascii="Calibri" w:eastAsia="Calibri" w:hAnsi="Calibri" w:cs="Calibri"/>
          <w:b/>
          <w:bCs/>
          <w:sz w:val="24"/>
          <w:szCs w:val="24"/>
        </w:rPr>
        <w:t xml:space="preserve">External partner ticket support: </w:t>
      </w:r>
      <w:r>
        <w:rPr>
          <w:rFonts w:ascii="Calibri" w:eastAsia="Calibri" w:hAnsi="Calibri" w:cs="Calibri"/>
          <w:sz w:val="24"/>
          <w:szCs w:val="24"/>
        </w:rPr>
        <w:t>the system must be able to import and validate tickets issued by an approved reseller/partner platform through access control, even though those tickets originate outside TICVAI's own sales flow.</w:t>
      </w:r>
    </w:p>
    <w:p w14:paraId="2DD342DD" w14:textId="77777777" w:rsidR="00D057FD" w:rsidRDefault="00000000">
      <w:pPr>
        <w:pStyle w:val="ListParagraph"/>
        <w:numPr>
          <w:ilvl w:val="0"/>
          <w:numId w:val="2"/>
        </w:numPr>
        <w:spacing w:after="70"/>
      </w:pPr>
      <w:r>
        <w:rPr>
          <w:rFonts w:ascii="Calibri" w:eastAsia="Calibri" w:hAnsi="Calibri" w:cs="Calibri"/>
          <w:b/>
          <w:bCs/>
          <w:sz w:val="24"/>
          <w:szCs w:val="24"/>
        </w:rPr>
        <w:t xml:space="preserve">Hotel/PMS integration (recap): </w:t>
      </w:r>
      <w:r>
        <w:rPr>
          <w:rFonts w:ascii="Calibri" w:eastAsia="Calibri" w:hAnsi="Calibri" w:cs="Calibri"/>
          <w:sz w:val="24"/>
          <w:szCs w:val="24"/>
        </w:rPr>
        <w:t>guests staying at an affiliated hotel can be issued a zero-value ticket/wristband after a room-number lookup and identity verification, or can charge on-site purchases (e.g., an activity) directly to their room via the same lookup — requiring integration with a property management system such as Opera, including vendor-provided certification of the integration.</w:t>
      </w:r>
    </w:p>
    <w:p w14:paraId="1CB8D4D4" w14:textId="77777777" w:rsidR="00D057FD" w:rsidRDefault="00000000">
      <w:pPr>
        <w:pStyle w:val="ListParagraph"/>
        <w:numPr>
          <w:ilvl w:val="0"/>
          <w:numId w:val="2"/>
        </w:numPr>
        <w:spacing w:after="70"/>
      </w:pPr>
      <w:r>
        <w:rPr>
          <w:rFonts w:ascii="Calibri" w:eastAsia="Calibri" w:hAnsi="Calibri" w:cs="Calibri"/>
          <w:sz w:val="24"/>
          <w:szCs w:val="24"/>
        </w:rPr>
        <w:t>A media compatibility testing capability validates that each supported media type works correctly at each gate/device before go-live.</w:t>
      </w:r>
    </w:p>
    <w:p w14:paraId="79C999DC" w14:textId="77777777" w:rsidR="00D057FD" w:rsidRDefault="00000000">
      <w:pPr>
        <w:spacing w:before="140" w:after="60"/>
      </w:pPr>
      <w:r>
        <w:rPr>
          <w:rFonts w:ascii="Calibri" w:eastAsia="Calibri" w:hAnsi="Calibri" w:cs="Calibri"/>
          <w:b/>
          <w:bCs/>
          <w:color w:val="215E99"/>
          <w:sz w:val="32"/>
          <w:szCs w:val="32"/>
        </w:rPr>
        <w:t xml:space="preserve">4.10 Facial Recognition — Face Pass, Face Tag &amp; </w:t>
      </w:r>
      <w:proofErr w:type="spellStart"/>
      <w:r>
        <w:rPr>
          <w:rFonts w:ascii="Calibri" w:eastAsia="Calibri" w:hAnsi="Calibri" w:cs="Calibri"/>
          <w:b/>
          <w:bCs/>
          <w:color w:val="215E99"/>
          <w:sz w:val="32"/>
          <w:szCs w:val="32"/>
        </w:rPr>
        <w:t>Enrollment</w:t>
      </w:r>
      <w:proofErr w:type="spellEnd"/>
    </w:p>
    <w:p w14:paraId="46208CC0" w14:textId="77777777" w:rsidR="00D057FD" w:rsidRDefault="00000000">
      <w:pPr>
        <w:pStyle w:val="ListParagraph"/>
        <w:numPr>
          <w:ilvl w:val="0"/>
          <w:numId w:val="2"/>
        </w:numPr>
        <w:spacing w:after="70"/>
      </w:pPr>
      <w:r>
        <w:rPr>
          <w:rFonts w:ascii="Calibri" w:eastAsia="Calibri" w:hAnsi="Calibri" w:cs="Calibri"/>
          <w:b/>
          <w:bCs/>
          <w:sz w:val="24"/>
          <w:szCs w:val="24"/>
        </w:rPr>
        <w:t xml:space="preserve">Two facial-recognition credential types confirmed: </w:t>
      </w:r>
      <w:r>
        <w:rPr>
          <w:rFonts w:ascii="Calibri" w:eastAsia="Calibri" w:hAnsi="Calibri" w:cs="Calibri"/>
          <w:sz w:val="24"/>
          <w:szCs w:val="24"/>
        </w:rPr>
        <w:t xml:space="preserve">“Face Pass” — a permanent-style </w:t>
      </w:r>
      <w:proofErr w:type="spellStart"/>
      <w:r>
        <w:rPr>
          <w:rFonts w:ascii="Calibri" w:eastAsia="Calibri" w:hAnsi="Calibri" w:cs="Calibri"/>
          <w:sz w:val="24"/>
          <w:szCs w:val="24"/>
        </w:rPr>
        <w:t>enrollment</w:t>
      </w:r>
      <w:proofErr w:type="spellEnd"/>
      <w:r>
        <w:rPr>
          <w:rFonts w:ascii="Calibri" w:eastAsia="Calibri" w:hAnsi="Calibri" w:cs="Calibri"/>
          <w:sz w:val="24"/>
          <w:szCs w:val="24"/>
        </w:rPr>
        <w:t xml:space="preserve"> typically used for memberships/season passes, retained long-term and renewable; and “Face Tag” — a short-lived </w:t>
      </w:r>
      <w:proofErr w:type="spellStart"/>
      <w:r>
        <w:rPr>
          <w:rFonts w:ascii="Calibri" w:eastAsia="Calibri" w:hAnsi="Calibri" w:cs="Calibri"/>
          <w:sz w:val="24"/>
          <w:szCs w:val="24"/>
        </w:rPr>
        <w:t>enrollment</w:t>
      </w:r>
      <w:proofErr w:type="spellEnd"/>
      <w:r>
        <w:rPr>
          <w:rFonts w:ascii="Calibri" w:eastAsia="Calibri" w:hAnsi="Calibri" w:cs="Calibri"/>
          <w:sz w:val="24"/>
          <w:szCs w:val="24"/>
        </w:rPr>
        <w:t xml:space="preserve"> for a single-day or single-event ticket, not intended for long-term retention.</w:t>
      </w:r>
    </w:p>
    <w:p w14:paraId="69C47717" w14:textId="77777777" w:rsidR="00D057FD" w:rsidRDefault="00000000">
      <w:pPr>
        <w:pStyle w:val="ListParagraph"/>
        <w:numPr>
          <w:ilvl w:val="0"/>
          <w:numId w:val="2"/>
        </w:numPr>
        <w:spacing w:after="70"/>
      </w:pPr>
      <w:proofErr w:type="spellStart"/>
      <w:r>
        <w:rPr>
          <w:rFonts w:ascii="Calibri" w:eastAsia="Calibri" w:hAnsi="Calibri" w:cs="Calibri"/>
          <w:sz w:val="24"/>
          <w:szCs w:val="24"/>
        </w:rPr>
        <w:t>Enrollment</w:t>
      </w:r>
      <w:proofErr w:type="spellEnd"/>
      <w:r>
        <w:rPr>
          <w:rFonts w:ascii="Calibri" w:eastAsia="Calibri" w:hAnsi="Calibri" w:cs="Calibri"/>
          <w:sz w:val="24"/>
          <w:szCs w:val="24"/>
        </w:rPr>
        <w:t xml:space="preserve"> can happen through multiple channels: the mobile app, the website, at the point of sale, via a self-service kiosk, or directly at the turnstile itself (scan the ticket, then look at the reader to </w:t>
      </w:r>
      <w:proofErr w:type="spellStart"/>
      <w:r>
        <w:rPr>
          <w:rFonts w:ascii="Calibri" w:eastAsia="Calibri" w:hAnsi="Calibri" w:cs="Calibri"/>
          <w:sz w:val="24"/>
          <w:szCs w:val="24"/>
        </w:rPr>
        <w:t>enroll</w:t>
      </w:r>
      <w:proofErr w:type="spellEnd"/>
      <w:r>
        <w:rPr>
          <w:rFonts w:ascii="Calibri" w:eastAsia="Calibri" w:hAnsi="Calibri" w:cs="Calibri"/>
          <w:sz w:val="24"/>
          <w:szCs w:val="24"/>
        </w:rPr>
        <w:t xml:space="preserve"> on first use) — covering guests who purchased through a channel without built-in </w:t>
      </w:r>
      <w:proofErr w:type="spellStart"/>
      <w:r>
        <w:rPr>
          <w:rFonts w:ascii="Calibri" w:eastAsia="Calibri" w:hAnsi="Calibri" w:cs="Calibri"/>
          <w:sz w:val="24"/>
          <w:szCs w:val="24"/>
        </w:rPr>
        <w:t>enrollment</w:t>
      </w:r>
      <w:proofErr w:type="spellEnd"/>
      <w:r>
        <w:rPr>
          <w:rFonts w:ascii="Calibri" w:eastAsia="Calibri" w:hAnsi="Calibri" w:cs="Calibri"/>
          <w:sz w:val="24"/>
          <w:szCs w:val="24"/>
        </w:rPr>
        <w:t xml:space="preserve"> (e.g., a B2B/reseller ticket).</w:t>
      </w:r>
    </w:p>
    <w:p w14:paraId="3119A94A" w14:textId="77777777" w:rsidR="00D057FD" w:rsidRDefault="00000000">
      <w:pPr>
        <w:pStyle w:val="ListParagraph"/>
        <w:numPr>
          <w:ilvl w:val="0"/>
          <w:numId w:val="2"/>
        </w:numPr>
        <w:spacing w:after="70"/>
      </w:pPr>
      <w:r>
        <w:rPr>
          <w:rFonts w:ascii="Calibri" w:eastAsia="Calibri" w:hAnsi="Calibri" w:cs="Calibri"/>
          <w:sz w:val="24"/>
          <w:szCs w:val="24"/>
        </w:rPr>
        <w:t>Re-</w:t>
      </w:r>
      <w:proofErr w:type="spellStart"/>
      <w:r>
        <w:rPr>
          <w:rFonts w:ascii="Calibri" w:eastAsia="Calibri" w:hAnsi="Calibri" w:cs="Calibri"/>
          <w:sz w:val="24"/>
          <w:szCs w:val="24"/>
        </w:rPr>
        <w:t>enrollment</w:t>
      </w:r>
      <w:proofErr w:type="spellEnd"/>
      <w:r>
        <w:rPr>
          <w:rFonts w:ascii="Calibri" w:eastAsia="Calibri" w:hAnsi="Calibri" w:cs="Calibri"/>
          <w:sz w:val="24"/>
          <w:szCs w:val="24"/>
        </w:rPr>
        <w:t>/replacement and fallback-to-alternate-media (e.g., QR/RFID) are both supported if facial recognition fails to read at the gate.</w:t>
      </w:r>
    </w:p>
    <w:p w14:paraId="40803FFE" w14:textId="77777777" w:rsidR="00D057FD" w:rsidRDefault="00000000">
      <w:pPr>
        <w:spacing w:before="140" w:after="60"/>
      </w:pPr>
      <w:r>
        <w:rPr>
          <w:rFonts w:ascii="Calibri" w:eastAsia="Calibri" w:hAnsi="Calibri" w:cs="Calibri"/>
          <w:b/>
          <w:bCs/>
          <w:color w:val="215E99"/>
          <w:sz w:val="32"/>
          <w:szCs w:val="32"/>
        </w:rPr>
        <w:lastRenderedPageBreak/>
        <w:t>4.11 Privacy &amp; Biometric Data Retention</w:t>
      </w:r>
    </w:p>
    <w:p w14:paraId="1323D163" w14:textId="77777777" w:rsidR="00D057FD" w:rsidRDefault="00000000">
      <w:pPr>
        <w:pStyle w:val="ListParagraph"/>
        <w:numPr>
          <w:ilvl w:val="0"/>
          <w:numId w:val="2"/>
        </w:numPr>
        <w:spacing w:after="70"/>
      </w:pPr>
      <w:r>
        <w:rPr>
          <w:rFonts w:ascii="Calibri" w:eastAsia="Calibri" w:hAnsi="Calibri" w:cs="Calibri"/>
          <w:b/>
          <w:bCs/>
          <w:sz w:val="24"/>
          <w:szCs w:val="24"/>
        </w:rPr>
        <w:t xml:space="preserve">Raised (Chinmay): </w:t>
      </w:r>
      <w:r>
        <w:rPr>
          <w:rFonts w:ascii="Calibri" w:eastAsia="Calibri" w:hAnsi="Calibri" w:cs="Calibri"/>
          <w:sz w:val="24"/>
          <w:szCs w:val="24"/>
        </w:rPr>
        <w:t>asked specifically about data-retention policy for facial recognition and other guest data — how long different data types should be kept, and any regional requirements.</w:t>
      </w:r>
    </w:p>
    <w:p w14:paraId="60247BD5" w14:textId="77777777" w:rsidR="00D057FD" w:rsidRDefault="00000000">
      <w:pPr>
        <w:pStyle w:val="ListParagraph"/>
        <w:numPr>
          <w:ilvl w:val="0"/>
          <w:numId w:val="2"/>
        </w:numPr>
        <w:spacing w:after="70"/>
      </w:pPr>
      <w:r>
        <w:rPr>
          <w:rFonts w:ascii="Calibri" w:eastAsia="Calibri" w:hAnsi="Calibri" w:cs="Calibri"/>
          <w:b/>
          <w:bCs/>
          <w:sz w:val="24"/>
          <w:szCs w:val="24"/>
        </w:rPr>
        <w:t xml:space="preserve">Clarified (Allam): </w:t>
      </w:r>
      <w:r>
        <w:rPr>
          <w:rFonts w:ascii="Calibri" w:eastAsia="Calibri" w:hAnsi="Calibri" w:cs="Calibri"/>
          <w:sz w:val="24"/>
          <w:szCs w:val="24"/>
        </w:rPr>
        <w:t>retention is business/venue-configurable rather than fixed by the platform; short-lived Face Tag data does not need retention beyond the visit, while Face Pass data tied to a membership/season pass needs to persist across renewal cycles.</w:t>
      </w:r>
    </w:p>
    <w:p w14:paraId="72AF9569" w14:textId="77777777" w:rsidR="00D057FD" w:rsidRDefault="00000000">
      <w:pPr>
        <w:pStyle w:val="ListParagraph"/>
        <w:numPr>
          <w:ilvl w:val="0"/>
          <w:numId w:val="2"/>
        </w:numPr>
        <w:spacing w:after="70"/>
      </w:pPr>
      <w:r>
        <w:rPr>
          <w:rFonts w:ascii="Calibri" w:eastAsia="Calibri" w:hAnsi="Calibri" w:cs="Calibri"/>
          <w:b/>
          <w:bCs/>
          <w:sz w:val="24"/>
          <w:szCs w:val="24"/>
        </w:rPr>
        <w:t xml:space="preserve">Action (Qossai): </w:t>
      </w:r>
      <w:r>
        <w:rPr>
          <w:rFonts w:ascii="Calibri" w:eastAsia="Calibri" w:hAnsi="Calibri" w:cs="Calibri"/>
          <w:sz w:val="24"/>
          <w:szCs w:val="24"/>
        </w:rPr>
        <w:t>recommended the team review the live consumer app and published privacy policy of an existing major venue-group client as a real-world reference for how facial-recognition consent, data use, and retention are explained to guests — to be used as a model for TICVAI's own privacy/consent design.</w:t>
      </w:r>
    </w:p>
    <w:p w14:paraId="5503C0B9" w14:textId="77777777" w:rsidR="00D057FD" w:rsidRDefault="00000000">
      <w:pPr>
        <w:pStyle w:val="ListParagraph"/>
        <w:numPr>
          <w:ilvl w:val="0"/>
          <w:numId w:val="2"/>
        </w:numPr>
        <w:spacing w:after="70"/>
      </w:pPr>
      <w:r>
        <w:rPr>
          <w:rFonts w:ascii="Calibri" w:eastAsia="Calibri" w:hAnsi="Calibri" w:cs="Calibri"/>
          <w:sz w:val="24"/>
          <w:szCs w:val="24"/>
        </w:rPr>
        <w:t>Broader context shared (Qossai): facial recognition adoption is expected to keep growing industry-wide as a convenience-driven guest experience improvement, reinforcing the importance of building it securely and transparently from the outset.</w:t>
      </w:r>
    </w:p>
    <w:p w14:paraId="0C05627C" w14:textId="77777777" w:rsidR="00D057FD" w:rsidRDefault="00000000">
      <w:pPr>
        <w:spacing w:before="140" w:after="60"/>
      </w:pPr>
      <w:r>
        <w:rPr>
          <w:rFonts w:ascii="Calibri" w:eastAsia="Calibri" w:hAnsi="Calibri" w:cs="Calibri"/>
          <w:b/>
          <w:bCs/>
          <w:color w:val="215E99"/>
          <w:sz w:val="32"/>
          <w:szCs w:val="32"/>
        </w:rPr>
        <w:t>4.12 Media as a Payment Method</w:t>
      </w:r>
    </w:p>
    <w:p w14:paraId="459FEA64" w14:textId="77777777" w:rsidR="00D057FD" w:rsidRDefault="00000000">
      <w:pPr>
        <w:pStyle w:val="ListParagraph"/>
        <w:numPr>
          <w:ilvl w:val="0"/>
          <w:numId w:val="2"/>
        </w:numPr>
        <w:spacing w:after="70"/>
      </w:pPr>
      <w:r>
        <w:rPr>
          <w:rFonts w:ascii="Calibri" w:eastAsia="Calibri" w:hAnsi="Calibri" w:cs="Calibri"/>
          <w:sz w:val="24"/>
          <w:szCs w:val="24"/>
        </w:rPr>
        <w:t xml:space="preserve">Beyond admission, the same media (wristband or enrolled face) can function as a stored-value payment method — e.g., </w:t>
      </w:r>
      <w:proofErr w:type="gramStart"/>
      <w:r>
        <w:rPr>
          <w:rFonts w:ascii="Calibri" w:eastAsia="Calibri" w:hAnsi="Calibri" w:cs="Calibri"/>
          <w:sz w:val="24"/>
          <w:szCs w:val="24"/>
        </w:rPr>
        <w:t>a guest loads funds</w:t>
      </w:r>
      <w:proofErr w:type="gramEnd"/>
      <w:r>
        <w:rPr>
          <w:rFonts w:ascii="Calibri" w:eastAsia="Calibri" w:hAnsi="Calibri" w:cs="Calibri"/>
          <w:sz w:val="24"/>
          <w:szCs w:val="24"/>
        </w:rPr>
        <w:t xml:space="preserve"> onto a wristband or their profile and pays for food, beverage, or retail by presenting the same credential, with balance checked and deducted automatically at the point of sale; top-up can similarly be completed via the same credential.</w:t>
      </w:r>
    </w:p>
    <w:p w14:paraId="22EFD2C6" w14:textId="77777777" w:rsidR="00D057FD" w:rsidRDefault="00000000">
      <w:pPr>
        <w:spacing w:before="140" w:after="60"/>
      </w:pPr>
      <w:r>
        <w:rPr>
          <w:rFonts w:ascii="Calibri" w:eastAsia="Calibri" w:hAnsi="Calibri" w:cs="Calibri"/>
          <w:b/>
          <w:bCs/>
          <w:color w:val="215E99"/>
          <w:sz w:val="32"/>
          <w:szCs w:val="32"/>
        </w:rPr>
        <w:t>4.13 Turnstile Hardware &amp; Handheld Scanner Configuration</w:t>
      </w:r>
    </w:p>
    <w:p w14:paraId="6575C49A" w14:textId="77777777" w:rsidR="00D057FD" w:rsidRDefault="00000000">
      <w:pPr>
        <w:pStyle w:val="ListParagraph"/>
        <w:numPr>
          <w:ilvl w:val="0"/>
          <w:numId w:val="2"/>
        </w:numPr>
        <w:spacing w:after="70"/>
      </w:pPr>
      <w:r>
        <w:rPr>
          <w:rFonts w:ascii="Calibri" w:eastAsia="Calibri" w:hAnsi="Calibri" w:cs="Calibri"/>
          <w:sz w:val="24"/>
          <w:szCs w:val="24"/>
        </w:rPr>
        <w:t>Turnstile hardware configuration covers device connection details (e.g., IP address) plus supported light and sound feedback — for example, showing a green light for an adult ticket scan versus orange for a child ticket, giving on-site staff a quick visual fraud check if an adult attempts to use a child ticket. Some turnstile models also support audio (including celebratory sounds, e.g., for a birthday visit).</w:t>
      </w:r>
    </w:p>
    <w:p w14:paraId="72043D81" w14:textId="77777777" w:rsidR="00D057FD" w:rsidRDefault="00000000">
      <w:pPr>
        <w:pStyle w:val="ListParagraph"/>
        <w:numPr>
          <w:ilvl w:val="0"/>
          <w:numId w:val="2"/>
        </w:numPr>
        <w:spacing w:after="70"/>
      </w:pPr>
      <w:r>
        <w:rPr>
          <w:rFonts w:ascii="Calibri" w:eastAsia="Calibri" w:hAnsi="Calibri" w:cs="Calibri"/>
          <w:sz w:val="24"/>
          <w:szCs w:val="24"/>
        </w:rPr>
        <w:t>Guest feedback/messaging design allows a custom welcome message and venue branding/logo to display on the reader on a successful scan.</w:t>
      </w:r>
    </w:p>
    <w:p w14:paraId="27B87DD8" w14:textId="77777777" w:rsidR="00D057FD" w:rsidRDefault="00000000">
      <w:pPr>
        <w:pStyle w:val="ListParagraph"/>
        <w:numPr>
          <w:ilvl w:val="0"/>
          <w:numId w:val="2"/>
        </w:numPr>
        <w:spacing w:after="70"/>
      </w:pPr>
      <w:r>
        <w:rPr>
          <w:rFonts w:ascii="Calibri" w:eastAsia="Calibri" w:hAnsi="Calibri" w:cs="Calibri"/>
          <w:sz w:val="24"/>
          <w:szCs w:val="24"/>
        </w:rPr>
        <w:t>Handheld scanner configuration covers standalone scanning devices that can read QR, RFID, or other supported media, alongside the broader software configuration and compatibility testing/deployment process for all access devices.</w:t>
      </w:r>
    </w:p>
    <w:p w14:paraId="6BC0843C" w14:textId="77777777" w:rsidR="00D057FD" w:rsidRDefault="00000000">
      <w:pPr>
        <w:spacing w:before="140" w:after="60"/>
      </w:pPr>
      <w:r>
        <w:rPr>
          <w:rFonts w:ascii="Calibri" w:eastAsia="Calibri" w:hAnsi="Calibri" w:cs="Calibri"/>
          <w:b/>
          <w:bCs/>
          <w:color w:val="215E99"/>
          <w:sz w:val="32"/>
          <w:szCs w:val="32"/>
        </w:rPr>
        <w:t>4.14 Offline Mode &amp; Synchronization</w:t>
      </w:r>
    </w:p>
    <w:p w14:paraId="539DD78C" w14:textId="77777777" w:rsidR="00D057FD" w:rsidRDefault="00000000">
      <w:pPr>
        <w:pStyle w:val="ListParagraph"/>
        <w:numPr>
          <w:ilvl w:val="0"/>
          <w:numId w:val="2"/>
        </w:numPr>
        <w:spacing w:after="70"/>
      </w:pPr>
      <w:r>
        <w:rPr>
          <w:rFonts w:ascii="Calibri" w:eastAsia="Calibri" w:hAnsi="Calibri" w:cs="Calibri"/>
          <w:sz w:val="24"/>
          <w:szCs w:val="24"/>
        </w:rPr>
        <w:t>When a device loses connectivity, it continues to validate tickets locally against the components embedded in the credential (recapping 4.6/4.8), queues the resulting transactions, and automatically synchronizes them back to the central access control system once connectivity is restored.</w:t>
      </w:r>
    </w:p>
    <w:p w14:paraId="69630979" w14:textId="77777777" w:rsidR="00D057FD" w:rsidRDefault="00000000">
      <w:pPr>
        <w:spacing w:before="140" w:after="60"/>
      </w:pPr>
      <w:r>
        <w:rPr>
          <w:rFonts w:ascii="Calibri" w:eastAsia="Calibri" w:hAnsi="Calibri" w:cs="Calibri"/>
          <w:b/>
          <w:bCs/>
          <w:color w:val="215E99"/>
          <w:sz w:val="32"/>
          <w:szCs w:val="32"/>
        </w:rPr>
        <w:t>4.15 Guest Journey, Group/B2B Profiles &amp; Live Operations Dashboard</w:t>
      </w:r>
    </w:p>
    <w:p w14:paraId="176F4B37" w14:textId="77777777" w:rsidR="00D057FD" w:rsidRDefault="00000000">
      <w:pPr>
        <w:pStyle w:val="ListParagraph"/>
        <w:numPr>
          <w:ilvl w:val="0"/>
          <w:numId w:val="2"/>
        </w:numPr>
        <w:spacing w:after="70"/>
      </w:pPr>
      <w:r>
        <w:rPr>
          <w:rFonts w:ascii="Calibri" w:eastAsia="Calibri" w:hAnsi="Calibri" w:cs="Calibri"/>
          <w:sz w:val="24"/>
          <w:szCs w:val="24"/>
        </w:rPr>
        <w:lastRenderedPageBreak/>
        <w:t>A group/B2B admission profile view shows entry statistics by category — general admission, group admission, re-entry, and crossover — along with attendance breakdowns for schools and other group bookings based on scanned tickets.</w:t>
      </w:r>
    </w:p>
    <w:p w14:paraId="23A531CF" w14:textId="77777777" w:rsidR="00D057FD" w:rsidRDefault="00000000">
      <w:pPr>
        <w:pStyle w:val="ListParagraph"/>
        <w:numPr>
          <w:ilvl w:val="0"/>
          <w:numId w:val="2"/>
        </w:numPr>
        <w:spacing w:after="70"/>
      </w:pPr>
      <w:r>
        <w:rPr>
          <w:rFonts w:ascii="Calibri" w:eastAsia="Calibri" w:hAnsi="Calibri" w:cs="Calibri"/>
          <w:sz w:val="24"/>
          <w:szCs w:val="24"/>
        </w:rPr>
        <w:t>The live operations dashboard shows real-time attendance by venue and by gate, including each gate's online/offline status and entry count. Turnstile mode (entry vs. exit) can be reconfigured through the day — e.g., more gates set to entry in the morning, shifted toward exit in the evening as visitors leave.</w:t>
      </w:r>
    </w:p>
    <w:p w14:paraId="137487DA" w14:textId="77777777" w:rsidR="00D057FD" w:rsidRDefault="00000000">
      <w:pPr>
        <w:spacing w:before="140" w:after="60"/>
      </w:pPr>
      <w:r>
        <w:rPr>
          <w:rFonts w:ascii="Calibri" w:eastAsia="Calibri" w:hAnsi="Calibri" w:cs="Calibri"/>
          <w:b/>
          <w:bCs/>
          <w:color w:val="215E99"/>
          <w:sz w:val="32"/>
          <w:szCs w:val="32"/>
        </w:rPr>
        <w:t>4.16 Ticket Lookup, Manual Override, Attribute-Based Access Control &amp; Fraud Detection</w:t>
      </w:r>
    </w:p>
    <w:p w14:paraId="788C6BC4" w14:textId="77777777" w:rsidR="00D057FD" w:rsidRDefault="00000000">
      <w:pPr>
        <w:pStyle w:val="ListParagraph"/>
        <w:numPr>
          <w:ilvl w:val="0"/>
          <w:numId w:val="2"/>
        </w:numPr>
        <w:spacing w:after="70"/>
      </w:pPr>
      <w:r>
        <w:rPr>
          <w:rFonts w:ascii="Calibri" w:eastAsia="Calibri" w:hAnsi="Calibri" w:cs="Calibri"/>
          <w:sz w:val="24"/>
          <w:szCs w:val="24"/>
        </w:rPr>
        <w:t>A ticket/credential lookup view shows the complete scan history for any ticket — purchaser, gate, and timestamp for every scan attempt — supporting investigation of disputed or suspicious usage.</w:t>
      </w:r>
    </w:p>
    <w:p w14:paraId="3E0F3989" w14:textId="77777777" w:rsidR="00D057FD" w:rsidRDefault="00000000">
      <w:pPr>
        <w:pStyle w:val="ListParagraph"/>
        <w:numPr>
          <w:ilvl w:val="0"/>
          <w:numId w:val="2"/>
        </w:numPr>
        <w:spacing w:after="70"/>
      </w:pPr>
      <w:r>
        <w:rPr>
          <w:rFonts w:ascii="Calibri" w:eastAsia="Calibri" w:hAnsi="Calibri" w:cs="Calibri"/>
          <w:sz w:val="24"/>
          <w:szCs w:val="24"/>
        </w:rPr>
        <w:t>Manual override allows security staff to admit a guest despite a scan issue (e.g., a valid ticket that failed to register properly), with every override logged against that visitor's record for audit purposes.</w:t>
      </w:r>
    </w:p>
    <w:p w14:paraId="691F1602" w14:textId="77777777" w:rsidR="00D057FD" w:rsidRDefault="00000000">
      <w:pPr>
        <w:pStyle w:val="ListParagraph"/>
        <w:numPr>
          <w:ilvl w:val="0"/>
          <w:numId w:val="2"/>
        </w:numPr>
        <w:spacing w:after="70"/>
      </w:pPr>
      <w:r>
        <w:rPr>
          <w:rFonts w:ascii="Calibri" w:eastAsia="Calibri" w:hAnsi="Calibri" w:cs="Calibri"/>
          <w:b/>
          <w:bCs/>
          <w:sz w:val="24"/>
          <w:szCs w:val="24"/>
        </w:rPr>
        <w:t xml:space="preserve">Dynamic/attribute-based access control (ABAC): </w:t>
      </w:r>
      <w:r>
        <w:rPr>
          <w:rFonts w:ascii="Calibri" w:eastAsia="Calibri" w:hAnsi="Calibri" w:cs="Calibri"/>
          <w:sz w:val="24"/>
          <w:szCs w:val="24"/>
        </w:rPr>
        <w:t>access decisions can consider who is scanning, what ticket type, where, when, and broader context — for example, denying entry to an otherwise valid, unused ticket once a venue's configured maximum live occupancy threshold is reached, until capacity frees up as other guests exit.</w:t>
      </w:r>
    </w:p>
    <w:p w14:paraId="689C3160" w14:textId="77777777" w:rsidR="00D057FD" w:rsidRDefault="00000000">
      <w:pPr>
        <w:pStyle w:val="ListParagraph"/>
        <w:numPr>
          <w:ilvl w:val="0"/>
          <w:numId w:val="2"/>
        </w:numPr>
        <w:spacing w:after="70"/>
      </w:pPr>
      <w:r>
        <w:rPr>
          <w:rFonts w:ascii="Calibri" w:eastAsia="Calibri" w:hAnsi="Calibri" w:cs="Calibri"/>
          <w:sz w:val="24"/>
          <w:szCs w:val="24"/>
        </w:rPr>
        <w:t>A fraud assessment view flags suspicious ticket usage patterns or potential security threats; a live monitoring view shows current attendance, in-park counts, and entry/exit/crossover activity per venue in real time.</w:t>
      </w:r>
    </w:p>
    <w:p w14:paraId="4B1F2A3C" w14:textId="77777777" w:rsidR="00D057FD" w:rsidRDefault="00000000">
      <w:pPr>
        <w:spacing w:before="140" w:after="60"/>
      </w:pPr>
      <w:r>
        <w:rPr>
          <w:rFonts w:ascii="Calibri" w:eastAsia="Calibri" w:hAnsi="Calibri" w:cs="Calibri"/>
          <w:b/>
          <w:bCs/>
          <w:color w:val="215E99"/>
          <w:sz w:val="32"/>
          <w:szCs w:val="32"/>
        </w:rPr>
        <w:t>4.17 Planning &amp; Next Steps</w:t>
      </w:r>
    </w:p>
    <w:p w14:paraId="05A40B07" w14:textId="77777777" w:rsidR="00D057FD" w:rsidRDefault="00000000">
      <w:pPr>
        <w:pStyle w:val="ListParagraph"/>
        <w:numPr>
          <w:ilvl w:val="0"/>
          <w:numId w:val="2"/>
        </w:numPr>
        <w:spacing w:after="70"/>
      </w:pPr>
      <w:r>
        <w:rPr>
          <w:rFonts w:ascii="Calibri" w:eastAsia="Calibri" w:hAnsi="Calibri" w:cs="Calibri"/>
          <w:sz w:val="24"/>
          <w:szCs w:val="24"/>
        </w:rPr>
        <w:t xml:space="preserve">Tomorrow's session will move on to promotions and cross-sell, scheduled for 9:30 AM Dubai time (10:00 AM </w:t>
      </w:r>
      <w:proofErr w:type="spellStart"/>
      <w:r>
        <w:rPr>
          <w:rFonts w:ascii="Calibri" w:eastAsia="Calibri" w:hAnsi="Calibri" w:cs="Calibri"/>
          <w:sz w:val="24"/>
          <w:szCs w:val="24"/>
        </w:rPr>
        <w:t>Qossai's</w:t>
      </w:r>
      <w:proofErr w:type="spellEnd"/>
      <w:r>
        <w:rPr>
          <w:rFonts w:ascii="Calibri" w:eastAsia="Calibri" w:hAnsi="Calibri" w:cs="Calibri"/>
          <w:sz w:val="24"/>
          <w:szCs w:val="24"/>
        </w:rPr>
        <w:t xml:space="preserve"> time / 11:00 AM Chinmay's time).</w:t>
      </w:r>
    </w:p>
    <w:p w14:paraId="0147CD1C" w14:textId="77777777" w:rsidR="00D057FD" w:rsidRDefault="00000000">
      <w:pPr>
        <w:pStyle w:val="ListParagraph"/>
        <w:numPr>
          <w:ilvl w:val="0"/>
          <w:numId w:val="2"/>
        </w:numPr>
        <w:spacing w:after="70"/>
      </w:pPr>
      <w:r>
        <w:rPr>
          <w:rFonts w:ascii="Calibri" w:eastAsia="Calibri" w:hAnsi="Calibri" w:cs="Calibri"/>
          <w:sz w:val="24"/>
          <w:szCs w:val="24"/>
        </w:rPr>
        <w:t>Allam to share the full access control documentation, along with outstanding documentation promised from the previous (pricing/resale) session.</w:t>
      </w:r>
    </w:p>
    <w:p w14:paraId="3A945C2D" w14:textId="77777777" w:rsidR="00D057FD" w:rsidRDefault="00000000">
      <w:pPr>
        <w:spacing w:before="180" w:after="100"/>
      </w:pPr>
      <w:r>
        <w:rPr>
          <w:rFonts w:ascii="Calibri" w:eastAsia="Calibri" w:hAnsi="Calibri" w:cs="Calibri"/>
          <w:b/>
          <w:bCs/>
          <w:color w:val="215E99"/>
          <w:sz w:val="32"/>
          <w:szCs w:val="32"/>
        </w:rPr>
        <w:t>5. Key Decisions &amp; Agreements</w:t>
      </w:r>
    </w:p>
    <w:p w14:paraId="68A0FC3E" w14:textId="77777777" w:rsidR="00D057FD" w:rsidRDefault="00000000">
      <w:pPr>
        <w:pStyle w:val="ListParagraph"/>
        <w:numPr>
          <w:ilvl w:val="0"/>
          <w:numId w:val="2"/>
        </w:numPr>
        <w:spacing w:after="70"/>
      </w:pPr>
      <w:r>
        <w:rPr>
          <w:rFonts w:ascii="Calibri" w:eastAsia="Calibri" w:hAnsi="Calibri" w:cs="Calibri"/>
          <w:sz w:val="24"/>
          <w:szCs w:val="24"/>
        </w:rPr>
        <w:t>Turnstile/reader fault and security events (offline, power loss, anti-</w:t>
      </w:r>
      <w:proofErr w:type="spellStart"/>
      <w:r>
        <w:rPr>
          <w:rFonts w:ascii="Calibri" w:eastAsia="Calibri" w:hAnsi="Calibri" w:cs="Calibri"/>
          <w:sz w:val="24"/>
          <w:szCs w:val="24"/>
        </w:rPr>
        <w:t>passback</w:t>
      </w:r>
      <w:proofErr w:type="spellEnd"/>
      <w:r>
        <w:rPr>
          <w:rFonts w:ascii="Calibri" w:eastAsia="Calibri" w:hAnsi="Calibri" w:cs="Calibri"/>
          <w:sz w:val="24"/>
          <w:szCs w:val="24"/>
        </w:rPr>
        <w:t xml:space="preserve"> attempt) are pushed to TICVAI by the vendor's API rather than independently detected by TICVAI — TICVAI's role is to receive, alert on, and report these events.</w:t>
      </w:r>
    </w:p>
    <w:p w14:paraId="02F9D049" w14:textId="77777777" w:rsidR="00D057FD" w:rsidRDefault="00000000">
      <w:pPr>
        <w:pStyle w:val="ListParagraph"/>
        <w:numPr>
          <w:ilvl w:val="0"/>
          <w:numId w:val="2"/>
        </w:numPr>
        <w:spacing w:after="70"/>
      </w:pPr>
      <w:r>
        <w:rPr>
          <w:rFonts w:ascii="Calibri" w:eastAsia="Calibri" w:hAnsi="Calibri" w:cs="Calibri"/>
          <w:sz w:val="24"/>
          <w:szCs w:val="24"/>
        </w:rPr>
        <w:t>A successful ticket scan is always treated as “used,” regardless of whether the guest physically passed through the turnstile; edge cases are resolved manually by security via scan-history lookup rather than by relaxing this rule.</w:t>
      </w:r>
    </w:p>
    <w:p w14:paraId="44B83A5D" w14:textId="77777777" w:rsidR="00D057FD" w:rsidRDefault="00000000">
      <w:pPr>
        <w:pStyle w:val="ListParagraph"/>
        <w:numPr>
          <w:ilvl w:val="0"/>
          <w:numId w:val="2"/>
        </w:numPr>
        <w:spacing w:after="70"/>
      </w:pPr>
      <w:r>
        <w:rPr>
          <w:rFonts w:ascii="Calibri" w:eastAsia="Calibri" w:hAnsi="Calibri" w:cs="Calibri"/>
          <w:sz w:val="24"/>
          <w:szCs w:val="24"/>
        </w:rPr>
        <w:t>Dynamic QR codes must remain functional without an active internet connection, given severe network congestion typical of large, crowded events.</w:t>
      </w:r>
    </w:p>
    <w:p w14:paraId="6AA3E451" w14:textId="77777777" w:rsidR="00D057FD" w:rsidRDefault="00000000">
      <w:pPr>
        <w:pStyle w:val="ListParagraph"/>
        <w:numPr>
          <w:ilvl w:val="0"/>
          <w:numId w:val="2"/>
        </w:numPr>
        <w:spacing w:after="70"/>
      </w:pPr>
      <w:r>
        <w:rPr>
          <w:rFonts w:ascii="Calibri" w:eastAsia="Calibri" w:hAnsi="Calibri" w:cs="Calibri"/>
          <w:sz w:val="24"/>
          <w:szCs w:val="24"/>
        </w:rPr>
        <w:t>Dynamic QR code enforcement is configurable per event/product — not a single platform-wide mode — with support for exceptions (VIP invitations, certain B2B/reseller flows, low-fraud-risk ticket types) to fall back to standard QR/RFID credentials.</w:t>
      </w:r>
    </w:p>
    <w:p w14:paraId="2C7AE2CD" w14:textId="77777777" w:rsidR="00D057FD" w:rsidRDefault="00000000">
      <w:pPr>
        <w:pStyle w:val="ListParagraph"/>
        <w:numPr>
          <w:ilvl w:val="0"/>
          <w:numId w:val="2"/>
        </w:numPr>
        <w:spacing w:after="70"/>
      </w:pPr>
      <w:r>
        <w:rPr>
          <w:rFonts w:ascii="Calibri" w:eastAsia="Calibri" w:hAnsi="Calibri" w:cs="Calibri"/>
          <w:sz w:val="24"/>
          <w:szCs w:val="24"/>
        </w:rPr>
        <w:lastRenderedPageBreak/>
        <w:t>The ticket is always a single virtual record in the backend; QR, RFID, NFC, facial recognition, and future credentials (e.g., hotel room key, city transit card) are interchangeable “media” linked to that same virtual ticket.</w:t>
      </w:r>
    </w:p>
    <w:p w14:paraId="015B911E" w14:textId="77777777" w:rsidR="00D057FD" w:rsidRDefault="00000000">
      <w:pPr>
        <w:pStyle w:val="ListParagraph"/>
        <w:numPr>
          <w:ilvl w:val="0"/>
          <w:numId w:val="2"/>
        </w:numPr>
        <w:spacing w:after="70"/>
      </w:pPr>
      <w:r>
        <w:rPr>
          <w:rFonts w:ascii="Calibri" w:eastAsia="Calibri" w:hAnsi="Calibri" w:cs="Calibri"/>
          <w:sz w:val="24"/>
          <w:szCs w:val="24"/>
        </w:rPr>
        <w:t>Facial recognition data will be managed under two distinct retention tiers — short-lived “Face Tag” for single-visit tickets and longer-retained “Face Pass” for memberships/season passes — configurable by business/venue.</w:t>
      </w:r>
    </w:p>
    <w:p w14:paraId="30DAD9AE" w14:textId="77777777" w:rsidR="00D057FD" w:rsidRDefault="00000000">
      <w:pPr>
        <w:pStyle w:val="ListParagraph"/>
        <w:numPr>
          <w:ilvl w:val="0"/>
          <w:numId w:val="2"/>
        </w:numPr>
        <w:spacing w:after="70"/>
      </w:pPr>
      <w:r>
        <w:rPr>
          <w:rFonts w:ascii="Calibri" w:eastAsia="Calibri" w:hAnsi="Calibri" w:cs="Calibri"/>
          <w:sz w:val="24"/>
          <w:szCs w:val="24"/>
        </w:rPr>
        <w:t>Access control will support attribute-based, context-aware decisions, including venue-wide live capacity thresholds that can deny entry to an otherwise valid ticket when the venue is full.</w:t>
      </w:r>
    </w:p>
    <w:p w14:paraId="56DDC160" w14:textId="77777777" w:rsidR="00D057FD" w:rsidRDefault="00000000">
      <w:pPr>
        <w:spacing w:before="180" w:after="100"/>
      </w:pPr>
      <w:r>
        <w:rPr>
          <w:rFonts w:ascii="Calibri" w:eastAsia="Calibri" w:hAnsi="Calibri" w:cs="Calibri"/>
          <w:b/>
          <w:bCs/>
          <w:color w:val="215E99"/>
          <w:sz w:val="32"/>
          <w:szCs w:val="32"/>
        </w:rPr>
        <w:t>6. Open Items / Questions for Follow-Up</w:t>
      </w:r>
    </w:p>
    <w:p w14:paraId="14506B10" w14:textId="77777777" w:rsidR="00D057FD" w:rsidRDefault="00000000">
      <w:pPr>
        <w:pStyle w:val="ListParagraph"/>
        <w:numPr>
          <w:ilvl w:val="0"/>
          <w:numId w:val="2"/>
        </w:numPr>
        <w:spacing w:after="70"/>
      </w:pPr>
      <w:r>
        <w:rPr>
          <w:rFonts w:ascii="Calibri" w:eastAsia="Calibri" w:hAnsi="Calibri" w:cs="Calibri"/>
          <w:sz w:val="24"/>
          <w:szCs w:val="24"/>
        </w:rPr>
        <w:t>Recommended dynamic QR code generation approach (beacon/BLE-based vs. app-generated vs. hybrid, with reliable offline support) — pending research and proposal from Chinmay.</w:t>
      </w:r>
    </w:p>
    <w:p w14:paraId="6C280540" w14:textId="77777777" w:rsidR="00D057FD" w:rsidRDefault="00000000">
      <w:pPr>
        <w:pStyle w:val="ListParagraph"/>
        <w:numPr>
          <w:ilvl w:val="0"/>
          <w:numId w:val="2"/>
        </w:numPr>
        <w:spacing w:after="70"/>
      </w:pPr>
      <w:r>
        <w:rPr>
          <w:rFonts w:ascii="Calibri" w:eastAsia="Calibri" w:hAnsi="Calibri" w:cs="Calibri"/>
          <w:sz w:val="24"/>
          <w:szCs w:val="24"/>
        </w:rPr>
        <w:t>Handling of B2B/reseller-issued tickets under a fully-dynamic-QR event policy — flagged as an unresolved edge case by Qossai.</w:t>
      </w:r>
    </w:p>
    <w:p w14:paraId="565E4A2E" w14:textId="77777777" w:rsidR="00D057FD" w:rsidRDefault="00000000">
      <w:pPr>
        <w:pStyle w:val="ListParagraph"/>
        <w:numPr>
          <w:ilvl w:val="0"/>
          <w:numId w:val="2"/>
        </w:numPr>
        <w:spacing w:after="70"/>
      </w:pPr>
      <w:r>
        <w:rPr>
          <w:rFonts w:ascii="Calibri" w:eastAsia="Calibri" w:hAnsi="Calibri" w:cs="Calibri"/>
          <w:sz w:val="24"/>
          <w:szCs w:val="24"/>
        </w:rPr>
        <w:t>Facial recognition data retention periods and regional compliance requirements — to be defined referencing an existing client's live privacy policy.</w:t>
      </w:r>
    </w:p>
    <w:p w14:paraId="7A50B022" w14:textId="77777777" w:rsidR="00D057FD" w:rsidRDefault="00000000">
      <w:pPr>
        <w:pStyle w:val="ListParagraph"/>
        <w:numPr>
          <w:ilvl w:val="0"/>
          <w:numId w:val="2"/>
        </w:numPr>
        <w:spacing w:after="70"/>
      </w:pPr>
      <w:r>
        <w:rPr>
          <w:rFonts w:ascii="Calibri" w:eastAsia="Calibri" w:hAnsi="Calibri" w:cs="Calibri"/>
          <w:sz w:val="24"/>
          <w:szCs w:val="24"/>
        </w:rPr>
        <w:t>Full access control documentation (all boards) and outstanding pricing/resale documentation — pending from Allam.</w:t>
      </w:r>
    </w:p>
    <w:p w14:paraId="0481F800" w14:textId="77777777" w:rsidR="00D057FD" w:rsidRDefault="00000000">
      <w:pPr>
        <w:spacing w:before="180" w:after="100"/>
      </w:pPr>
      <w:r>
        <w:rPr>
          <w:rFonts w:ascii="Calibri" w:eastAsia="Calibri" w:hAnsi="Calibri" w:cs="Calibri"/>
          <w:b/>
          <w:bCs/>
          <w:color w:val="215E99"/>
          <w:sz w:val="32"/>
          <w:szCs w:val="32"/>
        </w:rPr>
        <w:t>7. Action Items</w:t>
      </w:r>
    </w:p>
    <w:tbl>
      <w:tblPr>
        <w:tblW w:w="9350" w:type="dxa"/>
        <w:tblInd w:w="-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800"/>
        <w:gridCol w:w="1850"/>
        <w:gridCol w:w="1800"/>
        <w:gridCol w:w="1900"/>
      </w:tblGrid>
      <w:tr w:rsidR="00D057FD" w14:paraId="738414E1" w14:textId="77777777">
        <w:trPr>
          <w:tblHeader/>
        </w:trPr>
        <w:tc>
          <w:tcPr>
            <w:tcW w:w="3800" w:type="dxa"/>
            <w:shd w:val="clear" w:color="auto" w:fill="0B1324"/>
            <w:tcMar>
              <w:top w:w="80" w:type="dxa"/>
              <w:left w:w="120" w:type="dxa"/>
              <w:bottom w:w="80" w:type="dxa"/>
              <w:right w:w="120" w:type="dxa"/>
            </w:tcMar>
            <w:vAlign w:val="center"/>
          </w:tcPr>
          <w:p w14:paraId="0913BDFE" w14:textId="77777777" w:rsidR="00D057FD" w:rsidRDefault="00000000">
            <w:r>
              <w:rPr>
                <w:rFonts w:ascii="Calibri" w:eastAsia="Calibri" w:hAnsi="Calibri" w:cs="Calibri"/>
                <w:b/>
                <w:bCs/>
                <w:color w:val="FFFFFF"/>
                <w:sz w:val="24"/>
                <w:szCs w:val="24"/>
              </w:rPr>
              <w:t>Action Item</w:t>
            </w:r>
          </w:p>
        </w:tc>
        <w:tc>
          <w:tcPr>
            <w:tcW w:w="1850" w:type="dxa"/>
            <w:shd w:val="clear" w:color="auto" w:fill="0B1324"/>
            <w:tcMar>
              <w:top w:w="80" w:type="dxa"/>
              <w:left w:w="120" w:type="dxa"/>
              <w:bottom w:w="80" w:type="dxa"/>
              <w:right w:w="120" w:type="dxa"/>
            </w:tcMar>
            <w:vAlign w:val="center"/>
          </w:tcPr>
          <w:p w14:paraId="556C7045" w14:textId="77777777" w:rsidR="00D057FD" w:rsidRDefault="00000000">
            <w:r>
              <w:rPr>
                <w:rFonts w:ascii="Calibri" w:eastAsia="Calibri" w:hAnsi="Calibri" w:cs="Calibri"/>
                <w:b/>
                <w:bCs/>
                <w:color w:val="FFFFFF"/>
                <w:sz w:val="24"/>
                <w:szCs w:val="24"/>
              </w:rPr>
              <w:t>Owner</w:t>
            </w:r>
          </w:p>
        </w:tc>
        <w:tc>
          <w:tcPr>
            <w:tcW w:w="1800" w:type="dxa"/>
            <w:shd w:val="clear" w:color="auto" w:fill="0B1324"/>
            <w:tcMar>
              <w:top w:w="80" w:type="dxa"/>
              <w:left w:w="120" w:type="dxa"/>
              <w:bottom w:w="80" w:type="dxa"/>
              <w:right w:w="120" w:type="dxa"/>
            </w:tcMar>
            <w:vAlign w:val="center"/>
          </w:tcPr>
          <w:p w14:paraId="3C1BED58" w14:textId="77777777" w:rsidR="00D057FD" w:rsidRDefault="00000000">
            <w:r>
              <w:rPr>
                <w:rFonts w:ascii="Calibri" w:eastAsia="Calibri" w:hAnsi="Calibri" w:cs="Calibri"/>
                <w:b/>
                <w:bCs/>
                <w:color w:val="FFFFFF"/>
                <w:sz w:val="24"/>
                <w:szCs w:val="24"/>
              </w:rPr>
              <w:t>Due</w:t>
            </w:r>
          </w:p>
        </w:tc>
        <w:tc>
          <w:tcPr>
            <w:tcW w:w="1900" w:type="dxa"/>
            <w:shd w:val="clear" w:color="auto" w:fill="0B1324"/>
            <w:tcMar>
              <w:top w:w="80" w:type="dxa"/>
              <w:left w:w="120" w:type="dxa"/>
              <w:bottom w:w="80" w:type="dxa"/>
              <w:right w:w="120" w:type="dxa"/>
            </w:tcMar>
            <w:vAlign w:val="center"/>
          </w:tcPr>
          <w:p w14:paraId="166D207D" w14:textId="77777777" w:rsidR="00D057FD" w:rsidRDefault="00000000">
            <w:r>
              <w:rPr>
                <w:rFonts w:ascii="Calibri" w:eastAsia="Calibri" w:hAnsi="Calibri" w:cs="Calibri"/>
                <w:b/>
                <w:bCs/>
                <w:color w:val="FFFFFF"/>
                <w:sz w:val="24"/>
                <w:szCs w:val="24"/>
              </w:rPr>
              <w:t>Status</w:t>
            </w:r>
          </w:p>
        </w:tc>
      </w:tr>
      <w:tr w:rsidR="00D057FD" w14:paraId="3163FA14" w14:textId="77777777">
        <w:tc>
          <w:tcPr>
            <w:tcW w:w="3800" w:type="dxa"/>
            <w:tcMar>
              <w:top w:w="80" w:type="dxa"/>
              <w:left w:w="120" w:type="dxa"/>
              <w:bottom w:w="80" w:type="dxa"/>
              <w:right w:w="120" w:type="dxa"/>
            </w:tcMar>
          </w:tcPr>
          <w:p w14:paraId="2D21E1CB" w14:textId="77777777" w:rsidR="00D057FD" w:rsidRDefault="00000000">
            <w:r>
              <w:rPr>
                <w:rFonts w:ascii="Calibri" w:eastAsia="Calibri" w:hAnsi="Calibri" w:cs="Calibri"/>
                <w:sz w:val="24"/>
                <w:szCs w:val="24"/>
              </w:rPr>
              <w:t>Share the full access control module documentation (all boards covered today), plus outstanding documentation promised from the previous pricing/resale session</w:t>
            </w:r>
          </w:p>
        </w:tc>
        <w:tc>
          <w:tcPr>
            <w:tcW w:w="1850" w:type="dxa"/>
            <w:tcMar>
              <w:top w:w="80" w:type="dxa"/>
              <w:left w:w="120" w:type="dxa"/>
              <w:bottom w:w="80" w:type="dxa"/>
              <w:right w:w="120" w:type="dxa"/>
            </w:tcMar>
          </w:tcPr>
          <w:p w14:paraId="07DFEB83" w14:textId="77777777" w:rsidR="00D057FD" w:rsidRDefault="00000000">
            <w:r>
              <w:rPr>
                <w:rFonts w:ascii="Calibri" w:eastAsia="Calibri" w:hAnsi="Calibri" w:cs="Calibri"/>
                <w:sz w:val="24"/>
                <w:szCs w:val="24"/>
              </w:rPr>
              <w:t>Allam</w:t>
            </w:r>
          </w:p>
        </w:tc>
        <w:tc>
          <w:tcPr>
            <w:tcW w:w="1800" w:type="dxa"/>
            <w:tcMar>
              <w:top w:w="80" w:type="dxa"/>
              <w:left w:w="120" w:type="dxa"/>
              <w:bottom w:w="80" w:type="dxa"/>
              <w:right w:w="120" w:type="dxa"/>
            </w:tcMar>
          </w:tcPr>
          <w:p w14:paraId="345AADFF" w14:textId="77777777" w:rsidR="00D057FD" w:rsidRDefault="00000000">
            <w:r>
              <w:rPr>
                <w:rFonts w:ascii="Calibri" w:eastAsia="Calibri" w:hAnsi="Calibri" w:cs="Calibri"/>
                <w:sz w:val="24"/>
                <w:szCs w:val="24"/>
              </w:rPr>
              <w:t>Today</w:t>
            </w:r>
          </w:p>
        </w:tc>
        <w:tc>
          <w:tcPr>
            <w:tcW w:w="1900" w:type="dxa"/>
            <w:tcMar>
              <w:top w:w="80" w:type="dxa"/>
              <w:left w:w="120" w:type="dxa"/>
              <w:bottom w:w="80" w:type="dxa"/>
              <w:right w:w="120" w:type="dxa"/>
            </w:tcMar>
          </w:tcPr>
          <w:p w14:paraId="15D1EC53" w14:textId="77777777" w:rsidR="00D057FD" w:rsidRDefault="00000000">
            <w:r>
              <w:rPr>
                <w:rFonts w:ascii="Calibri" w:eastAsia="Calibri" w:hAnsi="Calibri" w:cs="Calibri"/>
                <w:sz w:val="24"/>
                <w:szCs w:val="24"/>
              </w:rPr>
              <w:t>Open</w:t>
            </w:r>
          </w:p>
        </w:tc>
      </w:tr>
      <w:tr w:rsidR="00D057FD" w14:paraId="247C7B08" w14:textId="77777777">
        <w:tc>
          <w:tcPr>
            <w:tcW w:w="3800" w:type="dxa"/>
            <w:tcMar>
              <w:top w:w="80" w:type="dxa"/>
              <w:left w:w="120" w:type="dxa"/>
              <w:bottom w:w="80" w:type="dxa"/>
              <w:right w:w="120" w:type="dxa"/>
            </w:tcMar>
          </w:tcPr>
          <w:p w14:paraId="637DA782" w14:textId="77777777" w:rsidR="00D057FD" w:rsidRDefault="00000000">
            <w:r>
              <w:rPr>
                <w:rFonts w:ascii="Calibri" w:eastAsia="Calibri" w:hAnsi="Calibri" w:cs="Calibri"/>
                <w:sz w:val="24"/>
                <w:szCs w:val="24"/>
              </w:rPr>
              <w:t>Confirm receipt and review of the dynamic QR code scope-of-work / reference document shared via WhatsApp</w:t>
            </w:r>
          </w:p>
        </w:tc>
        <w:tc>
          <w:tcPr>
            <w:tcW w:w="1850" w:type="dxa"/>
            <w:tcMar>
              <w:top w:w="80" w:type="dxa"/>
              <w:left w:w="120" w:type="dxa"/>
              <w:bottom w:w="80" w:type="dxa"/>
              <w:right w:w="120" w:type="dxa"/>
            </w:tcMar>
          </w:tcPr>
          <w:p w14:paraId="669002B0" w14:textId="77777777" w:rsidR="00D057FD" w:rsidRDefault="00000000">
            <w:r>
              <w:rPr>
                <w:rFonts w:ascii="Calibri" w:eastAsia="Calibri" w:hAnsi="Calibri" w:cs="Calibri"/>
                <w:sz w:val="24"/>
                <w:szCs w:val="24"/>
              </w:rPr>
              <w:t>Chinmay Parab</w:t>
            </w:r>
          </w:p>
        </w:tc>
        <w:tc>
          <w:tcPr>
            <w:tcW w:w="1800" w:type="dxa"/>
            <w:tcMar>
              <w:top w:w="80" w:type="dxa"/>
              <w:left w:w="120" w:type="dxa"/>
              <w:bottom w:w="80" w:type="dxa"/>
              <w:right w:w="120" w:type="dxa"/>
            </w:tcMar>
          </w:tcPr>
          <w:p w14:paraId="3DC3F952" w14:textId="77777777" w:rsidR="00D057FD" w:rsidRDefault="00000000">
            <w:r>
              <w:rPr>
                <w:rFonts w:ascii="Calibri" w:eastAsia="Calibri" w:hAnsi="Calibri" w:cs="Calibri"/>
                <w:sz w:val="24"/>
                <w:szCs w:val="24"/>
              </w:rPr>
              <w:t>Before next session</w:t>
            </w:r>
          </w:p>
        </w:tc>
        <w:tc>
          <w:tcPr>
            <w:tcW w:w="1900" w:type="dxa"/>
            <w:tcMar>
              <w:top w:w="80" w:type="dxa"/>
              <w:left w:w="120" w:type="dxa"/>
              <w:bottom w:w="80" w:type="dxa"/>
              <w:right w:w="120" w:type="dxa"/>
            </w:tcMar>
          </w:tcPr>
          <w:p w14:paraId="2240A166" w14:textId="77777777" w:rsidR="00D057FD" w:rsidRDefault="00000000">
            <w:r>
              <w:rPr>
                <w:rFonts w:ascii="Calibri" w:eastAsia="Calibri" w:hAnsi="Calibri" w:cs="Calibri"/>
                <w:sz w:val="24"/>
                <w:szCs w:val="24"/>
              </w:rPr>
              <w:t>Open</w:t>
            </w:r>
          </w:p>
        </w:tc>
      </w:tr>
      <w:tr w:rsidR="00D057FD" w14:paraId="5845920A" w14:textId="77777777">
        <w:tc>
          <w:tcPr>
            <w:tcW w:w="3800" w:type="dxa"/>
            <w:tcMar>
              <w:top w:w="80" w:type="dxa"/>
              <w:left w:w="120" w:type="dxa"/>
              <w:bottom w:w="80" w:type="dxa"/>
              <w:right w:w="120" w:type="dxa"/>
            </w:tcMar>
          </w:tcPr>
          <w:p w14:paraId="5688A57E" w14:textId="77777777" w:rsidR="00D057FD" w:rsidRDefault="00000000">
            <w:r>
              <w:rPr>
                <w:rFonts w:ascii="Calibri" w:eastAsia="Calibri" w:hAnsi="Calibri" w:cs="Calibri"/>
                <w:sz w:val="24"/>
                <w:szCs w:val="24"/>
              </w:rPr>
              <w:t>Research and propose a dynamic QR code generation approach that works reliably offline (beacon/BLE-based vs. app-generated, or hybrid), including geofencing feasibility</w:t>
            </w:r>
          </w:p>
        </w:tc>
        <w:tc>
          <w:tcPr>
            <w:tcW w:w="1850" w:type="dxa"/>
            <w:tcMar>
              <w:top w:w="80" w:type="dxa"/>
              <w:left w:w="120" w:type="dxa"/>
              <w:bottom w:w="80" w:type="dxa"/>
              <w:right w:w="120" w:type="dxa"/>
            </w:tcMar>
          </w:tcPr>
          <w:p w14:paraId="5341A678" w14:textId="77777777" w:rsidR="00D057FD" w:rsidRDefault="00000000">
            <w:r>
              <w:rPr>
                <w:rFonts w:ascii="Calibri" w:eastAsia="Calibri" w:hAnsi="Calibri" w:cs="Calibri"/>
                <w:sz w:val="24"/>
                <w:szCs w:val="24"/>
              </w:rPr>
              <w:t>Chinmay Parab</w:t>
            </w:r>
          </w:p>
        </w:tc>
        <w:tc>
          <w:tcPr>
            <w:tcW w:w="1800" w:type="dxa"/>
            <w:tcMar>
              <w:top w:w="80" w:type="dxa"/>
              <w:left w:w="120" w:type="dxa"/>
              <w:bottom w:w="80" w:type="dxa"/>
              <w:right w:w="120" w:type="dxa"/>
            </w:tcMar>
          </w:tcPr>
          <w:p w14:paraId="189C1F50" w14:textId="77777777" w:rsidR="00D057FD" w:rsidRDefault="00000000">
            <w:r>
              <w:rPr>
                <w:rFonts w:ascii="Calibri" w:eastAsia="Calibri" w:hAnsi="Calibri" w:cs="Calibri"/>
                <w:sz w:val="24"/>
                <w:szCs w:val="24"/>
              </w:rPr>
              <w:t>Next few sessions</w:t>
            </w:r>
          </w:p>
        </w:tc>
        <w:tc>
          <w:tcPr>
            <w:tcW w:w="1900" w:type="dxa"/>
            <w:tcMar>
              <w:top w:w="80" w:type="dxa"/>
              <w:left w:w="120" w:type="dxa"/>
              <w:bottom w:w="80" w:type="dxa"/>
              <w:right w:w="120" w:type="dxa"/>
            </w:tcMar>
          </w:tcPr>
          <w:p w14:paraId="386A121C" w14:textId="77777777" w:rsidR="00D057FD" w:rsidRDefault="00000000">
            <w:r>
              <w:rPr>
                <w:rFonts w:ascii="Calibri" w:eastAsia="Calibri" w:hAnsi="Calibri" w:cs="Calibri"/>
                <w:sz w:val="24"/>
                <w:szCs w:val="24"/>
              </w:rPr>
              <w:t>Open</w:t>
            </w:r>
          </w:p>
        </w:tc>
      </w:tr>
      <w:tr w:rsidR="00D057FD" w14:paraId="6DE117F1" w14:textId="77777777">
        <w:tc>
          <w:tcPr>
            <w:tcW w:w="3800" w:type="dxa"/>
            <w:tcMar>
              <w:top w:w="80" w:type="dxa"/>
              <w:left w:w="120" w:type="dxa"/>
              <w:bottom w:w="80" w:type="dxa"/>
              <w:right w:w="120" w:type="dxa"/>
            </w:tcMar>
          </w:tcPr>
          <w:p w14:paraId="0000699F" w14:textId="77777777" w:rsidR="00D057FD" w:rsidRDefault="00000000">
            <w:r>
              <w:rPr>
                <w:rFonts w:ascii="Calibri" w:eastAsia="Calibri" w:hAnsi="Calibri" w:cs="Calibri"/>
                <w:sz w:val="24"/>
                <w:szCs w:val="24"/>
              </w:rPr>
              <w:t>Review an existing client's live privacy policy (referenced venue-group app) as a reference for face-</w:t>
            </w:r>
            <w:r>
              <w:rPr>
                <w:rFonts w:ascii="Calibri" w:eastAsia="Calibri" w:hAnsi="Calibri" w:cs="Calibri"/>
                <w:sz w:val="24"/>
                <w:szCs w:val="24"/>
              </w:rPr>
              <w:lastRenderedPageBreak/>
              <w:t>data retention tiers and consent language</w:t>
            </w:r>
          </w:p>
        </w:tc>
        <w:tc>
          <w:tcPr>
            <w:tcW w:w="1850" w:type="dxa"/>
            <w:tcMar>
              <w:top w:w="80" w:type="dxa"/>
              <w:left w:w="120" w:type="dxa"/>
              <w:bottom w:w="80" w:type="dxa"/>
              <w:right w:w="120" w:type="dxa"/>
            </w:tcMar>
          </w:tcPr>
          <w:p w14:paraId="2AE0A007" w14:textId="77777777" w:rsidR="00D057FD" w:rsidRDefault="00000000">
            <w:r>
              <w:rPr>
                <w:rFonts w:ascii="Calibri" w:eastAsia="Calibri" w:hAnsi="Calibri" w:cs="Calibri"/>
                <w:sz w:val="24"/>
                <w:szCs w:val="24"/>
              </w:rPr>
              <w:lastRenderedPageBreak/>
              <w:t>Chinmay Parab</w:t>
            </w:r>
          </w:p>
        </w:tc>
        <w:tc>
          <w:tcPr>
            <w:tcW w:w="1800" w:type="dxa"/>
            <w:tcMar>
              <w:top w:w="80" w:type="dxa"/>
              <w:left w:w="120" w:type="dxa"/>
              <w:bottom w:w="80" w:type="dxa"/>
              <w:right w:w="120" w:type="dxa"/>
            </w:tcMar>
          </w:tcPr>
          <w:p w14:paraId="0667E6EB" w14:textId="77777777" w:rsidR="00D057FD" w:rsidRDefault="00000000">
            <w:r>
              <w:rPr>
                <w:rFonts w:ascii="Calibri" w:eastAsia="Calibri" w:hAnsi="Calibri" w:cs="Calibri"/>
                <w:sz w:val="24"/>
                <w:szCs w:val="24"/>
              </w:rPr>
              <w:t>Before finalizing privacy design</w:t>
            </w:r>
          </w:p>
        </w:tc>
        <w:tc>
          <w:tcPr>
            <w:tcW w:w="1900" w:type="dxa"/>
            <w:tcMar>
              <w:top w:w="80" w:type="dxa"/>
              <w:left w:w="120" w:type="dxa"/>
              <w:bottom w:w="80" w:type="dxa"/>
              <w:right w:w="120" w:type="dxa"/>
            </w:tcMar>
          </w:tcPr>
          <w:p w14:paraId="5B127360" w14:textId="77777777" w:rsidR="00D057FD" w:rsidRDefault="00000000">
            <w:r>
              <w:rPr>
                <w:rFonts w:ascii="Calibri" w:eastAsia="Calibri" w:hAnsi="Calibri" w:cs="Calibri"/>
                <w:sz w:val="24"/>
                <w:szCs w:val="24"/>
              </w:rPr>
              <w:t>Open</w:t>
            </w:r>
          </w:p>
        </w:tc>
      </w:tr>
      <w:tr w:rsidR="00D057FD" w14:paraId="1CE9C40E" w14:textId="77777777">
        <w:tc>
          <w:tcPr>
            <w:tcW w:w="3800" w:type="dxa"/>
            <w:tcMar>
              <w:top w:w="80" w:type="dxa"/>
              <w:left w:w="120" w:type="dxa"/>
              <w:bottom w:w="80" w:type="dxa"/>
              <w:right w:w="120" w:type="dxa"/>
            </w:tcMar>
          </w:tcPr>
          <w:p w14:paraId="6F60723B" w14:textId="77777777" w:rsidR="00D057FD" w:rsidRDefault="00000000">
            <w:r>
              <w:rPr>
                <w:rFonts w:ascii="Calibri" w:eastAsia="Calibri" w:hAnsi="Calibri" w:cs="Calibri"/>
                <w:sz w:val="24"/>
                <w:szCs w:val="24"/>
              </w:rPr>
              <w:t>Define facial recognition data retention tiers (Face Tag vs. Face Pass) and regional compliance requirements</w:t>
            </w:r>
          </w:p>
        </w:tc>
        <w:tc>
          <w:tcPr>
            <w:tcW w:w="1850" w:type="dxa"/>
            <w:tcMar>
              <w:top w:w="80" w:type="dxa"/>
              <w:left w:w="120" w:type="dxa"/>
              <w:bottom w:w="80" w:type="dxa"/>
              <w:right w:w="120" w:type="dxa"/>
            </w:tcMar>
          </w:tcPr>
          <w:p w14:paraId="620B4109" w14:textId="77777777" w:rsidR="00D057FD" w:rsidRDefault="00000000">
            <w:r>
              <w:rPr>
                <w:rFonts w:ascii="Calibri" w:eastAsia="Calibri" w:hAnsi="Calibri" w:cs="Calibri"/>
                <w:sz w:val="24"/>
                <w:szCs w:val="24"/>
              </w:rPr>
              <w:t>Softlabs Team / Qossai</w:t>
            </w:r>
          </w:p>
        </w:tc>
        <w:tc>
          <w:tcPr>
            <w:tcW w:w="1800" w:type="dxa"/>
            <w:tcMar>
              <w:top w:w="80" w:type="dxa"/>
              <w:left w:w="120" w:type="dxa"/>
              <w:bottom w:w="80" w:type="dxa"/>
              <w:right w:w="120" w:type="dxa"/>
            </w:tcMar>
          </w:tcPr>
          <w:p w14:paraId="64CADCFF" w14:textId="77777777" w:rsidR="00D057FD" w:rsidRDefault="00000000">
            <w:r>
              <w:rPr>
                <w:rFonts w:ascii="Calibri" w:eastAsia="Calibri" w:hAnsi="Calibri" w:cs="Calibri"/>
                <w:sz w:val="24"/>
                <w:szCs w:val="24"/>
              </w:rPr>
              <w:t>Upcoming session</w:t>
            </w:r>
          </w:p>
        </w:tc>
        <w:tc>
          <w:tcPr>
            <w:tcW w:w="1900" w:type="dxa"/>
            <w:tcMar>
              <w:top w:w="80" w:type="dxa"/>
              <w:left w:w="120" w:type="dxa"/>
              <w:bottom w:w="80" w:type="dxa"/>
              <w:right w:w="120" w:type="dxa"/>
            </w:tcMar>
          </w:tcPr>
          <w:p w14:paraId="558CFD99" w14:textId="77777777" w:rsidR="00D057FD" w:rsidRDefault="00000000">
            <w:r>
              <w:rPr>
                <w:rFonts w:ascii="Calibri" w:eastAsia="Calibri" w:hAnsi="Calibri" w:cs="Calibri"/>
                <w:sz w:val="24"/>
                <w:szCs w:val="24"/>
              </w:rPr>
              <w:t>Open</w:t>
            </w:r>
          </w:p>
        </w:tc>
      </w:tr>
      <w:tr w:rsidR="00D057FD" w14:paraId="2D54127A" w14:textId="77777777">
        <w:tc>
          <w:tcPr>
            <w:tcW w:w="3800" w:type="dxa"/>
            <w:tcMar>
              <w:top w:w="80" w:type="dxa"/>
              <w:left w:w="120" w:type="dxa"/>
              <w:bottom w:w="80" w:type="dxa"/>
              <w:right w:w="120" w:type="dxa"/>
            </w:tcMar>
          </w:tcPr>
          <w:p w14:paraId="4F130F06" w14:textId="77777777" w:rsidR="00D057FD" w:rsidRDefault="00000000">
            <w:r>
              <w:rPr>
                <w:rFonts w:ascii="Calibri" w:eastAsia="Calibri" w:hAnsi="Calibri" w:cs="Calibri"/>
                <w:sz w:val="24"/>
                <w:szCs w:val="24"/>
              </w:rPr>
              <w:t>Prepare and lead the promotions and cross-sell module walkthrough</w:t>
            </w:r>
          </w:p>
        </w:tc>
        <w:tc>
          <w:tcPr>
            <w:tcW w:w="1850" w:type="dxa"/>
            <w:tcMar>
              <w:top w:w="80" w:type="dxa"/>
              <w:left w:w="120" w:type="dxa"/>
              <w:bottom w:w="80" w:type="dxa"/>
              <w:right w:w="120" w:type="dxa"/>
            </w:tcMar>
          </w:tcPr>
          <w:p w14:paraId="29342D07" w14:textId="77777777" w:rsidR="00D057FD" w:rsidRDefault="00000000">
            <w:r>
              <w:rPr>
                <w:rFonts w:ascii="Calibri" w:eastAsia="Calibri" w:hAnsi="Calibri" w:cs="Calibri"/>
                <w:sz w:val="24"/>
                <w:szCs w:val="24"/>
              </w:rPr>
              <w:t>Allam</w:t>
            </w:r>
          </w:p>
        </w:tc>
        <w:tc>
          <w:tcPr>
            <w:tcW w:w="1800" w:type="dxa"/>
            <w:tcMar>
              <w:top w:w="80" w:type="dxa"/>
              <w:left w:w="120" w:type="dxa"/>
              <w:bottom w:w="80" w:type="dxa"/>
              <w:right w:w="120" w:type="dxa"/>
            </w:tcMar>
          </w:tcPr>
          <w:p w14:paraId="51B022D5" w14:textId="77777777" w:rsidR="00D057FD" w:rsidRDefault="00000000">
            <w:r>
              <w:rPr>
                <w:rFonts w:ascii="Calibri" w:eastAsia="Calibri" w:hAnsi="Calibri" w:cs="Calibri"/>
                <w:sz w:val="24"/>
                <w:szCs w:val="24"/>
              </w:rPr>
              <w:t>Tomorrow, 9:30 AM Dubai time</w:t>
            </w:r>
          </w:p>
        </w:tc>
        <w:tc>
          <w:tcPr>
            <w:tcW w:w="1900" w:type="dxa"/>
            <w:tcMar>
              <w:top w:w="80" w:type="dxa"/>
              <w:left w:w="120" w:type="dxa"/>
              <w:bottom w:w="80" w:type="dxa"/>
              <w:right w:w="120" w:type="dxa"/>
            </w:tcMar>
          </w:tcPr>
          <w:p w14:paraId="6D35358B" w14:textId="77777777" w:rsidR="00D057FD" w:rsidRDefault="00000000">
            <w:r>
              <w:rPr>
                <w:rFonts w:ascii="Calibri" w:eastAsia="Calibri" w:hAnsi="Calibri" w:cs="Calibri"/>
                <w:sz w:val="24"/>
                <w:szCs w:val="24"/>
              </w:rPr>
              <w:t>Open</w:t>
            </w:r>
          </w:p>
        </w:tc>
      </w:tr>
    </w:tbl>
    <w:p w14:paraId="0D55AB43" w14:textId="77777777" w:rsidR="00D057FD" w:rsidRDefault="00D057FD">
      <w:pPr>
        <w:spacing w:after="160"/>
      </w:pPr>
    </w:p>
    <w:p w14:paraId="2A97F41F" w14:textId="77777777" w:rsidR="00D057FD" w:rsidRDefault="00000000">
      <w:pPr>
        <w:spacing w:before="180" w:after="100"/>
      </w:pPr>
      <w:r>
        <w:rPr>
          <w:rFonts w:ascii="Calibri" w:eastAsia="Calibri" w:hAnsi="Calibri" w:cs="Calibri"/>
          <w:b/>
          <w:bCs/>
          <w:color w:val="215E99"/>
          <w:sz w:val="32"/>
          <w:szCs w:val="32"/>
        </w:rPr>
        <w:t>8. Next Steps</w:t>
      </w:r>
    </w:p>
    <w:p w14:paraId="227D0761" w14:textId="77777777" w:rsidR="00D057FD" w:rsidRDefault="00000000">
      <w:pPr>
        <w:pStyle w:val="ListParagraph"/>
        <w:numPr>
          <w:ilvl w:val="0"/>
          <w:numId w:val="2"/>
        </w:numPr>
        <w:spacing w:after="70"/>
      </w:pPr>
      <w:r>
        <w:rPr>
          <w:rFonts w:ascii="Calibri" w:eastAsia="Calibri" w:hAnsi="Calibri" w:cs="Calibri"/>
          <w:sz w:val="24"/>
          <w:szCs w:val="24"/>
        </w:rPr>
        <w:t>Tomorrow's session (9:30 AM Dubai time) will cover promotions and cross-sell.</w:t>
      </w:r>
    </w:p>
    <w:p w14:paraId="3190DDF8" w14:textId="77777777" w:rsidR="00D057FD" w:rsidRDefault="00000000">
      <w:pPr>
        <w:pStyle w:val="ListParagraph"/>
        <w:numPr>
          <w:ilvl w:val="0"/>
          <w:numId w:val="2"/>
        </w:numPr>
        <w:spacing w:after="70"/>
      </w:pPr>
      <w:r>
        <w:rPr>
          <w:rFonts w:ascii="Calibri" w:eastAsia="Calibri" w:hAnsi="Calibri" w:cs="Calibri"/>
          <w:sz w:val="24"/>
          <w:szCs w:val="24"/>
        </w:rPr>
        <w:t>Allam to share all outstanding documentation (today's access control boards plus the earlier pricing/resale materials).</w:t>
      </w:r>
    </w:p>
    <w:p w14:paraId="1DA042BF" w14:textId="77777777" w:rsidR="00D057FD" w:rsidRDefault="00000000">
      <w:pPr>
        <w:pStyle w:val="ListParagraph"/>
        <w:numPr>
          <w:ilvl w:val="0"/>
          <w:numId w:val="2"/>
        </w:numPr>
        <w:spacing w:after="70"/>
      </w:pPr>
      <w:r>
        <w:rPr>
          <w:rFonts w:ascii="Calibri" w:eastAsia="Calibri" w:hAnsi="Calibri" w:cs="Calibri"/>
          <w:sz w:val="24"/>
          <w:szCs w:val="24"/>
        </w:rPr>
        <w:t>Chinmay to research and report back on a dynamic QR code generation approach that satisfies the offline-reliability requirement.</w:t>
      </w:r>
    </w:p>
    <w:p w14:paraId="282D5016" w14:textId="77777777" w:rsidR="00D057FD" w:rsidRDefault="00000000">
      <w:pPr>
        <w:spacing w:before="120"/>
        <w:jc w:val="center"/>
      </w:pPr>
      <w:r>
        <w:rPr>
          <w:rFonts w:ascii="Calibri" w:eastAsia="Calibri" w:hAnsi="Calibri" w:cs="Calibri"/>
          <w:i/>
          <w:iCs/>
          <w:color w:val="595959"/>
          <w:sz w:val="24"/>
          <w:szCs w:val="24"/>
        </w:rPr>
        <w:t>--- End of Minutes ---</w:t>
      </w:r>
    </w:p>
    <w:sectPr w:rsidR="00D057FD">
      <w:headerReference w:type="default" r:id="rId7"/>
      <w:footerReference w:type="default" r:id="rId8"/>
      <w:pgSz w:w="12240" w:h="15840"/>
      <w:pgMar w:top="720" w:right="1440" w:bottom="9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49725" w14:textId="77777777" w:rsidR="001B39E9" w:rsidRDefault="001B39E9">
      <w:r>
        <w:separator/>
      </w:r>
    </w:p>
  </w:endnote>
  <w:endnote w:type="continuationSeparator" w:id="0">
    <w:p w14:paraId="244466E2" w14:textId="77777777" w:rsidR="001B39E9" w:rsidRDefault="001B3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7B72E" w14:textId="77777777" w:rsidR="00D057FD" w:rsidRDefault="00000000">
    <w:pPr>
      <w:jc w:val="center"/>
    </w:pPr>
    <w:r>
      <w:rPr>
        <w:rFonts w:ascii="Calibri" w:eastAsia="Calibri" w:hAnsi="Calibri" w:cs="Calibri"/>
        <w:color w:val="595959"/>
        <w:sz w:val="24"/>
        <w:szCs w:val="24"/>
      </w:rPr>
      <w:t xml:space="preserve">Page </w:t>
    </w:r>
    <w:r>
      <w:rPr>
        <w:rFonts w:ascii="Calibri" w:eastAsia="Calibri" w:hAnsi="Calibri" w:cs="Calibri"/>
        <w:color w:val="595959"/>
        <w:sz w:val="24"/>
        <w:szCs w:val="24"/>
      </w:rPr>
      <w:fldChar w:fldCharType="begin"/>
    </w:r>
    <w:r>
      <w:rPr>
        <w:rFonts w:ascii="Calibri" w:eastAsia="Calibri" w:hAnsi="Calibri" w:cs="Calibri"/>
        <w:color w:val="595959"/>
        <w:sz w:val="24"/>
        <w:szCs w:val="24"/>
      </w:rPr>
      <w:instrText>PAGE</w:instrText>
    </w:r>
    <w:r>
      <w:rPr>
        <w:rFonts w:ascii="Calibri" w:eastAsia="Calibri" w:hAnsi="Calibri" w:cs="Calibri"/>
        <w:color w:val="595959"/>
        <w:sz w:val="24"/>
        <w:szCs w:val="24"/>
      </w:rPr>
      <w:fldChar w:fldCharType="separate"/>
    </w:r>
    <w:r w:rsidR="00BB47AC">
      <w:rPr>
        <w:rFonts w:ascii="Calibri" w:eastAsia="Calibri" w:hAnsi="Calibri" w:cs="Calibri"/>
        <w:noProof/>
        <w:color w:val="595959"/>
        <w:sz w:val="24"/>
        <w:szCs w:val="24"/>
      </w:rPr>
      <w:t>1</w:t>
    </w:r>
    <w:r>
      <w:rPr>
        <w:rFonts w:ascii="Calibri" w:eastAsia="Calibri" w:hAnsi="Calibri" w:cs="Calibri"/>
        <w:color w:val="595959"/>
        <w:sz w:val="24"/>
        <w:szCs w:val="24"/>
      </w:rPr>
      <w:fldChar w:fldCharType="end"/>
    </w:r>
    <w:r>
      <w:rPr>
        <w:rFonts w:ascii="Calibri" w:eastAsia="Calibri" w:hAnsi="Calibri" w:cs="Calibri"/>
        <w:color w:val="595959"/>
        <w:sz w:val="24"/>
        <w:szCs w:val="24"/>
      </w:rPr>
      <w:t xml:space="preserve"> of </w:t>
    </w:r>
    <w:r>
      <w:rPr>
        <w:rFonts w:ascii="Calibri" w:eastAsia="Calibri" w:hAnsi="Calibri" w:cs="Calibri"/>
        <w:color w:val="595959"/>
        <w:sz w:val="24"/>
        <w:szCs w:val="24"/>
      </w:rPr>
      <w:fldChar w:fldCharType="begin"/>
    </w:r>
    <w:r>
      <w:rPr>
        <w:rFonts w:ascii="Calibri" w:eastAsia="Calibri" w:hAnsi="Calibri" w:cs="Calibri"/>
        <w:color w:val="595959"/>
        <w:sz w:val="24"/>
        <w:szCs w:val="24"/>
      </w:rPr>
      <w:instrText>NUMPAGES</w:instrText>
    </w:r>
    <w:r>
      <w:rPr>
        <w:rFonts w:ascii="Calibri" w:eastAsia="Calibri" w:hAnsi="Calibri" w:cs="Calibri"/>
        <w:color w:val="595959"/>
        <w:sz w:val="24"/>
        <w:szCs w:val="24"/>
      </w:rPr>
      <w:fldChar w:fldCharType="separate"/>
    </w:r>
    <w:r w:rsidR="00BB47AC">
      <w:rPr>
        <w:rFonts w:ascii="Calibri" w:eastAsia="Calibri" w:hAnsi="Calibri" w:cs="Calibri"/>
        <w:noProof/>
        <w:color w:val="595959"/>
        <w:sz w:val="24"/>
        <w:szCs w:val="24"/>
      </w:rPr>
      <w:t>2</w:t>
    </w:r>
    <w:r>
      <w:rPr>
        <w:rFonts w:ascii="Calibri" w:eastAsia="Calibri" w:hAnsi="Calibri" w:cs="Calibri"/>
        <w:color w:val="595959"/>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D4AAC" w14:textId="77777777" w:rsidR="001B39E9" w:rsidRDefault="001B39E9">
      <w:r>
        <w:separator/>
      </w:r>
    </w:p>
  </w:footnote>
  <w:footnote w:type="continuationSeparator" w:id="0">
    <w:p w14:paraId="26B5AC91" w14:textId="77777777" w:rsidR="001B39E9" w:rsidRDefault="001B3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75"/>
      <w:gridCol w:w="4675"/>
    </w:tblGrid>
    <w:tr w:rsidR="00D057FD" w14:paraId="462A8DE7" w14:textId="77777777">
      <w:tblPrEx>
        <w:tblCellMar>
          <w:top w:w="0" w:type="dxa"/>
          <w:bottom w:w="0" w:type="dxa"/>
        </w:tblCellMar>
      </w:tblPrEx>
      <w:tc>
        <w:tcPr>
          <w:tcW w:w="4675" w:type="dxa"/>
          <w:tcMar>
            <w:bottom w:w="80" w:type="dxa"/>
          </w:tcMar>
          <w:vAlign w:val="center"/>
        </w:tcPr>
        <w:p w14:paraId="5DA7C805" w14:textId="77777777" w:rsidR="00D057FD" w:rsidRDefault="00D057FD"/>
      </w:tc>
      <w:tc>
        <w:tcPr>
          <w:tcW w:w="4675" w:type="dxa"/>
          <w:tcMar>
            <w:bottom w:w="80" w:type="dxa"/>
          </w:tcMar>
          <w:vAlign w:val="center"/>
        </w:tcPr>
        <w:p w14:paraId="08B15E5B" w14:textId="77777777" w:rsidR="00D057FD" w:rsidRDefault="00000000">
          <w:pPr>
            <w:spacing w:after="20"/>
            <w:jc w:val="right"/>
          </w:pPr>
          <w:r>
            <w:rPr>
              <w:noProof/>
            </w:rPr>
            <w:drawing>
              <wp:inline distT="0" distB="0" distL="0" distR="0" wp14:anchorId="4C311DBC" wp14:editId="134E9BA7">
                <wp:extent cx="1238250" cy="228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38250" cy="228600"/>
                        </a:xfrm>
                        <a:prstGeom prst="rect">
                          <a:avLst/>
                        </a:prstGeom>
                      </pic:spPr>
                    </pic:pic>
                  </a:graphicData>
                </a:graphic>
              </wp:inline>
            </w:drawing>
          </w:r>
        </w:p>
        <w:p w14:paraId="177D8A2D" w14:textId="77777777" w:rsidR="00D057FD" w:rsidRDefault="00000000">
          <w:pPr>
            <w:jc w:val="right"/>
          </w:pPr>
          <w:r>
            <w:rPr>
              <w:noProof/>
            </w:rPr>
            <w:drawing>
              <wp:inline distT="0" distB="0" distL="0" distR="0" wp14:anchorId="49B60DCA" wp14:editId="683BDA18">
                <wp:extent cx="933450" cy="190500"/>
                <wp:effectExtent l="0" t="0" r="0" b="0"/>
                <wp:docPr id="812168072" name="Picture 812168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933450" cy="19050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87797"/>
    <w:multiLevelType w:val="hybridMultilevel"/>
    <w:tmpl w:val="AF606BFA"/>
    <w:lvl w:ilvl="0" w:tplc="DC24F6C4">
      <w:start w:val="1"/>
      <w:numFmt w:val="bullet"/>
      <w:lvlText w:val="●"/>
      <w:lvlJc w:val="left"/>
      <w:pPr>
        <w:ind w:left="720" w:hanging="360"/>
      </w:pPr>
    </w:lvl>
    <w:lvl w:ilvl="1" w:tplc="4FF4BDDA">
      <w:start w:val="1"/>
      <w:numFmt w:val="bullet"/>
      <w:lvlText w:val="○"/>
      <w:lvlJc w:val="left"/>
      <w:pPr>
        <w:ind w:left="1440" w:hanging="360"/>
      </w:pPr>
    </w:lvl>
    <w:lvl w:ilvl="2" w:tplc="C406907E">
      <w:start w:val="1"/>
      <w:numFmt w:val="bullet"/>
      <w:lvlText w:val="■"/>
      <w:lvlJc w:val="left"/>
      <w:pPr>
        <w:ind w:left="2160" w:hanging="360"/>
      </w:pPr>
    </w:lvl>
    <w:lvl w:ilvl="3" w:tplc="C12AF67A">
      <w:start w:val="1"/>
      <w:numFmt w:val="bullet"/>
      <w:lvlText w:val="●"/>
      <w:lvlJc w:val="left"/>
      <w:pPr>
        <w:ind w:left="2880" w:hanging="360"/>
      </w:pPr>
    </w:lvl>
    <w:lvl w:ilvl="4" w:tplc="44609B78">
      <w:start w:val="1"/>
      <w:numFmt w:val="bullet"/>
      <w:lvlText w:val="○"/>
      <w:lvlJc w:val="left"/>
      <w:pPr>
        <w:ind w:left="3600" w:hanging="360"/>
      </w:pPr>
    </w:lvl>
    <w:lvl w:ilvl="5" w:tplc="B0E60D2A">
      <w:start w:val="1"/>
      <w:numFmt w:val="bullet"/>
      <w:lvlText w:val="■"/>
      <w:lvlJc w:val="left"/>
      <w:pPr>
        <w:ind w:left="4320" w:hanging="360"/>
      </w:pPr>
    </w:lvl>
    <w:lvl w:ilvl="6" w:tplc="5450E8DC">
      <w:start w:val="1"/>
      <w:numFmt w:val="bullet"/>
      <w:lvlText w:val="●"/>
      <w:lvlJc w:val="left"/>
      <w:pPr>
        <w:ind w:left="5040" w:hanging="360"/>
      </w:pPr>
    </w:lvl>
    <w:lvl w:ilvl="7" w:tplc="CB7014E0">
      <w:start w:val="1"/>
      <w:numFmt w:val="bullet"/>
      <w:lvlText w:val="●"/>
      <w:lvlJc w:val="left"/>
      <w:pPr>
        <w:ind w:left="5760" w:hanging="360"/>
      </w:pPr>
    </w:lvl>
    <w:lvl w:ilvl="8" w:tplc="2FBA7F2C">
      <w:start w:val="1"/>
      <w:numFmt w:val="bullet"/>
      <w:lvlText w:val="●"/>
      <w:lvlJc w:val="left"/>
      <w:pPr>
        <w:ind w:left="6480" w:hanging="360"/>
      </w:pPr>
    </w:lvl>
  </w:abstractNum>
  <w:abstractNum w:abstractNumId="1" w15:restartNumberingAfterBreak="0">
    <w:nsid w:val="7E0E3AEB"/>
    <w:multiLevelType w:val="hybridMultilevel"/>
    <w:tmpl w:val="FDCC257A"/>
    <w:lvl w:ilvl="0" w:tplc="2536D320">
      <w:start w:val="1"/>
      <w:numFmt w:val="bullet"/>
      <w:lvlText w:val="•"/>
      <w:lvlJc w:val="left"/>
      <w:pPr>
        <w:ind w:left="360" w:hanging="260"/>
      </w:pPr>
    </w:lvl>
    <w:lvl w:ilvl="1" w:tplc="294CCEF0">
      <w:start w:val="1"/>
      <w:numFmt w:val="bullet"/>
      <w:lvlText w:val="◦"/>
      <w:lvlJc w:val="left"/>
      <w:pPr>
        <w:ind w:left="720" w:hanging="260"/>
      </w:pPr>
    </w:lvl>
    <w:lvl w:ilvl="2" w:tplc="44BE77CC">
      <w:numFmt w:val="decimal"/>
      <w:lvlText w:val=""/>
      <w:lvlJc w:val="left"/>
    </w:lvl>
    <w:lvl w:ilvl="3" w:tplc="63CCEBD0">
      <w:numFmt w:val="decimal"/>
      <w:lvlText w:val=""/>
      <w:lvlJc w:val="left"/>
    </w:lvl>
    <w:lvl w:ilvl="4" w:tplc="2A7C2BD8">
      <w:numFmt w:val="decimal"/>
      <w:lvlText w:val=""/>
      <w:lvlJc w:val="left"/>
    </w:lvl>
    <w:lvl w:ilvl="5" w:tplc="4BD0F77E">
      <w:numFmt w:val="decimal"/>
      <w:lvlText w:val=""/>
      <w:lvlJc w:val="left"/>
    </w:lvl>
    <w:lvl w:ilvl="6" w:tplc="21366888">
      <w:numFmt w:val="decimal"/>
      <w:lvlText w:val=""/>
      <w:lvlJc w:val="left"/>
    </w:lvl>
    <w:lvl w:ilvl="7" w:tplc="C054DC24">
      <w:numFmt w:val="decimal"/>
      <w:lvlText w:val=""/>
      <w:lvlJc w:val="left"/>
    </w:lvl>
    <w:lvl w:ilvl="8" w:tplc="E2626B78">
      <w:numFmt w:val="decimal"/>
      <w:lvlText w:val=""/>
      <w:lvlJc w:val="left"/>
    </w:lvl>
  </w:abstractNum>
  <w:num w:numId="1" w16cid:durableId="109403766">
    <w:abstractNumId w:val="0"/>
    <w:lvlOverride w:ilvl="0">
      <w:startOverride w:val="1"/>
    </w:lvlOverride>
  </w:num>
  <w:num w:numId="2" w16cid:durableId="21092357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7FD"/>
    <w:rsid w:val="001B39E9"/>
    <w:rsid w:val="005618A3"/>
    <w:rsid w:val="00695820"/>
    <w:rsid w:val="0084702D"/>
    <w:rsid w:val="00BB47AC"/>
    <w:rsid w:val="00CD025F"/>
    <w:rsid w:val="00CF43AC"/>
    <w:rsid w:val="00D057FD"/>
    <w:rsid w:val="17DB51ED"/>
    <w:rsid w:val="51EC30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3CC75"/>
  <w15:docId w15:val="{B133F10A-A229-4727-AFE5-4F7C0D617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style>
  <w:style w:type="paragraph" w:styleId="Header">
    <w:name w:val="header"/>
    <w:basedOn w:val="Normal"/>
    <w:link w:val="HeaderChar"/>
    <w:uiPriority w:val="99"/>
    <w:semiHidden/>
    <w:unhideWhenUsed/>
    <w:rsid w:val="00695820"/>
    <w:pPr>
      <w:tabs>
        <w:tab w:val="center" w:pos="4513"/>
        <w:tab w:val="right" w:pos="9026"/>
      </w:tabs>
    </w:pPr>
  </w:style>
  <w:style w:type="character" w:customStyle="1" w:styleId="HeaderChar">
    <w:name w:val="Header Char"/>
    <w:basedOn w:val="DefaultParagraphFont"/>
    <w:link w:val="Header"/>
    <w:uiPriority w:val="99"/>
    <w:semiHidden/>
    <w:rsid w:val="00695820"/>
  </w:style>
  <w:style w:type="paragraph" w:styleId="Footer">
    <w:name w:val="footer"/>
    <w:basedOn w:val="Normal"/>
    <w:link w:val="FooterChar"/>
    <w:uiPriority w:val="99"/>
    <w:semiHidden/>
    <w:unhideWhenUsed/>
    <w:rsid w:val="00695820"/>
    <w:pPr>
      <w:tabs>
        <w:tab w:val="center" w:pos="4513"/>
        <w:tab w:val="right" w:pos="9026"/>
      </w:tabs>
    </w:pPr>
  </w:style>
  <w:style w:type="character" w:customStyle="1" w:styleId="FooterChar">
    <w:name w:val="Footer Char"/>
    <w:basedOn w:val="DefaultParagraphFont"/>
    <w:link w:val="Footer"/>
    <w:uiPriority w:val="99"/>
    <w:semiHidden/>
    <w:rsid w:val="006958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TotalTime>
  <Pages>9</Pages>
  <Words>3199</Words>
  <Characters>18236</Characters>
  <Application>Microsoft Office Word</Application>
  <DocSecurity>0</DocSecurity>
  <Lines>151</Lines>
  <Paragraphs>42</Paragraphs>
  <ScaleCrop>false</ScaleCrop>
  <Company/>
  <LinksUpToDate>false</LinksUpToDate>
  <CharactersWithSpaces>21393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Chitrangi Mestry</cp:lastModifiedBy>
  <cp:revision>4</cp:revision>
  <dcterms:created xsi:type="dcterms:W3CDTF">2026-09-02T09:47:00Z</dcterms:created>
  <dcterms:modified xsi:type="dcterms:W3CDTF">2026-09-02T11:55:00Z</dcterms:modified>
</cp:coreProperties>
</file>