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4A5B" w14:textId="77777777" w:rsidR="001C1728" w:rsidRDefault="00E25435">
      <w:pPr>
        <w:spacing w:after="60"/>
        <w:jc w:val="center"/>
      </w:pPr>
      <w:r>
        <w:rPr>
          <w:rFonts w:ascii="Calibri" w:eastAsia="Calibri" w:hAnsi="Calibri" w:cs="Calibri"/>
          <w:b/>
          <w:bCs/>
          <w:color w:val="215E99"/>
          <w:sz w:val="44"/>
          <w:szCs w:val="44"/>
        </w:rPr>
        <w:t>Minutes of Meeting</w:t>
      </w:r>
    </w:p>
    <w:p w14:paraId="104D6259" w14:textId="77777777" w:rsidR="001C1728" w:rsidRDefault="00E25435">
      <w:pPr>
        <w:pBdr>
          <w:bottom w:val="single" w:sz="6" w:space="8" w:color="0D6EFD"/>
        </w:pBdr>
        <w:spacing w:after="160"/>
        <w:jc w:val="center"/>
      </w:pPr>
      <w:r>
        <w:rPr>
          <w:rFonts w:ascii="Calibri" w:eastAsia="Calibri" w:hAnsi="Calibri" w:cs="Calibri"/>
          <w:i/>
          <w:iCs/>
          <w:color w:val="0B1324"/>
          <w:sz w:val="24"/>
          <w:szCs w:val="24"/>
        </w:rPr>
        <w:t>Workshop — Wallet, Funding &amp; Stored Value Configuration (Wallet Types, Top-Up, Family Wallets, Gift Cards &amp; Fraud Controls)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125"/>
        <w:gridCol w:w="1700"/>
        <w:gridCol w:w="2825"/>
      </w:tblGrid>
      <w:tr w:rsidR="001C1728" w14:paraId="2F61BDA2"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03C2A948" w14:textId="77777777" w:rsidR="001C1728" w:rsidRDefault="00E25435">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5DE4E46E" w14:textId="77777777" w:rsidR="001C1728" w:rsidRDefault="00E25435">
            <w:r>
              <w:rPr>
                <w:rFonts w:ascii="Calibri" w:eastAsia="Calibri" w:hAnsi="Calibri" w:cs="Calibri"/>
                <w:sz w:val="24"/>
                <w:szCs w:val="24"/>
              </w:rPr>
              <w:t>27-August-2026</w:t>
            </w:r>
          </w:p>
        </w:tc>
        <w:tc>
          <w:tcPr>
            <w:tcW w:w="1700" w:type="dxa"/>
            <w:shd w:val="clear" w:color="auto" w:fill="E7EEFB"/>
            <w:tcMar>
              <w:top w:w="80" w:type="dxa"/>
              <w:left w:w="120" w:type="dxa"/>
              <w:bottom w:w="80" w:type="dxa"/>
              <w:right w:w="120" w:type="dxa"/>
            </w:tcMar>
            <w:vAlign w:val="center"/>
          </w:tcPr>
          <w:p w14:paraId="311C2F6C" w14:textId="77777777" w:rsidR="001C1728" w:rsidRDefault="00E25435">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21540572" w14:textId="77777777" w:rsidR="001C1728" w:rsidRDefault="00E25435">
            <w:r>
              <w:rPr>
                <w:rFonts w:ascii="Calibri" w:eastAsia="Calibri" w:hAnsi="Calibri" w:cs="Calibri"/>
                <w:sz w:val="24"/>
                <w:szCs w:val="24"/>
              </w:rPr>
              <w:t>TICVAI</w:t>
            </w:r>
          </w:p>
        </w:tc>
      </w:tr>
      <w:tr w:rsidR="001C1728" w14:paraId="4B3D8774"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53B4B3D0" w14:textId="77777777" w:rsidR="001C1728" w:rsidRDefault="00E25435">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566302BC" w14:textId="77777777" w:rsidR="001C1728" w:rsidRDefault="00E25435">
            <w:r>
              <w:rPr>
                <w:rFonts w:ascii="Calibri" w:eastAsia="Calibri" w:hAnsi="Calibri" w:cs="Calibri"/>
                <w:sz w:val="24"/>
                <w:szCs w:val="24"/>
              </w:rPr>
              <w:t>Product Workshop — Wallet, Funding &amp; Stored Value Configuration</w:t>
            </w:r>
          </w:p>
        </w:tc>
        <w:tc>
          <w:tcPr>
            <w:tcW w:w="1700" w:type="dxa"/>
            <w:shd w:val="clear" w:color="auto" w:fill="E7EEFB"/>
            <w:tcMar>
              <w:top w:w="80" w:type="dxa"/>
              <w:left w:w="120" w:type="dxa"/>
              <w:bottom w:w="80" w:type="dxa"/>
              <w:right w:w="120" w:type="dxa"/>
            </w:tcMar>
            <w:vAlign w:val="center"/>
          </w:tcPr>
          <w:p w14:paraId="2F6CCDC6" w14:textId="77777777" w:rsidR="001C1728" w:rsidRDefault="00E25435">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7C1EF8D9" w14:textId="77777777" w:rsidR="001C1728" w:rsidRDefault="00E25435">
            <w:r>
              <w:rPr>
                <w:rFonts w:ascii="Calibri" w:eastAsia="Calibri" w:hAnsi="Calibri" w:cs="Calibri"/>
                <w:sz w:val="24"/>
                <w:szCs w:val="24"/>
              </w:rPr>
              <w:t>Chitrangi Mestry</w:t>
            </w:r>
          </w:p>
        </w:tc>
      </w:tr>
    </w:tbl>
    <w:p w14:paraId="12825944" w14:textId="77777777" w:rsidR="001C1728" w:rsidRDefault="001C1728">
      <w:pPr>
        <w:spacing w:after="160"/>
      </w:pPr>
    </w:p>
    <w:p w14:paraId="2DA73D4D" w14:textId="77777777" w:rsidR="001C1728" w:rsidRDefault="00E25435">
      <w:pPr>
        <w:spacing w:before="180" w:after="100"/>
      </w:pPr>
      <w:r>
        <w:rPr>
          <w:rFonts w:ascii="Calibri" w:eastAsia="Calibri" w:hAnsi="Calibri" w:cs="Calibri"/>
          <w:b/>
          <w:bCs/>
          <w:color w:val="215E99"/>
          <w:sz w:val="32"/>
          <w:szCs w:val="32"/>
        </w:rPr>
        <w:t>Primary Objective</w:t>
      </w:r>
    </w:p>
    <w:p w14:paraId="03E78446" w14:textId="77777777" w:rsidR="001C1728" w:rsidRDefault="00E25435">
      <w:pPr>
        <w:spacing w:after="120"/>
      </w:pPr>
      <w:r>
        <w:rPr>
          <w:rFonts w:ascii="Calibri" w:eastAsia="Calibri" w:hAnsi="Calibri" w:cs="Calibri"/>
          <w:color w:val="000000"/>
          <w:sz w:val="24"/>
          <w:szCs w:val="24"/>
        </w:rPr>
        <w:t>To walk through the wallet module in detail — wallet foundation and types, funding/top-up and reload management, stored value and credit-consumption logic, family/parent-child and corporate wallets, gift cards and vouchers, wallet payments and transfers, and fraud/risk and API governance — so the team can align on configuration strategy ahead of build.</w:t>
      </w:r>
    </w:p>
    <w:p w14:paraId="63CA27FA" w14:textId="77777777" w:rsidR="001C1728" w:rsidRDefault="00E25435">
      <w:pPr>
        <w:spacing w:before="180" w:after="100"/>
      </w:pPr>
      <w:r>
        <w:rPr>
          <w:rFonts w:ascii="Calibri" w:eastAsia="Calibri" w:hAnsi="Calibri" w:cs="Calibri"/>
          <w:b/>
          <w:bCs/>
          <w:color w:val="215E99"/>
          <w:sz w:val="32"/>
          <w:szCs w:val="32"/>
        </w:rPr>
        <w:t>Participants</w:t>
      </w:r>
    </w:p>
    <w:p w14:paraId="5D6C84A6" w14:textId="6B6728B4" w:rsidR="001C1728" w:rsidRDefault="00E25435">
      <w:pPr>
        <w:pStyle w:val="ListParagraph"/>
        <w:numPr>
          <w:ilvl w:val="0"/>
          <w:numId w:val="2"/>
        </w:numPr>
        <w:spacing w:after="70"/>
      </w:pPr>
      <w:r>
        <w:rPr>
          <w:rFonts w:ascii="Calibri" w:eastAsia="Calibri" w:hAnsi="Calibri" w:cs="Calibri"/>
          <w:sz w:val="24"/>
          <w:szCs w:val="24"/>
        </w:rPr>
        <w:t xml:space="preserve">TICVAI Team </w:t>
      </w:r>
    </w:p>
    <w:p w14:paraId="2729C48D" w14:textId="199E5D1F" w:rsidR="001C1728" w:rsidRDefault="00E25435">
      <w:pPr>
        <w:pStyle w:val="ListParagraph"/>
        <w:numPr>
          <w:ilvl w:val="0"/>
          <w:numId w:val="2"/>
        </w:numPr>
        <w:spacing w:after="70"/>
      </w:pPr>
      <w:r>
        <w:rPr>
          <w:rFonts w:ascii="Calibri" w:eastAsia="Calibri" w:hAnsi="Calibri" w:cs="Calibri"/>
          <w:sz w:val="24"/>
          <w:szCs w:val="24"/>
        </w:rPr>
        <w:t xml:space="preserve">Softlabs Team </w:t>
      </w:r>
    </w:p>
    <w:p w14:paraId="08660C73" w14:textId="77777777" w:rsidR="001C1728" w:rsidRDefault="00E25435">
      <w:pPr>
        <w:spacing w:before="180" w:after="100"/>
      </w:pPr>
      <w:r>
        <w:rPr>
          <w:rFonts w:ascii="Calibri" w:eastAsia="Calibri" w:hAnsi="Calibri" w:cs="Calibri"/>
          <w:b/>
          <w:bCs/>
          <w:color w:val="215E99"/>
          <w:sz w:val="32"/>
          <w:szCs w:val="32"/>
        </w:rPr>
        <w:t>Agenda</w:t>
      </w:r>
    </w:p>
    <w:p w14:paraId="4DF8463B" w14:textId="77777777" w:rsidR="001C1728" w:rsidRDefault="00E25435">
      <w:pPr>
        <w:pStyle w:val="ListParagraph"/>
        <w:numPr>
          <w:ilvl w:val="0"/>
          <w:numId w:val="2"/>
        </w:numPr>
        <w:spacing w:after="70"/>
      </w:pPr>
      <w:r>
        <w:rPr>
          <w:rFonts w:ascii="Calibri" w:eastAsia="Calibri" w:hAnsi="Calibri" w:cs="Calibri"/>
          <w:sz w:val="24"/>
          <w:szCs w:val="24"/>
        </w:rPr>
        <w:t>Wallet foundation and dashboard overview</w:t>
      </w:r>
    </w:p>
    <w:p w14:paraId="48AB36F3" w14:textId="77777777" w:rsidR="001C1728" w:rsidRDefault="00E25435">
      <w:pPr>
        <w:pStyle w:val="ListParagraph"/>
        <w:numPr>
          <w:ilvl w:val="0"/>
          <w:numId w:val="2"/>
        </w:numPr>
        <w:spacing w:after="70"/>
      </w:pPr>
      <w:r>
        <w:rPr>
          <w:rFonts w:ascii="Calibri" w:eastAsia="Calibri" w:hAnsi="Calibri" w:cs="Calibri"/>
          <w:sz w:val="24"/>
          <w:szCs w:val="24"/>
        </w:rPr>
        <w:t>Wallet type library, ownership and account association</w:t>
      </w:r>
    </w:p>
    <w:p w14:paraId="6B67E93B" w14:textId="77777777" w:rsidR="001C1728" w:rsidRDefault="00E25435">
      <w:pPr>
        <w:pStyle w:val="ListParagraph"/>
        <w:numPr>
          <w:ilvl w:val="0"/>
          <w:numId w:val="2"/>
        </w:numPr>
        <w:spacing w:after="70"/>
      </w:pPr>
      <w:r>
        <w:rPr>
          <w:rFonts w:ascii="Calibri" w:eastAsia="Calibri" w:hAnsi="Calibri" w:cs="Calibri"/>
          <w:sz w:val="24"/>
          <w:szCs w:val="24"/>
        </w:rPr>
        <w:t>Currency, credit types and wallet feature profile</w:t>
      </w:r>
    </w:p>
    <w:p w14:paraId="0C6B7E4A" w14:textId="77777777" w:rsidR="001C1728" w:rsidRDefault="00E25435">
      <w:pPr>
        <w:pStyle w:val="ListParagraph"/>
        <w:numPr>
          <w:ilvl w:val="0"/>
          <w:numId w:val="2"/>
        </w:numPr>
        <w:spacing w:after="70"/>
      </w:pPr>
      <w:r>
        <w:rPr>
          <w:rFonts w:ascii="Calibri" w:eastAsia="Calibri" w:hAnsi="Calibri" w:cs="Calibri"/>
          <w:sz w:val="24"/>
          <w:szCs w:val="24"/>
        </w:rPr>
        <w:t>Wallet lifecycle, numbering and publish flow</w:t>
      </w:r>
    </w:p>
    <w:p w14:paraId="12D8881F" w14:textId="77777777" w:rsidR="001C1728" w:rsidRDefault="00E25435">
      <w:pPr>
        <w:pStyle w:val="ListParagraph"/>
        <w:numPr>
          <w:ilvl w:val="0"/>
          <w:numId w:val="2"/>
        </w:numPr>
        <w:spacing w:after="70"/>
      </w:pPr>
      <w:r>
        <w:rPr>
          <w:rFonts w:ascii="Calibri" w:eastAsia="Calibri" w:hAnsi="Calibri" w:cs="Calibri"/>
          <w:sz w:val="24"/>
          <w:szCs w:val="24"/>
        </w:rPr>
        <w:t>Funding, top-up and reload management</w:t>
      </w:r>
    </w:p>
    <w:p w14:paraId="17EAB953" w14:textId="77777777" w:rsidR="001C1728" w:rsidRDefault="00E25435">
      <w:pPr>
        <w:pStyle w:val="ListParagraph"/>
        <w:numPr>
          <w:ilvl w:val="0"/>
          <w:numId w:val="2"/>
        </w:numPr>
        <w:spacing w:after="70"/>
      </w:pPr>
      <w:r>
        <w:rPr>
          <w:rFonts w:ascii="Calibri" w:eastAsia="Calibri" w:hAnsi="Calibri" w:cs="Calibri"/>
          <w:sz w:val="24"/>
          <w:szCs w:val="24"/>
        </w:rPr>
        <w:t>Stored value, credit consumption and FEFO (first-expiry-first-out) logic</w:t>
      </w:r>
    </w:p>
    <w:p w14:paraId="22D45123" w14:textId="77777777" w:rsidR="001C1728" w:rsidRDefault="00E25435">
      <w:pPr>
        <w:pStyle w:val="ListParagraph"/>
        <w:numPr>
          <w:ilvl w:val="0"/>
          <w:numId w:val="2"/>
        </w:numPr>
        <w:spacing w:after="70"/>
      </w:pPr>
      <w:r>
        <w:rPr>
          <w:rFonts w:ascii="Calibri" w:eastAsia="Calibri" w:hAnsi="Calibri" w:cs="Calibri"/>
          <w:sz w:val="24"/>
          <w:szCs w:val="24"/>
        </w:rPr>
        <w:t>Split-tender payments, redemption rules and configuration simulation</w:t>
      </w:r>
    </w:p>
    <w:p w14:paraId="46397718" w14:textId="77777777" w:rsidR="001C1728" w:rsidRDefault="00E25435">
      <w:pPr>
        <w:pStyle w:val="ListParagraph"/>
        <w:numPr>
          <w:ilvl w:val="0"/>
          <w:numId w:val="2"/>
        </w:numPr>
        <w:spacing w:after="70"/>
      </w:pPr>
      <w:r>
        <w:rPr>
          <w:rFonts w:ascii="Calibri" w:eastAsia="Calibri" w:hAnsi="Calibri" w:cs="Calibri"/>
          <w:sz w:val="24"/>
          <w:szCs w:val="24"/>
        </w:rPr>
        <w:t>Family, parent-child and corporate wallets</w:t>
      </w:r>
    </w:p>
    <w:p w14:paraId="259AA338" w14:textId="77777777" w:rsidR="001C1728" w:rsidRDefault="00E25435">
      <w:pPr>
        <w:pStyle w:val="ListParagraph"/>
        <w:numPr>
          <w:ilvl w:val="0"/>
          <w:numId w:val="2"/>
        </w:numPr>
        <w:spacing w:after="70"/>
      </w:pPr>
      <w:r>
        <w:rPr>
          <w:rFonts w:ascii="Calibri" w:eastAsia="Calibri" w:hAnsi="Calibri" w:cs="Calibri"/>
          <w:sz w:val="24"/>
          <w:szCs w:val="24"/>
        </w:rPr>
        <w:t>Gift cards, vouchers and wallet payments</w:t>
      </w:r>
    </w:p>
    <w:p w14:paraId="38746A78" w14:textId="77777777" w:rsidR="001C1728" w:rsidRDefault="00E25435">
      <w:pPr>
        <w:pStyle w:val="ListParagraph"/>
        <w:numPr>
          <w:ilvl w:val="0"/>
          <w:numId w:val="2"/>
        </w:numPr>
        <w:spacing w:after="70"/>
      </w:pPr>
      <w:r>
        <w:rPr>
          <w:rFonts w:ascii="Calibri" w:eastAsia="Calibri" w:hAnsi="Calibri" w:cs="Calibri"/>
          <w:sz w:val="24"/>
          <w:szCs w:val="24"/>
        </w:rPr>
        <w:t>Transfers, fraud/risk controls and finance reconciliation</w:t>
      </w:r>
    </w:p>
    <w:p w14:paraId="6525503D" w14:textId="77777777" w:rsidR="001C1728" w:rsidRDefault="00E25435">
      <w:pPr>
        <w:pStyle w:val="ListParagraph"/>
        <w:numPr>
          <w:ilvl w:val="0"/>
          <w:numId w:val="2"/>
        </w:numPr>
        <w:spacing w:after="70"/>
      </w:pPr>
      <w:r>
        <w:rPr>
          <w:rFonts w:ascii="Calibri" w:eastAsia="Calibri" w:hAnsi="Calibri" w:cs="Calibri"/>
          <w:sz w:val="24"/>
          <w:szCs w:val="24"/>
        </w:rPr>
        <w:t>API integration and third-party POS governance</w:t>
      </w:r>
    </w:p>
    <w:p w14:paraId="63841B69" w14:textId="77777777" w:rsidR="001C1728" w:rsidRDefault="00E25435">
      <w:pPr>
        <w:pStyle w:val="ListParagraph"/>
        <w:numPr>
          <w:ilvl w:val="0"/>
          <w:numId w:val="2"/>
        </w:numPr>
        <w:spacing w:after="70"/>
      </w:pPr>
      <w:r>
        <w:rPr>
          <w:rFonts w:ascii="Calibri" w:eastAsia="Calibri" w:hAnsi="Calibri" w:cs="Calibri"/>
          <w:sz w:val="24"/>
          <w:szCs w:val="24"/>
        </w:rPr>
        <w:t>Planning for the next session and other project updates</w:t>
      </w:r>
    </w:p>
    <w:p w14:paraId="5E1C7085" w14:textId="77777777" w:rsidR="001C1728" w:rsidRDefault="00E25435">
      <w:pPr>
        <w:spacing w:before="180" w:after="100"/>
      </w:pPr>
      <w:r>
        <w:rPr>
          <w:rFonts w:ascii="Calibri" w:eastAsia="Calibri" w:hAnsi="Calibri" w:cs="Calibri"/>
          <w:b/>
          <w:bCs/>
          <w:color w:val="215E99"/>
          <w:sz w:val="32"/>
          <w:szCs w:val="32"/>
        </w:rPr>
        <w:t>4. Detailed Discussion</w:t>
      </w:r>
    </w:p>
    <w:p w14:paraId="0415954E" w14:textId="77777777" w:rsidR="001C1728" w:rsidRDefault="00E25435">
      <w:pPr>
        <w:spacing w:before="140" w:after="60"/>
      </w:pPr>
      <w:r>
        <w:rPr>
          <w:rFonts w:ascii="Calibri" w:eastAsia="Calibri" w:hAnsi="Calibri" w:cs="Calibri"/>
          <w:b/>
          <w:bCs/>
          <w:color w:val="215E99"/>
          <w:sz w:val="32"/>
          <w:szCs w:val="32"/>
        </w:rPr>
        <w:t>4.1 Wallet Foundation &amp; Dashboard</w:t>
      </w:r>
    </w:p>
    <w:p w14:paraId="4B0D95E5" w14:textId="77777777" w:rsidR="001C1728" w:rsidRDefault="00E25435">
      <w:pPr>
        <w:pStyle w:val="ListParagraph"/>
        <w:numPr>
          <w:ilvl w:val="0"/>
          <w:numId w:val="2"/>
        </w:numPr>
        <w:spacing w:after="70"/>
      </w:pPr>
      <w:r>
        <w:rPr>
          <w:rFonts w:ascii="Calibri" w:eastAsia="Calibri" w:hAnsi="Calibri" w:cs="Calibri"/>
          <w:sz w:val="24"/>
          <w:szCs w:val="24"/>
        </w:rPr>
        <w:lastRenderedPageBreak/>
        <w:t>Allam introduced the wallet foundation screen — defining the types of wallets to be set up and how wallet configuration works overall — alongside a dashboard giving an overview of all live wallet balances: total wallet value, total spend, and total recharge activity.</w:t>
      </w:r>
    </w:p>
    <w:p w14:paraId="633C53BF" w14:textId="77777777" w:rsidR="001C1728" w:rsidRDefault="00E25435">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wallet balances are tied to revenue recognition. Money loaded by a customer is initially recorded as a liability; once the balance is consumed against a specific product/service, it is recognized against that product's revenue account.</w:t>
      </w:r>
    </w:p>
    <w:p w14:paraId="1C65B343" w14:textId="77777777" w:rsidR="001C1728" w:rsidRDefault="00E25435">
      <w:pPr>
        <w:spacing w:before="140" w:after="60"/>
      </w:pPr>
      <w:r>
        <w:rPr>
          <w:rFonts w:ascii="Calibri" w:eastAsia="Calibri" w:hAnsi="Calibri" w:cs="Calibri"/>
          <w:b/>
          <w:bCs/>
          <w:color w:val="215E99"/>
          <w:sz w:val="32"/>
          <w:szCs w:val="32"/>
        </w:rPr>
        <w:t>4.2 Wallet Type Library, Ownership &amp; Account Association</w:t>
      </w:r>
    </w:p>
    <w:p w14:paraId="049AC1E6" w14:textId="77777777" w:rsidR="001C1728" w:rsidRDefault="00E25435">
      <w:pPr>
        <w:pStyle w:val="ListParagraph"/>
        <w:numPr>
          <w:ilvl w:val="0"/>
          <w:numId w:val="2"/>
        </w:numPr>
        <w:spacing w:after="70"/>
      </w:pPr>
      <w:r>
        <w:rPr>
          <w:rFonts w:ascii="Calibri" w:eastAsia="Calibri" w:hAnsi="Calibri" w:cs="Calibri"/>
          <w:sz w:val="24"/>
          <w:szCs w:val="24"/>
        </w:rPr>
        <w:t>Wallet type library: multiple wallet types can be created based on business need (e.g., guest wallet, family wallet, membership wallet), each assignable to a category (individual, corporate, member, etc.).</w:t>
      </w:r>
    </w:p>
    <w:p w14:paraId="400D3CA4" w14:textId="77777777" w:rsidR="001C1728" w:rsidRDefault="00E25435">
      <w:pPr>
        <w:pStyle w:val="ListParagraph"/>
        <w:numPr>
          <w:ilvl w:val="0"/>
          <w:numId w:val="2"/>
        </w:numPr>
        <w:spacing w:after="70"/>
      </w:pPr>
      <w:r>
        <w:rPr>
          <w:rFonts w:ascii="Calibri" w:eastAsia="Calibri" w:hAnsi="Calibri" w:cs="Calibri"/>
          <w:sz w:val="24"/>
          <w:szCs w:val="24"/>
        </w:rPr>
        <w:t>Wallet creation &amp; provisioning rules define the trigger point at which a wallet is created — e.g., on membership purchase, or on completing a top-up transaction. Two general patterns were discussed: a gift-card style wallet (pre-defined, purchasable value products listed on the website) and an “add money to wallet” style wallet (open-ended top-up against a guest profile).</w:t>
      </w:r>
    </w:p>
    <w:p w14:paraId="56DC403C" w14:textId="77777777" w:rsidR="001C1728" w:rsidRDefault="00E25435">
      <w:pPr>
        <w:pStyle w:val="ListParagraph"/>
        <w:numPr>
          <w:ilvl w:val="0"/>
          <w:numId w:val="2"/>
        </w:numPr>
        <w:spacing w:after="70"/>
      </w:pPr>
      <w:r>
        <w:rPr>
          <w:rFonts w:ascii="Calibri" w:eastAsia="Calibri" w:hAnsi="Calibri" w:cs="Calibri"/>
          <w:b/>
          <w:bCs/>
          <w:sz w:val="24"/>
          <w:szCs w:val="24"/>
        </w:rPr>
        <w:t xml:space="preserve">Wallet ownership &amp; account association: </w:t>
      </w:r>
      <w:r>
        <w:rPr>
          <w:rFonts w:ascii="Calibri" w:eastAsia="Calibri" w:hAnsi="Calibri" w:cs="Calibri"/>
          <w:sz w:val="24"/>
          <w:szCs w:val="24"/>
        </w:rPr>
        <w:t>defines who owns and controls a wallet. In a family example, a parent can add money to the wallet while children can view the balance and spend but cannot top up — access rules are configurable per wallet type.</w:t>
      </w:r>
    </w:p>
    <w:p w14:paraId="5A9923C6" w14:textId="77777777" w:rsidR="001C1728" w:rsidRDefault="00E25435">
      <w:pPr>
        <w:spacing w:before="140" w:after="60"/>
      </w:pPr>
      <w:r>
        <w:rPr>
          <w:rFonts w:ascii="Calibri" w:eastAsia="Calibri" w:hAnsi="Calibri" w:cs="Calibri"/>
          <w:b/>
          <w:bCs/>
          <w:color w:val="215E99"/>
          <w:sz w:val="32"/>
          <w:szCs w:val="32"/>
        </w:rPr>
        <w:t>4.3 Currency, Credit Types &amp; Wallet Feature Profile</w:t>
      </w:r>
    </w:p>
    <w:p w14:paraId="3FFE44F0" w14:textId="77777777" w:rsidR="001C1728" w:rsidRDefault="00E25435">
      <w:pPr>
        <w:pStyle w:val="ListParagraph"/>
        <w:numPr>
          <w:ilvl w:val="0"/>
          <w:numId w:val="2"/>
        </w:numPr>
        <w:spacing w:after="70"/>
      </w:pPr>
      <w:r>
        <w:rPr>
          <w:rFonts w:ascii="Calibri" w:eastAsia="Calibri" w:hAnsi="Calibri" w:cs="Calibri"/>
          <w:sz w:val="24"/>
          <w:szCs w:val="24"/>
        </w:rPr>
        <w:t>Currency &amp; balance configuration: defines which currencies are supported for a given wallet, along with maximum balance rules. Local-currency top-up (cash or card) is the general case; foreign-currency top-up (e.g., USD) is supported via a configured exchange rate that converts and credits the wallet in local currency.</w:t>
      </w:r>
    </w:p>
    <w:p w14:paraId="18A77525" w14:textId="77777777" w:rsidR="001C1728" w:rsidRDefault="00E25435">
      <w:pPr>
        <w:pStyle w:val="ListParagraph"/>
        <w:numPr>
          <w:ilvl w:val="0"/>
          <w:numId w:val="2"/>
        </w:numPr>
        <w:spacing w:after="70"/>
      </w:pPr>
      <w:r>
        <w:rPr>
          <w:rFonts w:ascii="Calibri" w:eastAsia="Calibri" w:hAnsi="Calibri" w:cs="Calibri"/>
          <w:sz w:val="24"/>
          <w:szCs w:val="24"/>
        </w:rPr>
        <w:t>Credit &amp; balance-type configuration: defines the types of value that can be stored — e.g., cash credit, different credit, bonus credit, gift-card credit — each classified as monetary (usable as general spendable funds) or non-monetary (an entitlement/redemption credit with no stored monetary value, e.g., a meal voucher redeemable only for a specific item).</w:t>
      </w:r>
    </w:p>
    <w:p w14:paraId="6B45CAA1" w14:textId="77777777" w:rsidR="001C1728" w:rsidRDefault="00E25435">
      <w:pPr>
        <w:pStyle w:val="ListParagraph"/>
        <w:numPr>
          <w:ilvl w:val="0"/>
          <w:numId w:val="2"/>
        </w:numPr>
        <w:spacing w:after="70"/>
      </w:pPr>
      <w:r>
        <w:rPr>
          <w:rFonts w:ascii="Calibri" w:eastAsia="Calibri" w:hAnsi="Calibri" w:cs="Calibri"/>
          <w:b/>
          <w:bCs/>
          <w:sz w:val="24"/>
          <w:szCs w:val="24"/>
        </w:rPr>
        <w:t xml:space="preserve">Wallet feature profile: </w:t>
      </w:r>
      <w:r>
        <w:rPr>
          <w:rFonts w:ascii="Calibri" w:eastAsia="Calibri" w:hAnsi="Calibri" w:cs="Calibri"/>
          <w:sz w:val="24"/>
          <w:szCs w:val="24"/>
        </w:rPr>
        <w:t>a global (and optionally wallet-type-specific) configuration of which actions are permitted — e.g., top-up allowed, refund allowed. Example: a membership-benefit credit (e.g., a AED 100 voucher granted with membership purchase) can be configured as spendable but not refundable/cashable-out, since it was granted as a benefit rather than loaded by the customer.</w:t>
      </w:r>
    </w:p>
    <w:p w14:paraId="6F7B798C" w14:textId="77777777" w:rsidR="001C1728" w:rsidRDefault="00E25435">
      <w:pPr>
        <w:spacing w:before="140" w:after="60"/>
      </w:pPr>
      <w:r>
        <w:rPr>
          <w:rFonts w:ascii="Calibri" w:eastAsia="Calibri" w:hAnsi="Calibri" w:cs="Calibri"/>
          <w:b/>
          <w:bCs/>
          <w:color w:val="215E99"/>
          <w:sz w:val="32"/>
          <w:szCs w:val="32"/>
        </w:rPr>
        <w:t>4.4 Wallet Lifecycle, Numbering &amp; Publish Flow</w:t>
      </w:r>
    </w:p>
    <w:p w14:paraId="6EF2E1D3" w14:textId="77777777" w:rsidR="001C1728" w:rsidRDefault="00E25435">
      <w:pPr>
        <w:pStyle w:val="ListParagraph"/>
        <w:numPr>
          <w:ilvl w:val="0"/>
          <w:numId w:val="2"/>
        </w:numPr>
        <w:spacing w:after="70"/>
      </w:pPr>
      <w:r>
        <w:rPr>
          <w:rFonts w:ascii="Calibri" w:eastAsia="Calibri" w:hAnsi="Calibri" w:cs="Calibri"/>
          <w:sz w:val="24"/>
          <w:szCs w:val="24"/>
        </w:rPr>
        <w:t>Wallet lifecycle configuration tracks status from creation to expiry/closure — active, suspended, blocked, or closed.</w:t>
      </w:r>
    </w:p>
    <w:p w14:paraId="76CE4021" w14:textId="77777777" w:rsidR="001C1728" w:rsidRDefault="00E25435">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every wallet requires a validity period; it cannot remain open indefinitely. Once the validity period lapses, any remaining balance is automatically swept to a finance-designated account, per policy — this applies to monetary balances as well as non-monetary credits/vouchers, not only to points-style rewards.</w:t>
      </w:r>
    </w:p>
    <w:p w14:paraId="617F2227" w14:textId="77777777" w:rsidR="001C1728" w:rsidRDefault="00E25435">
      <w:pPr>
        <w:pStyle w:val="ListParagraph"/>
        <w:numPr>
          <w:ilvl w:val="0"/>
          <w:numId w:val="2"/>
        </w:numPr>
        <w:spacing w:after="70"/>
      </w:pPr>
      <w:r>
        <w:rPr>
          <w:rFonts w:ascii="Calibri" w:eastAsia="Calibri" w:hAnsi="Calibri" w:cs="Calibri"/>
          <w:sz w:val="24"/>
          <w:szCs w:val="24"/>
        </w:rPr>
        <w:lastRenderedPageBreak/>
        <w:t>Wallet numbering: each wallet is issued a unique wallet code (similar to a ticket number), with configurable association to physical/digital media — QR code, RFID, or other media types.</w:t>
      </w:r>
    </w:p>
    <w:p w14:paraId="654E2F39" w14:textId="77777777" w:rsidR="001C1728" w:rsidRDefault="00E25435">
      <w:pPr>
        <w:pStyle w:val="ListParagraph"/>
        <w:numPr>
          <w:ilvl w:val="0"/>
          <w:numId w:val="2"/>
        </w:numPr>
        <w:spacing w:after="70"/>
      </w:pPr>
      <w:r>
        <w:rPr>
          <w:rFonts w:ascii="Calibri" w:eastAsia="Calibri" w:hAnsi="Calibri" w:cs="Calibri"/>
          <w:sz w:val="24"/>
          <w:szCs w:val="24"/>
        </w:rPr>
        <w:t>A final review/publish screen summarizes the completed wallet-type configuration (rules, applicable channels) before it is published live.</w:t>
      </w:r>
    </w:p>
    <w:p w14:paraId="03767D9F" w14:textId="77777777" w:rsidR="001C1728" w:rsidRDefault="00E25435">
      <w:pPr>
        <w:spacing w:before="140" w:after="60"/>
      </w:pPr>
      <w:r>
        <w:rPr>
          <w:rFonts w:ascii="Calibri" w:eastAsia="Calibri" w:hAnsi="Calibri" w:cs="Calibri"/>
          <w:b/>
          <w:bCs/>
          <w:color w:val="215E99"/>
          <w:sz w:val="32"/>
          <w:szCs w:val="32"/>
        </w:rPr>
        <w:t>4.5 Funding, Top-Up &amp; Reload Management</w:t>
      </w:r>
    </w:p>
    <w:p w14:paraId="73BDDD0E" w14:textId="77777777" w:rsidR="001C1728" w:rsidRDefault="00E25435">
      <w:pPr>
        <w:pStyle w:val="ListParagraph"/>
        <w:numPr>
          <w:ilvl w:val="0"/>
          <w:numId w:val="2"/>
        </w:numPr>
        <w:spacing w:after="70"/>
      </w:pPr>
      <w:r>
        <w:rPr>
          <w:rFonts w:ascii="Calibri" w:eastAsia="Calibri" w:hAnsi="Calibri" w:cs="Calibri"/>
          <w:sz w:val="24"/>
          <w:szCs w:val="24"/>
        </w:rPr>
        <w:t>A top-up dashboard shows all wallet top-ups (successful or failed) and funding-by-source breakdowns (credit card, debit card, cash, etc.), with totals by day/month/year.</w:t>
      </w:r>
    </w:p>
    <w:p w14:paraId="55D646F0" w14:textId="77777777" w:rsidR="001C1728" w:rsidRDefault="00E25435">
      <w:pPr>
        <w:pStyle w:val="ListParagraph"/>
        <w:numPr>
          <w:ilvl w:val="0"/>
          <w:numId w:val="2"/>
        </w:numPr>
        <w:spacing w:after="70"/>
      </w:pPr>
      <w:r>
        <w:rPr>
          <w:rFonts w:ascii="Calibri" w:eastAsia="Calibri" w:hAnsi="Calibri" w:cs="Calibri"/>
          <w:sz w:val="24"/>
          <w:szCs w:val="24"/>
        </w:rPr>
        <w:t>Funding method configuration defines which payment methods (cash, card, online, POS, kiosk self-service) are supported for adding money to a wallet.</w:t>
      </w:r>
    </w:p>
    <w:p w14:paraId="186C51E9" w14:textId="77777777" w:rsidR="001C1728" w:rsidRDefault="00E25435">
      <w:pPr>
        <w:pStyle w:val="ListParagraph"/>
        <w:numPr>
          <w:ilvl w:val="0"/>
          <w:numId w:val="2"/>
        </w:numPr>
        <w:spacing w:after="70"/>
      </w:pPr>
      <w:r>
        <w:rPr>
          <w:rFonts w:ascii="Calibri" w:eastAsia="Calibri" w:hAnsi="Calibri" w:cs="Calibri"/>
          <w:b/>
          <w:bCs/>
          <w:sz w:val="24"/>
          <w:szCs w:val="24"/>
        </w:rPr>
        <w:t xml:space="preserve">Clarified (manual admin funding): </w:t>
      </w:r>
      <w:r>
        <w:rPr>
          <w:rFonts w:ascii="Calibri" w:eastAsia="Calibri" w:hAnsi="Calibri" w:cs="Calibri"/>
          <w:sz w:val="24"/>
          <w:szCs w:val="24"/>
        </w:rPr>
        <w:t>this is a payment method used, for example, to issue a goodwill/service-recovery credit to a guest's wallet (e.g., where service fell short of expectations), rather than a standard customer-initiated top-up.</w:t>
      </w:r>
    </w:p>
    <w:p w14:paraId="0E8F20A1" w14:textId="77777777" w:rsidR="001C1728" w:rsidRDefault="00E25435">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role-based permissions for staff funding wallets, and how a manual top-up reconciles against the finance ledger.</w:t>
      </w:r>
    </w:p>
    <w:p w14:paraId="23E370D2" w14:textId="77777777" w:rsidR="001C1728" w:rsidRDefault="00E25435">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every financial transaction (revenue, payment, tax, wallet top-up) is tied to a chart-of-account entry, so P&amp;L and balance-sheet reporting can correctly reflect assets, liabilities, income and expenses — e.g., total wallet balances outstanding are reported as a liability owed to customers.</w:t>
      </w:r>
    </w:p>
    <w:p w14:paraId="676BE1D5" w14:textId="77777777" w:rsidR="001C1728" w:rsidRDefault="00E25435">
      <w:pPr>
        <w:pStyle w:val="ListParagraph"/>
        <w:numPr>
          <w:ilvl w:val="0"/>
          <w:numId w:val="2"/>
        </w:numPr>
        <w:spacing w:after="70"/>
      </w:pPr>
      <w:r>
        <w:rPr>
          <w:rFonts w:ascii="Calibri" w:eastAsia="Calibri" w:hAnsi="Calibri" w:cs="Calibri"/>
          <w:sz w:val="24"/>
          <w:szCs w:val="24"/>
        </w:rPr>
        <w:t>Top-up rule configuration sets minimum and maximum top-up amounts (e.g., a variable top-up with a configured minimum, and a maximum cap per transaction).</w:t>
      </w:r>
    </w:p>
    <w:p w14:paraId="30C39567" w14:textId="77777777" w:rsidR="001C1728" w:rsidRDefault="00E25435">
      <w:pPr>
        <w:pStyle w:val="ListParagraph"/>
        <w:numPr>
          <w:ilvl w:val="0"/>
          <w:numId w:val="2"/>
        </w:numPr>
        <w:spacing w:after="70"/>
      </w:pPr>
      <w:r>
        <w:rPr>
          <w:rFonts w:ascii="Calibri" w:eastAsia="Calibri" w:hAnsi="Calibri" w:cs="Calibri"/>
          <w:sz w:val="24"/>
          <w:szCs w:val="24"/>
        </w:rPr>
        <w:t>Channel &amp; funding-source mapping restricts which payment methods are available on which channel (e.g., cash top-up allowed only on-site, not online).</w:t>
      </w:r>
    </w:p>
    <w:p w14:paraId="5A474EE8" w14:textId="77777777" w:rsidR="001C1728" w:rsidRDefault="00E25435">
      <w:pPr>
        <w:pStyle w:val="ListParagraph"/>
        <w:numPr>
          <w:ilvl w:val="0"/>
          <w:numId w:val="2"/>
        </w:numPr>
        <w:spacing w:after="70"/>
      </w:pPr>
      <w:r>
        <w:rPr>
          <w:rFonts w:ascii="Calibri" w:eastAsia="Calibri" w:hAnsi="Calibri" w:cs="Calibri"/>
          <w:b/>
          <w:bCs/>
          <w:sz w:val="24"/>
          <w:szCs w:val="24"/>
        </w:rPr>
        <w:t xml:space="preserve">Auto-reload configuration: </w:t>
      </w:r>
      <w:r>
        <w:rPr>
          <w:rFonts w:ascii="Calibri" w:eastAsia="Calibri" w:hAnsi="Calibri" w:cs="Calibri"/>
          <w:sz w:val="24"/>
          <w:szCs w:val="24"/>
        </w:rPr>
        <w:t>proposed as a feature where a wallet automatically tops up by a configured amount once the balance falls below a threshold. Allam flagged this as a nice-to-have without a confirmed real-world use case yet; Chinmay agreed it is still worth including for higher-value/frequent guests who prefer not to manage top-ups manually.</w:t>
      </w:r>
    </w:p>
    <w:p w14:paraId="7CAB06D9" w14:textId="77777777" w:rsidR="001C1728" w:rsidRDefault="00E25435">
      <w:pPr>
        <w:pStyle w:val="ListParagraph"/>
        <w:numPr>
          <w:ilvl w:val="0"/>
          <w:numId w:val="2"/>
        </w:numPr>
        <w:spacing w:after="70"/>
      </w:pPr>
      <w:r>
        <w:rPr>
          <w:rFonts w:ascii="Calibri" w:eastAsia="Calibri" w:hAnsi="Calibri" w:cs="Calibri"/>
          <w:b/>
          <w:bCs/>
          <w:sz w:val="24"/>
          <w:szCs w:val="24"/>
        </w:rPr>
        <w:t xml:space="preserve">Recurring funding schedule: </w:t>
      </w:r>
      <w:r>
        <w:rPr>
          <w:rFonts w:ascii="Calibri" w:eastAsia="Calibri" w:hAnsi="Calibri" w:cs="Calibri"/>
          <w:sz w:val="24"/>
          <w:szCs w:val="24"/>
        </w:rPr>
        <w:t>a separate, calendar-based scheduled top-up (e.g., a fixed amount added every Monday), distinct from auto-reload since it is triggered by date rather than by balance threshold.</w:t>
      </w:r>
    </w:p>
    <w:p w14:paraId="4832BA9A" w14:textId="77777777" w:rsidR="001C1728" w:rsidRDefault="00E25435">
      <w:pPr>
        <w:pStyle w:val="ListParagraph"/>
        <w:numPr>
          <w:ilvl w:val="0"/>
          <w:numId w:val="2"/>
        </w:numPr>
        <w:spacing w:after="70"/>
      </w:pPr>
      <w:r>
        <w:rPr>
          <w:rFonts w:ascii="Calibri" w:eastAsia="Calibri" w:hAnsi="Calibri" w:cs="Calibri"/>
          <w:b/>
          <w:bCs/>
          <w:sz w:val="24"/>
          <w:szCs w:val="24"/>
        </w:rPr>
        <w:t xml:space="preserve">Requested (Chinmay): </w:t>
      </w:r>
      <w:r>
        <w:rPr>
          <w:rFonts w:ascii="Calibri" w:eastAsia="Calibri" w:hAnsi="Calibri" w:cs="Calibri"/>
          <w:sz w:val="24"/>
          <w:szCs w:val="24"/>
        </w:rPr>
        <w:t>both auto-reload and recurring funding schedules should be configurable by the guest themselves via the guest/web app, not only by venue admins on the back end.</w:t>
      </w:r>
    </w:p>
    <w:p w14:paraId="5D2D84E1" w14:textId="77777777" w:rsidR="001C1728" w:rsidRDefault="00E25435">
      <w:pPr>
        <w:pStyle w:val="ListParagraph"/>
        <w:numPr>
          <w:ilvl w:val="0"/>
          <w:numId w:val="2"/>
        </w:numPr>
        <w:spacing w:after="70"/>
      </w:pPr>
      <w:r>
        <w:rPr>
          <w:rFonts w:ascii="Calibri" w:eastAsia="Calibri" w:hAnsi="Calibri" w:cs="Calibri"/>
          <w:sz w:val="24"/>
          <w:szCs w:val="24"/>
        </w:rPr>
        <w:t>Funding authorization &amp; approval rules define when a top-up requires supervisor or finance approval (e.g., approval required above a configured threshold amount, via supervisor login).</w:t>
      </w:r>
    </w:p>
    <w:p w14:paraId="364F8AE6" w14:textId="77777777" w:rsidR="001C1728" w:rsidRDefault="00E25435">
      <w:pPr>
        <w:pStyle w:val="ListParagraph"/>
        <w:numPr>
          <w:ilvl w:val="0"/>
          <w:numId w:val="2"/>
        </w:numPr>
        <w:spacing w:after="70"/>
      </w:pPr>
      <w:r>
        <w:rPr>
          <w:rFonts w:ascii="Calibri" w:eastAsia="Calibri" w:hAnsi="Calibri" w:cs="Calibri"/>
          <w:b/>
          <w:bCs/>
          <w:sz w:val="24"/>
          <w:szCs w:val="24"/>
        </w:rPr>
        <w:t xml:space="preserve">Reversal (void transaction): </w:t>
      </w:r>
      <w:r>
        <w:rPr>
          <w:rFonts w:ascii="Calibri" w:eastAsia="Calibri" w:hAnsi="Calibri" w:cs="Calibri"/>
          <w:sz w:val="24"/>
          <w:szCs w:val="24"/>
        </w:rPr>
        <w:t>supports full or partial reversal of a top-up, with funds returned to the original payment method. Chinmay confirmed this should require manual verification/authorization before processing, which Allam agreed is required.</w:t>
      </w:r>
    </w:p>
    <w:p w14:paraId="24906742" w14:textId="77777777" w:rsidR="001C1728" w:rsidRDefault="00E25435">
      <w:pPr>
        <w:pStyle w:val="ListParagraph"/>
        <w:numPr>
          <w:ilvl w:val="0"/>
          <w:numId w:val="2"/>
        </w:numPr>
        <w:spacing w:after="70"/>
      </w:pPr>
      <w:r>
        <w:rPr>
          <w:rFonts w:ascii="Calibri" w:eastAsia="Calibri" w:hAnsi="Calibri" w:cs="Calibri"/>
          <w:sz w:val="24"/>
          <w:szCs w:val="24"/>
        </w:rPr>
        <w:t>Funding limits &amp; velocity controls set daily, monthly, minimum and maximum transaction thresholds to prevent excessive or suspicious top-up activity.</w:t>
      </w:r>
    </w:p>
    <w:p w14:paraId="52D61050" w14:textId="77777777" w:rsidR="001C1728" w:rsidRDefault="00E25435">
      <w:pPr>
        <w:pStyle w:val="ListParagraph"/>
        <w:numPr>
          <w:ilvl w:val="0"/>
          <w:numId w:val="2"/>
        </w:numPr>
        <w:spacing w:after="70"/>
      </w:pPr>
      <w:r>
        <w:rPr>
          <w:rFonts w:ascii="Calibri" w:eastAsia="Calibri" w:hAnsi="Calibri" w:cs="Calibri"/>
          <w:sz w:val="24"/>
          <w:szCs w:val="24"/>
        </w:rPr>
        <w:lastRenderedPageBreak/>
        <w:t>A funding transaction audit trail shows all top-up transactions for any given period or account.</w:t>
      </w:r>
    </w:p>
    <w:p w14:paraId="793CB5E2" w14:textId="77777777" w:rsidR="001C1728" w:rsidRDefault="00E25435">
      <w:pPr>
        <w:spacing w:before="140" w:after="60"/>
      </w:pPr>
      <w:r>
        <w:rPr>
          <w:rFonts w:ascii="Calibri" w:eastAsia="Calibri" w:hAnsi="Calibri" w:cs="Calibri"/>
          <w:b/>
          <w:bCs/>
          <w:color w:val="215E99"/>
          <w:sz w:val="32"/>
          <w:szCs w:val="32"/>
        </w:rPr>
        <w:t>4.6 Stored Value, Credit Consumption &amp; FEFO Logic</w:t>
      </w:r>
    </w:p>
    <w:p w14:paraId="291AA3BA" w14:textId="77777777" w:rsidR="001C1728" w:rsidRDefault="00E25435">
      <w:pPr>
        <w:pStyle w:val="ListParagraph"/>
        <w:numPr>
          <w:ilvl w:val="0"/>
          <w:numId w:val="2"/>
        </w:numPr>
        <w:spacing w:after="70"/>
      </w:pPr>
      <w:r>
        <w:rPr>
          <w:rFonts w:ascii="Calibri" w:eastAsia="Calibri" w:hAnsi="Calibri" w:cs="Calibri"/>
          <w:b/>
          <w:bCs/>
          <w:sz w:val="24"/>
          <w:szCs w:val="24"/>
        </w:rPr>
        <w:t xml:space="preserve">Requested (Chinmay): </w:t>
      </w:r>
      <w:r>
        <w:rPr>
          <w:rFonts w:ascii="Calibri" w:eastAsia="Calibri" w:hAnsi="Calibri" w:cs="Calibri"/>
          <w:sz w:val="24"/>
          <w:szCs w:val="24"/>
        </w:rPr>
        <w:t>Chinmay shared that six wallet types had already been scoped on the Softlabs side (including attraction credit, game credit, rental credit, parking credit, and other credit types), and asked Allam to send the wallet-configuration documentation so these can be cross-checked and expanded against it — Allam confirmed he will share this.</w:t>
      </w:r>
    </w:p>
    <w:p w14:paraId="7E07DD86" w14:textId="77777777" w:rsidR="001C1728" w:rsidRDefault="00E25435">
      <w:pPr>
        <w:pStyle w:val="ListParagraph"/>
        <w:numPr>
          <w:ilvl w:val="0"/>
          <w:numId w:val="2"/>
        </w:numPr>
        <w:spacing w:after="70"/>
      </w:pPr>
      <w:r>
        <w:rPr>
          <w:rFonts w:ascii="Calibri" w:eastAsia="Calibri" w:hAnsi="Calibri" w:cs="Calibri"/>
          <w:sz w:val="24"/>
          <w:szCs w:val="24"/>
        </w:rPr>
        <w:t>Credit type definition and credit issue rule configuration recap how credits are granted — e.g., a purchase (membership, product, or experience) can trigger issuance of a credit governed by rules set at the wallet/credit-type level.</w:t>
      </w:r>
    </w:p>
    <w:p w14:paraId="0ECA5E69" w14:textId="77777777" w:rsidR="001C1728" w:rsidRDefault="00E25435">
      <w:pPr>
        <w:pStyle w:val="ListParagraph"/>
        <w:numPr>
          <w:ilvl w:val="0"/>
          <w:numId w:val="2"/>
        </w:numPr>
        <w:spacing w:after="70"/>
      </w:pPr>
      <w:r>
        <w:rPr>
          <w:rFonts w:ascii="Calibri" w:eastAsia="Calibri" w:hAnsi="Calibri" w:cs="Calibri"/>
          <w:sz w:val="24"/>
          <w:szCs w:val="24"/>
        </w:rPr>
        <w:t>Credit usage restrictions allow a credit to be scoped to specific spend categories (e.g., a credit usable only for food &amp; beverage and not valid for retail), fully configurable per business need; where no restriction is set, the balance can be spent on any offered product or service.</w:t>
      </w:r>
    </w:p>
    <w:p w14:paraId="04949806" w14:textId="77777777" w:rsidR="001C1728" w:rsidRDefault="00E25435">
      <w:pPr>
        <w:pStyle w:val="ListParagraph"/>
        <w:numPr>
          <w:ilvl w:val="0"/>
          <w:numId w:val="2"/>
        </w:numPr>
        <w:spacing w:after="70"/>
      </w:pPr>
      <w:r>
        <w:rPr>
          <w:rFonts w:ascii="Calibri" w:eastAsia="Calibri" w:hAnsi="Calibri" w:cs="Calibri"/>
          <w:b/>
          <w:bCs/>
          <w:sz w:val="24"/>
          <w:szCs w:val="24"/>
        </w:rPr>
        <w:t xml:space="preserve">Consumption priority engine — FEFO (first-expiry-first-out): </w:t>
      </w:r>
      <w:r>
        <w:rPr>
          <w:rFonts w:ascii="Calibri" w:eastAsia="Calibri" w:hAnsi="Calibri" w:cs="Calibri"/>
          <w:sz w:val="24"/>
          <w:szCs w:val="24"/>
        </w:rPr>
        <w:t>wallet balances loaded at different times can carry different expiry dates; when a guest spends from the wallet, the system automatically consumes the balance with the nearest expiry date first, without requiring the guest to choose which “lot” to spend from.</w:t>
      </w:r>
    </w:p>
    <w:p w14:paraId="5398C24B" w14:textId="77777777" w:rsidR="001C1728" w:rsidRDefault="00E25435">
      <w:pPr>
        <w:pStyle w:val="ListParagraph"/>
        <w:numPr>
          <w:ilvl w:val="0"/>
          <w:numId w:val="2"/>
        </w:numPr>
        <w:spacing w:after="70"/>
      </w:pPr>
      <w:r>
        <w:rPr>
          <w:rFonts w:ascii="Calibri" w:eastAsia="Calibri" w:hAnsi="Calibri" w:cs="Calibri"/>
          <w:b/>
          <w:bCs/>
          <w:sz w:val="24"/>
          <w:szCs w:val="24"/>
        </w:rPr>
        <w:t xml:space="preserve">Clarified: </w:t>
      </w:r>
      <w:r>
        <w:rPr>
          <w:rFonts w:ascii="Calibri" w:eastAsia="Calibri" w:hAnsi="Calibri" w:cs="Calibri"/>
          <w:sz w:val="24"/>
          <w:szCs w:val="24"/>
        </w:rPr>
        <w:t>in response to Chinmay's question on whether guests should be able to select which wallet/credit to consume from, Allam confirmed consumption is fully automatic based on the FEFO logic — guests can see their balance and expiry breakdown per transaction/lot in their profile, but cannot manually choose which lot is drawn down.</w:t>
      </w:r>
    </w:p>
    <w:p w14:paraId="2662A637" w14:textId="77777777" w:rsidR="001C1728" w:rsidRDefault="00E25435">
      <w:pPr>
        <w:pStyle w:val="ListParagraph"/>
        <w:numPr>
          <w:ilvl w:val="0"/>
          <w:numId w:val="2"/>
        </w:numPr>
        <w:spacing w:after="70"/>
      </w:pPr>
      <w:r>
        <w:rPr>
          <w:rFonts w:ascii="Calibri" w:eastAsia="Calibri" w:hAnsi="Calibri" w:cs="Calibri"/>
          <w:sz w:val="24"/>
          <w:szCs w:val="24"/>
        </w:rPr>
        <w:t>Bonus credit example: gaming/top-up incentive tiers (e.g., a AED 100 top-up earns a AED 20 bonus credit, a AED 200 top-up earns AED 60) — bonus credit is consumed before the base top-up credit and carries its own separate validity period.</w:t>
      </w:r>
    </w:p>
    <w:p w14:paraId="318F6632" w14:textId="77777777" w:rsidR="001C1728" w:rsidRDefault="00E25435">
      <w:pPr>
        <w:pStyle w:val="ListParagraph"/>
        <w:numPr>
          <w:ilvl w:val="0"/>
          <w:numId w:val="2"/>
        </w:numPr>
        <w:spacing w:after="70"/>
      </w:pPr>
      <w:r>
        <w:rPr>
          <w:rFonts w:ascii="Calibri" w:eastAsia="Calibri" w:hAnsi="Calibri" w:cs="Calibri"/>
          <w:sz w:val="24"/>
          <w:szCs w:val="24"/>
        </w:rPr>
        <w:t>A worked FEFO example was walked through: three top-up transactions on different dates, each with a different expiry date; when the guest spends, the system consumes from the earliest-loaded (nearest-expiry) transaction first, then the next, and so on.</w:t>
      </w:r>
    </w:p>
    <w:p w14:paraId="65505A50" w14:textId="77777777" w:rsidR="001C1728" w:rsidRDefault="00E25435">
      <w:pPr>
        <w:spacing w:before="140" w:after="60"/>
      </w:pPr>
      <w:r>
        <w:rPr>
          <w:rFonts w:ascii="Calibri" w:eastAsia="Calibri" w:hAnsi="Calibri" w:cs="Calibri"/>
          <w:b/>
          <w:bCs/>
          <w:color w:val="215E99"/>
          <w:sz w:val="32"/>
          <w:szCs w:val="32"/>
        </w:rPr>
        <w:t>4.7 Split-Tender, Redemption Rules &amp; Configuration Simulation</w:t>
      </w:r>
    </w:p>
    <w:p w14:paraId="56A59A35" w14:textId="77777777" w:rsidR="001C1728" w:rsidRDefault="00E25435">
      <w:pPr>
        <w:pStyle w:val="ListParagraph"/>
        <w:numPr>
          <w:ilvl w:val="0"/>
          <w:numId w:val="2"/>
        </w:numPr>
        <w:spacing w:after="70"/>
      </w:pPr>
      <w:r>
        <w:rPr>
          <w:rFonts w:ascii="Calibri" w:eastAsia="Calibri" w:hAnsi="Calibri" w:cs="Calibri"/>
          <w:b/>
          <w:bCs/>
          <w:sz w:val="24"/>
          <w:szCs w:val="24"/>
        </w:rPr>
        <w:t xml:space="preserve">Split tender / multi-credit consumption: </w:t>
      </w:r>
      <w:r>
        <w:rPr>
          <w:rFonts w:ascii="Calibri" w:eastAsia="Calibri" w:hAnsi="Calibri" w:cs="Calibri"/>
          <w:sz w:val="24"/>
          <w:szCs w:val="24"/>
        </w:rPr>
        <w:t>a single purchase can be paid using a combination of wallet balance plus another payment method (e.g., card) — for example, AED 500 from the wallet and the remaining AED 200 of a AED 700 purchase charged to a credit card.</w:t>
      </w:r>
    </w:p>
    <w:p w14:paraId="2A19D9B8" w14:textId="77777777" w:rsidR="001C1728" w:rsidRDefault="00E25435">
      <w:pPr>
        <w:pStyle w:val="ListParagraph"/>
        <w:numPr>
          <w:ilvl w:val="0"/>
          <w:numId w:val="2"/>
        </w:numPr>
        <w:spacing w:after="70"/>
      </w:pPr>
      <w:r>
        <w:rPr>
          <w:rFonts w:ascii="Calibri" w:eastAsia="Calibri" w:hAnsi="Calibri" w:cs="Calibri"/>
          <w:sz w:val="24"/>
          <w:szCs w:val="24"/>
        </w:rPr>
        <w:t>Partial vs. full redemption: some wallet/gift-card types can be configured to allow partial redemption (spend part of the balance, retain the remainder), while others can be configured to require full redemption in a single transaction (no partial use).</w:t>
      </w:r>
    </w:p>
    <w:p w14:paraId="3CC221FD" w14:textId="77777777" w:rsidR="001C1728" w:rsidRDefault="00E25435">
      <w:pPr>
        <w:pStyle w:val="ListParagraph"/>
        <w:numPr>
          <w:ilvl w:val="0"/>
          <w:numId w:val="2"/>
        </w:numPr>
        <w:spacing w:after="70"/>
      </w:pPr>
      <w:r>
        <w:rPr>
          <w:rFonts w:ascii="Calibri" w:eastAsia="Calibri" w:hAnsi="Calibri" w:cs="Calibri"/>
          <w:sz w:val="24"/>
          <w:szCs w:val="24"/>
        </w:rPr>
        <w:t>Credit expiry &amp; extension operations give admins a customer-level view of all wallet balances and their expiry dates, to manage upcoming expiries.</w:t>
      </w:r>
    </w:p>
    <w:p w14:paraId="7E9EBEF3" w14:textId="77777777" w:rsidR="001C1728" w:rsidRDefault="00E25435">
      <w:pPr>
        <w:pStyle w:val="ListParagraph"/>
        <w:numPr>
          <w:ilvl w:val="0"/>
          <w:numId w:val="2"/>
        </w:numPr>
        <w:spacing w:after="70"/>
      </w:pPr>
      <w:r>
        <w:rPr>
          <w:rFonts w:ascii="Calibri" w:eastAsia="Calibri" w:hAnsi="Calibri" w:cs="Calibri"/>
          <w:b/>
          <w:bCs/>
          <w:sz w:val="24"/>
          <w:szCs w:val="24"/>
        </w:rPr>
        <w:t xml:space="preserve">Configuration simulation tool: </w:t>
      </w:r>
      <w:r>
        <w:rPr>
          <w:rFonts w:ascii="Calibri" w:eastAsia="Calibri" w:hAnsi="Calibri" w:cs="Calibri"/>
          <w:sz w:val="24"/>
          <w:szCs w:val="24"/>
        </w:rPr>
        <w:t>in response to Chinmay's question, Allam explained this is a test/simulation mode that lets an admin validate a wallet configuration (e.g., spend-category restrictions) by running sample transactions before publishing it live — avoiding the need to publish first and discover configuration errors through live testing.</w:t>
      </w:r>
    </w:p>
    <w:p w14:paraId="2B105A87" w14:textId="77777777" w:rsidR="001C1728" w:rsidRDefault="00E25435">
      <w:pPr>
        <w:spacing w:before="140" w:after="60"/>
      </w:pPr>
      <w:r>
        <w:rPr>
          <w:rFonts w:ascii="Calibri" w:eastAsia="Calibri" w:hAnsi="Calibri" w:cs="Calibri"/>
          <w:b/>
          <w:bCs/>
          <w:color w:val="215E99"/>
          <w:sz w:val="32"/>
          <w:szCs w:val="32"/>
        </w:rPr>
        <w:lastRenderedPageBreak/>
        <w:t>4.8 Family, Parent-Child &amp; Corporate Wallets</w:t>
      </w:r>
    </w:p>
    <w:p w14:paraId="2D6DB666" w14:textId="77777777" w:rsidR="001C1728" w:rsidRDefault="00E25435">
      <w:pPr>
        <w:pStyle w:val="ListParagraph"/>
        <w:numPr>
          <w:ilvl w:val="0"/>
          <w:numId w:val="2"/>
        </w:numPr>
        <w:spacing w:after="70"/>
      </w:pPr>
      <w:r>
        <w:rPr>
          <w:rFonts w:ascii="Calibri" w:eastAsia="Calibri" w:hAnsi="Calibri" w:cs="Calibri"/>
          <w:sz w:val="24"/>
          <w:szCs w:val="24"/>
        </w:rPr>
        <w:t>Family/parent-child wallets: a parent's wallet can fund linked child wristbands/wallets without the child needing a separate top-up; the parent can configure per-child spending allowances (e.g., of a AED 500 family balance, one child is capped at AED 200 and another at AED 200).</w:t>
      </w:r>
    </w:p>
    <w:p w14:paraId="64FB3A39" w14:textId="77777777" w:rsidR="001C1728" w:rsidRDefault="00E25435">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guests can create family-member profiles themselves and configure spending limits directly from their own guest account, in addition to venue-side configuration.</w:t>
      </w:r>
    </w:p>
    <w:p w14:paraId="14F58E60" w14:textId="77777777" w:rsidR="001C1728" w:rsidRDefault="00E25435">
      <w:pPr>
        <w:pStyle w:val="ListParagraph"/>
        <w:numPr>
          <w:ilvl w:val="0"/>
          <w:numId w:val="2"/>
        </w:numPr>
        <w:spacing w:after="70"/>
      </w:pPr>
      <w:r>
        <w:rPr>
          <w:rFonts w:ascii="Calibri" w:eastAsia="Calibri" w:hAnsi="Calibri" w:cs="Calibri"/>
          <w:sz w:val="24"/>
          <w:szCs w:val="24"/>
        </w:rPr>
        <w:t>Family permission rules: a parent/guardian is typically the only member allowed to top up the family wallet; children can view balances and transactions and spend, but cannot top up, unless permissions are explicitly reconfigured.</w:t>
      </w:r>
    </w:p>
    <w:p w14:paraId="2B63C168" w14:textId="77777777" w:rsidR="001C1728" w:rsidRDefault="00E25435">
      <w:pPr>
        <w:pStyle w:val="ListParagraph"/>
        <w:numPr>
          <w:ilvl w:val="0"/>
          <w:numId w:val="2"/>
        </w:numPr>
        <w:spacing w:after="70"/>
      </w:pPr>
      <w:r>
        <w:rPr>
          <w:rFonts w:ascii="Calibri" w:eastAsia="Calibri" w:hAnsi="Calibri" w:cs="Calibri"/>
          <w:sz w:val="24"/>
          <w:szCs w:val="24"/>
        </w:rPr>
        <w:t>Corporate/group wallets: funds can be loaded and segregated across departments (e.g., marketing, operations) for corporate/company accounts.</w:t>
      </w:r>
    </w:p>
    <w:p w14:paraId="2CFF8607" w14:textId="77777777" w:rsidR="001C1728" w:rsidRDefault="00E25435">
      <w:pPr>
        <w:pStyle w:val="ListParagraph"/>
        <w:numPr>
          <w:ilvl w:val="0"/>
          <w:numId w:val="2"/>
        </w:numPr>
        <w:spacing w:after="70"/>
      </w:pPr>
      <w:r>
        <w:rPr>
          <w:rFonts w:ascii="Calibri" w:eastAsia="Calibri" w:hAnsi="Calibri" w:cs="Calibri"/>
          <w:b/>
          <w:bCs/>
          <w:sz w:val="24"/>
          <w:szCs w:val="24"/>
        </w:rPr>
        <w:t xml:space="preserve">Shared wallet transfer: </w:t>
      </w:r>
      <w:r>
        <w:rPr>
          <w:rFonts w:ascii="Calibri" w:eastAsia="Calibri" w:hAnsi="Calibri" w:cs="Calibri"/>
          <w:sz w:val="24"/>
          <w:szCs w:val="24"/>
        </w:rPr>
        <w:t>balance can be moved between linked wallets in either direction (parent → child or child → parent) within a family or group structure — confirmed as a configurable, venue-controlled feature rather than always enabled.</w:t>
      </w:r>
    </w:p>
    <w:p w14:paraId="61C58CD0" w14:textId="77777777" w:rsidR="001C1728" w:rsidRDefault="00E25435">
      <w:pPr>
        <w:spacing w:before="140" w:after="60"/>
      </w:pPr>
      <w:r>
        <w:rPr>
          <w:rFonts w:ascii="Calibri" w:eastAsia="Calibri" w:hAnsi="Calibri" w:cs="Calibri"/>
          <w:b/>
          <w:bCs/>
          <w:color w:val="215E99"/>
          <w:sz w:val="32"/>
          <w:szCs w:val="32"/>
        </w:rPr>
        <w:t>4.9 Gift Cards, Vouchers &amp; Wallet Payments</w:t>
      </w:r>
    </w:p>
    <w:p w14:paraId="72B7F255" w14:textId="77777777" w:rsidR="001C1728" w:rsidRDefault="00E25435">
      <w:pPr>
        <w:pStyle w:val="ListParagraph"/>
        <w:numPr>
          <w:ilvl w:val="0"/>
          <w:numId w:val="2"/>
        </w:numPr>
        <w:spacing w:after="70"/>
      </w:pPr>
      <w:r>
        <w:rPr>
          <w:rFonts w:ascii="Calibri" w:eastAsia="Calibri" w:hAnsi="Calibri" w:cs="Calibri"/>
          <w:sz w:val="24"/>
          <w:szCs w:val="24"/>
        </w:rPr>
        <w:t>Gift cards and vouchers follow similar mechanics to the wallet, with two variants: a monetary gift card (redeemable as general value against any product/service the venue offers) and a product-specific gift voucher (an entitlement redeemable only against a named product/experience, e.g., a dolphin-show voucher, not exchangeable for value against other products).</w:t>
      </w:r>
    </w:p>
    <w:p w14:paraId="15D8A0DD" w14:textId="77777777" w:rsidR="001C1728" w:rsidRDefault="00E25435">
      <w:pPr>
        <w:pStyle w:val="ListParagraph"/>
        <w:numPr>
          <w:ilvl w:val="0"/>
          <w:numId w:val="2"/>
        </w:numPr>
        <w:spacing w:after="70"/>
      </w:pPr>
      <w:r>
        <w:rPr>
          <w:rFonts w:ascii="Calibri" w:eastAsia="Calibri" w:hAnsi="Calibri" w:cs="Calibri"/>
          <w:sz w:val="24"/>
          <w:szCs w:val="24"/>
        </w:rPr>
        <w:t>Redemption channel configuration determines whether a gift card/voucher can be redeemed online, on-site, or both.</w:t>
      </w:r>
    </w:p>
    <w:p w14:paraId="32A00D09" w14:textId="77777777" w:rsidR="001C1728" w:rsidRDefault="00E25435">
      <w:pPr>
        <w:pStyle w:val="ListParagraph"/>
        <w:numPr>
          <w:ilvl w:val="0"/>
          <w:numId w:val="2"/>
        </w:numPr>
        <w:spacing w:after="70"/>
      </w:pPr>
      <w:r>
        <w:rPr>
          <w:rFonts w:ascii="Calibri" w:eastAsia="Calibri" w:hAnsi="Calibri" w:cs="Calibri"/>
          <w:sz w:val="24"/>
          <w:szCs w:val="24"/>
        </w:rPr>
        <w:t>Wallet payments: spend can be reported by department/category (F&amp;B, attractions, retail, partners) and by channel (B2C, POS); wallet payment/redemption policy defines rules such as minimum spend to use wallet as a payment method.</w:t>
      </w:r>
    </w:p>
    <w:p w14:paraId="4120E870" w14:textId="77777777" w:rsidR="001C1728" w:rsidRDefault="00E25435">
      <w:pPr>
        <w:pStyle w:val="ListParagraph"/>
        <w:numPr>
          <w:ilvl w:val="0"/>
          <w:numId w:val="2"/>
        </w:numPr>
        <w:spacing w:after="70"/>
      </w:pPr>
      <w:r>
        <w:rPr>
          <w:rFonts w:ascii="Calibri" w:eastAsia="Calibri" w:hAnsi="Calibri" w:cs="Calibri"/>
          <w:sz w:val="24"/>
          <w:szCs w:val="24"/>
        </w:rPr>
        <w:t>Wallet-to-media linking associates a wallet with its supporting media — RFID/wristband, QR code, or other identifiers — for use across channels.</w:t>
      </w:r>
    </w:p>
    <w:p w14:paraId="2681E62F" w14:textId="77777777" w:rsidR="001C1728" w:rsidRDefault="00E25435">
      <w:pPr>
        <w:spacing w:before="140" w:after="60"/>
      </w:pPr>
      <w:r>
        <w:rPr>
          <w:rFonts w:ascii="Calibri" w:eastAsia="Calibri" w:hAnsi="Calibri" w:cs="Calibri"/>
          <w:b/>
          <w:bCs/>
          <w:color w:val="215E99"/>
          <w:sz w:val="32"/>
          <w:szCs w:val="32"/>
        </w:rPr>
        <w:t>4.10 Transfers, Fraud/Risk Controls &amp; Finance Reconciliation</w:t>
      </w:r>
    </w:p>
    <w:p w14:paraId="60685637" w14:textId="77777777" w:rsidR="001C1728" w:rsidRDefault="00E25435">
      <w:pPr>
        <w:pStyle w:val="ListParagraph"/>
        <w:numPr>
          <w:ilvl w:val="0"/>
          <w:numId w:val="2"/>
        </w:numPr>
        <w:spacing w:after="70"/>
      </w:pPr>
      <w:r>
        <w:rPr>
          <w:rFonts w:ascii="Calibri" w:eastAsia="Calibri" w:hAnsi="Calibri" w:cs="Calibri"/>
          <w:sz w:val="24"/>
          <w:szCs w:val="24"/>
        </w:rPr>
        <w:t>Unload/refund: a guest can redeem/unload a remaining wallet balance at end of visit (e.g., at a counter, after a balance check) rather than keeping it loaded.</w:t>
      </w:r>
    </w:p>
    <w:p w14:paraId="1DC05E37" w14:textId="77777777" w:rsidR="001C1728" w:rsidRDefault="00E25435">
      <w:pPr>
        <w:pStyle w:val="ListParagraph"/>
        <w:numPr>
          <w:ilvl w:val="0"/>
          <w:numId w:val="2"/>
        </w:numPr>
        <w:spacing w:after="70"/>
      </w:pPr>
      <w:r>
        <w:rPr>
          <w:rFonts w:ascii="Calibri" w:eastAsia="Calibri" w:hAnsi="Calibri" w:cs="Calibri"/>
          <w:b/>
          <w:bCs/>
          <w:sz w:val="24"/>
          <w:szCs w:val="24"/>
        </w:rPr>
        <w:t xml:space="preserve">Peer-to-peer transfer: </w:t>
      </w:r>
      <w:r>
        <w:rPr>
          <w:rFonts w:ascii="Calibri" w:eastAsia="Calibri" w:hAnsi="Calibri" w:cs="Calibri"/>
          <w:sz w:val="24"/>
          <w:szCs w:val="24"/>
        </w:rPr>
        <w:t>supports transferring balance from one guest's wallet directly to another guest's wallet. Chinmay confirmed this, like the unload/refund flow, should be a configurable, venue-level toggle (allowed or not allowed) rather than a default always-on feature — agreed by Allam.</w:t>
      </w:r>
    </w:p>
    <w:p w14:paraId="77EB1C79" w14:textId="77777777" w:rsidR="001C1728" w:rsidRDefault="00E25435">
      <w:pPr>
        <w:pStyle w:val="ListParagraph"/>
        <w:numPr>
          <w:ilvl w:val="0"/>
          <w:numId w:val="2"/>
        </w:numPr>
        <w:spacing w:after="70"/>
      </w:pPr>
      <w:r>
        <w:rPr>
          <w:rFonts w:ascii="Calibri" w:eastAsia="Calibri" w:hAnsi="Calibri" w:cs="Calibri"/>
          <w:sz w:val="24"/>
          <w:szCs w:val="24"/>
        </w:rPr>
        <w:t>Wallet risk policy configuration bundles validity, expiry and refund rules per wallet policy.</w:t>
      </w:r>
    </w:p>
    <w:p w14:paraId="11B04C84" w14:textId="77777777" w:rsidR="001C1728" w:rsidRDefault="00E25435">
      <w:pPr>
        <w:pStyle w:val="ListParagraph"/>
        <w:numPr>
          <w:ilvl w:val="0"/>
          <w:numId w:val="2"/>
        </w:numPr>
        <w:spacing w:after="70"/>
      </w:pPr>
      <w:r>
        <w:rPr>
          <w:rFonts w:ascii="Calibri" w:eastAsia="Calibri" w:hAnsi="Calibri" w:cs="Calibri"/>
          <w:b/>
          <w:bCs/>
          <w:sz w:val="24"/>
          <w:szCs w:val="24"/>
        </w:rPr>
        <w:t xml:space="preserve">Transaction risk scoring engine: </w:t>
      </w:r>
      <w:r>
        <w:rPr>
          <w:rFonts w:ascii="Calibri" w:eastAsia="Calibri" w:hAnsi="Calibri" w:cs="Calibri"/>
          <w:sz w:val="24"/>
          <w:szCs w:val="24"/>
        </w:rPr>
        <w:t xml:space="preserve">assigns a risk score to transactions to flag potentially fraudulent or suspicious activity. In response to Chinmay's question on what action follows a high risk score, Allam confirmed flagged transactions are routed to the operations team </w:t>
      </w:r>
      <w:r>
        <w:rPr>
          <w:rFonts w:ascii="Calibri" w:eastAsia="Calibri" w:hAnsi="Calibri" w:cs="Calibri"/>
          <w:sz w:val="24"/>
          <w:szCs w:val="24"/>
        </w:rPr>
        <w:lastRenderedPageBreak/>
        <w:t>for manual cross-verification rather than being auto-approved or auto-declined by the system.</w:t>
      </w:r>
    </w:p>
    <w:p w14:paraId="33740F7D" w14:textId="77777777" w:rsidR="001C1728" w:rsidRDefault="00E25435">
      <w:pPr>
        <w:pStyle w:val="ListParagraph"/>
        <w:numPr>
          <w:ilvl w:val="0"/>
          <w:numId w:val="2"/>
        </w:numPr>
        <w:spacing w:after="70"/>
      </w:pPr>
      <w:r>
        <w:rPr>
          <w:rFonts w:ascii="Calibri" w:eastAsia="Calibri" w:hAnsi="Calibri" w:cs="Calibri"/>
          <w:sz w:val="24"/>
          <w:szCs w:val="24"/>
        </w:rPr>
        <w:t>Lost-media recovery: if a guest loses a wristband/card with a loaded balance, the operations team can identify the guest (e.g., via phone number or ID), locate the original transaction, and transfer the balance to a replacement wristband/card.</w:t>
      </w:r>
    </w:p>
    <w:p w14:paraId="0682F658" w14:textId="77777777" w:rsidR="001C1728" w:rsidRDefault="00E25435">
      <w:pPr>
        <w:pStyle w:val="ListParagraph"/>
        <w:numPr>
          <w:ilvl w:val="0"/>
          <w:numId w:val="2"/>
        </w:numPr>
        <w:spacing w:after="70"/>
      </w:pPr>
      <w:r>
        <w:rPr>
          <w:rFonts w:ascii="Calibri" w:eastAsia="Calibri" w:hAnsi="Calibri" w:cs="Calibri"/>
          <w:sz w:val="24"/>
          <w:szCs w:val="24"/>
        </w:rPr>
        <w:t>Finance, liability and reconciliation (recap): every wallet transaction ties back to the chart of accounts, so finance can report total outstanding liability, revenue recognized, and related balances at any time.</w:t>
      </w:r>
    </w:p>
    <w:p w14:paraId="69314FD4" w14:textId="77777777" w:rsidR="001C1728" w:rsidRDefault="00E25435">
      <w:pPr>
        <w:spacing w:before="140" w:after="60"/>
      </w:pPr>
      <w:r>
        <w:rPr>
          <w:rFonts w:ascii="Calibri" w:eastAsia="Calibri" w:hAnsi="Calibri" w:cs="Calibri"/>
          <w:b/>
          <w:bCs/>
          <w:color w:val="215E99"/>
          <w:sz w:val="32"/>
          <w:szCs w:val="32"/>
        </w:rPr>
        <w:t>4.11 API Integration &amp; Third-Party POS</w:t>
      </w:r>
    </w:p>
    <w:p w14:paraId="23D06B42" w14:textId="77777777" w:rsidR="001C1728" w:rsidRDefault="00E25435">
      <w:pPr>
        <w:pStyle w:val="ListParagraph"/>
        <w:numPr>
          <w:ilvl w:val="0"/>
          <w:numId w:val="2"/>
        </w:numPr>
        <w:spacing w:after="70"/>
      </w:pPr>
      <w:r>
        <w:rPr>
          <w:rFonts w:ascii="Calibri" w:eastAsia="Calibri" w:hAnsi="Calibri" w:cs="Calibri"/>
          <w:sz w:val="24"/>
          <w:szCs w:val="24"/>
        </w:rPr>
        <w:t>Wallet APIs support two integration patterns: (1) external systems consuming TICVAI's wallet API directly to check balance and process a transaction, with the wallet balance updated in the system afterward; and (2) integration with a third-party F&amp;B/retail POS system (e.g., Micros, Symphony) at a venue, where the third-party system consumes the wallet API to verify sufficient balance and process a transaction, with the balance reduced accordingly on completion.</w:t>
      </w:r>
    </w:p>
    <w:p w14:paraId="0DAF8464" w14:textId="77777777" w:rsidR="001C1728" w:rsidRDefault="00E25435">
      <w:pPr>
        <w:spacing w:before="140" w:after="60"/>
      </w:pPr>
      <w:r>
        <w:rPr>
          <w:rFonts w:ascii="Calibri" w:eastAsia="Calibri" w:hAnsi="Calibri" w:cs="Calibri"/>
          <w:b/>
          <w:bCs/>
          <w:color w:val="215E99"/>
          <w:sz w:val="32"/>
          <w:szCs w:val="32"/>
        </w:rPr>
        <w:t>4.12 Planning &amp; Other Project Updates</w:t>
      </w:r>
    </w:p>
    <w:p w14:paraId="2176B9C3" w14:textId="77777777" w:rsidR="001C1728" w:rsidRDefault="00E25435">
      <w:pPr>
        <w:pStyle w:val="ListParagraph"/>
        <w:numPr>
          <w:ilvl w:val="0"/>
          <w:numId w:val="2"/>
        </w:numPr>
        <w:spacing w:after="70"/>
      </w:pPr>
      <w:r>
        <w:rPr>
          <w:rFonts w:ascii="Calibri" w:eastAsia="Calibri" w:hAnsi="Calibri" w:cs="Calibri"/>
          <w:sz w:val="24"/>
          <w:szCs w:val="24"/>
        </w:rPr>
        <w:t>Qossai left the session early to attend another meeting; Allam confirmed the remaining walkthrough would continue without him.</w:t>
      </w:r>
    </w:p>
    <w:p w14:paraId="62C1219D" w14:textId="77777777" w:rsidR="001C1728" w:rsidRDefault="00E25435">
      <w:pPr>
        <w:pStyle w:val="ListParagraph"/>
        <w:numPr>
          <w:ilvl w:val="0"/>
          <w:numId w:val="2"/>
        </w:numPr>
        <w:spacing w:after="70"/>
      </w:pPr>
      <w:r>
        <w:rPr>
          <w:rFonts w:ascii="Calibri" w:eastAsia="Calibri" w:hAnsi="Calibri" w:cs="Calibri"/>
          <w:sz w:val="24"/>
          <w:szCs w:val="24"/>
        </w:rPr>
        <w:t>Chinmay confirmed the B2C ticketing website flow (product creation and add-to-cart) referenced in a prior session is still being revised, led by Aishwarya, and will be shared once finalized.</w:t>
      </w:r>
    </w:p>
    <w:p w14:paraId="26337195" w14:textId="77777777" w:rsidR="001C1728" w:rsidRDefault="00E25435">
      <w:pPr>
        <w:pStyle w:val="ListParagraph"/>
        <w:numPr>
          <w:ilvl w:val="0"/>
          <w:numId w:val="2"/>
        </w:numPr>
        <w:spacing w:after="70"/>
      </w:pPr>
      <w:r>
        <w:rPr>
          <w:rFonts w:ascii="Calibri" w:eastAsia="Calibri" w:hAnsi="Calibri" w:cs="Calibri"/>
          <w:b/>
          <w:bCs/>
          <w:sz w:val="24"/>
          <w:szCs w:val="24"/>
        </w:rPr>
        <w:t xml:space="preserve">Planned: </w:t>
      </w:r>
      <w:r>
        <w:rPr>
          <w:rFonts w:ascii="Calibri" w:eastAsia="Calibri" w:hAnsi="Calibri" w:cs="Calibri"/>
          <w:sz w:val="24"/>
          <w:szCs w:val="24"/>
        </w:rPr>
        <w:t>Chinmay and Pradnya will prepare three separate wireframe flows — general ticketing, F&amp;B, and retail — to be shared for review ahead of full UI/UX build, so that any structural issues can be corrected early. Chinmay targeted sharing these by next Wednesday.</w:t>
      </w:r>
    </w:p>
    <w:p w14:paraId="1E992A09" w14:textId="77777777" w:rsidR="001C1728" w:rsidRDefault="00E25435">
      <w:pPr>
        <w:pStyle w:val="ListParagraph"/>
        <w:numPr>
          <w:ilvl w:val="0"/>
          <w:numId w:val="2"/>
        </w:numPr>
        <w:spacing w:after="70"/>
      </w:pPr>
      <w:r>
        <w:rPr>
          <w:rFonts w:ascii="Calibri" w:eastAsia="Calibri" w:hAnsi="Calibri" w:cs="Calibri"/>
          <w:b/>
          <w:bCs/>
          <w:sz w:val="24"/>
          <w:szCs w:val="24"/>
        </w:rPr>
        <w:t xml:space="preserve">Open: </w:t>
      </w:r>
      <w:r>
        <w:rPr>
          <w:rFonts w:ascii="Calibri" w:eastAsia="Calibri" w:hAnsi="Calibri" w:cs="Calibri"/>
          <w:sz w:val="24"/>
          <w:szCs w:val="24"/>
        </w:rPr>
        <w:t>the next session was proposed for tomorrow, same time, to continue with additional topics, but a public holiday falls on that date for at least one side's team. Chinmay will confirm via WhatsApp with senior team members whether to proceed tomorrow or reschedule to Monday.</w:t>
      </w:r>
    </w:p>
    <w:p w14:paraId="74EE6AFE" w14:textId="77777777" w:rsidR="001C1728" w:rsidRDefault="00E25435">
      <w:pPr>
        <w:spacing w:before="180" w:after="100"/>
      </w:pPr>
      <w:r>
        <w:rPr>
          <w:rFonts w:ascii="Calibri" w:eastAsia="Calibri" w:hAnsi="Calibri" w:cs="Calibri"/>
          <w:b/>
          <w:bCs/>
          <w:color w:val="215E99"/>
          <w:sz w:val="32"/>
          <w:szCs w:val="32"/>
        </w:rPr>
        <w:t>5. Key Decisions &amp; Agreements</w:t>
      </w:r>
    </w:p>
    <w:p w14:paraId="798B764D" w14:textId="77777777" w:rsidR="001C1728" w:rsidRDefault="00E25435">
      <w:pPr>
        <w:pStyle w:val="ListParagraph"/>
        <w:numPr>
          <w:ilvl w:val="0"/>
          <w:numId w:val="2"/>
        </w:numPr>
        <w:spacing w:after="70"/>
      </w:pPr>
      <w:r>
        <w:rPr>
          <w:rFonts w:ascii="Calibri" w:eastAsia="Calibri" w:hAnsi="Calibri" w:cs="Calibri"/>
          <w:sz w:val="24"/>
          <w:szCs w:val="24"/>
        </w:rPr>
        <w:t>Wallet validity/expiry rules apply to monetary balances as well as non-monetary credits and vouchers; expired balances are automatically swept to a finance-designated account.</w:t>
      </w:r>
    </w:p>
    <w:p w14:paraId="764654B1" w14:textId="77777777" w:rsidR="001C1728" w:rsidRDefault="00E25435">
      <w:pPr>
        <w:pStyle w:val="ListParagraph"/>
        <w:numPr>
          <w:ilvl w:val="0"/>
          <w:numId w:val="2"/>
        </w:numPr>
        <w:spacing w:after="70"/>
      </w:pPr>
      <w:r>
        <w:rPr>
          <w:rFonts w:ascii="Calibri" w:eastAsia="Calibri" w:hAnsi="Calibri" w:cs="Calibri"/>
          <w:sz w:val="24"/>
          <w:szCs w:val="24"/>
        </w:rPr>
        <w:t>Wallet balance consumption follows an automatic, system-driven FEFO (first-expiry-first-out) model — guests can view balances and expiry breakdown but cannot manually select which lot is spent from.</w:t>
      </w:r>
    </w:p>
    <w:p w14:paraId="032BF9B9" w14:textId="77777777" w:rsidR="001C1728" w:rsidRDefault="00E25435">
      <w:pPr>
        <w:pStyle w:val="ListParagraph"/>
        <w:numPr>
          <w:ilvl w:val="0"/>
          <w:numId w:val="2"/>
        </w:numPr>
        <w:spacing w:after="70"/>
      </w:pPr>
      <w:r>
        <w:rPr>
          <w:rFonts w:ascii="Calibri" w:eastAsia="Calibri" w:hAnsi="Calibri" w:cs="Calibri"/>
          <w:sz w:val="24"/>
          <w:szCs w:val="24"/>
        </w:rPr>
        <w:t>Bonus/promotional credit is consumed before base top-up credit and carries its own separate validity period.</w:t>
      </w:r>
    </w:p>
    <w:p w14:paraId="4917E594" w14:textId="77777777" w:rsidR="001C1728" w:rsidRDefault="00E25435">
      <w:pPr>
        <w:pStyle w:val="ListParagraph"/>
        <w:numPr>
          <w:ilvl w:val="0"/>
          <w:numId w:val="2"/>
        </w:numPr>
        <w:spacing w:after="70"/>
      </w:pPr>
      <w:r>
        <w:rPr>
          <w:rFonts w:ascii="Calibri" w:eastAsia="Calibri" w:hAnsi="Calibri" w:cs="Calibri"/>
          <w:sz w:val="24"/>
          <w:szCs w:val="24"/>
        </w:rPr>
        <w:t>Split-tender payments (wallet plus another payment method in a single transaction) and configurable partial vs. full redemption will both be supported.</w:t>
      </w:r>
    </w:p>
    <w:p w14:paraId="34CF4186" w14:textId="77777777" w:rsidR="001C1728" w:rsidRDefault="00E25435">
      <w:pPr>
        <w:pStyle w:val="ListParagraph"/>
        <w:numPr>
          <w:ilvl w:val="0"/>
          <w:numId w:val="2"/>
        </w:numPr>
        <w:spacing w:after="70"/>
      </w:pPr>
      <w:r>
        <w:rPr>
          <w:rFonts w:ascii="Calibri" w:eastAsia="Calibri" w:hAnsi="Calibri" w:cs="Calibri"/>
          <w:sz w:val="24"/>
          <w:szCs w:val="24"/>
        </w:rPr>
        <w:lastRenderedPageBreak/>
        <w:t>A configuration simulation/test tool will be included so wallet rule configurations can be validated before publishing live.</w:t>
      </w:r>
    </w:p>
    <w:p w14:paraId="0E118B99" w14:textId="77777777" w:rsidR="001C1728" w:rsidRDefault="00E25435">
      <w:pPr>
        <w:pStyle w:val="ListParagraph"/>
        <w:numPr>
          <w:ilvl w:val="0"/>
          <w:numId w:val="2"/>
        </w:numPr>
        <w:spacing w:after="70"/>
      </w:pPr>
      <w:r>
        <w:rPr>
          <w:rFonts w:ascii="Calibri" w:eastAsia="Calibri" w:hAnsi="Calibri" w:cs="Calibri"/>
          <w:sz w:val="24"/>
          <w:szCs w:val="24"/>
        </w:rPr>
        <w:t>Family and corporate wallet structures will support parent-controlled top-up with configurable, per-member spend allowances; guests can also self-configure family profiles and limits from their own account.</w:t>
      </w:r>
    </w:p>
    <w:p w14:paraId="52251EDC" w14:textId="77777777" w:rsidR="001C1728" w:rsidRDefault="00E25435">
      <w:pPr>
        <w:pStyle w:val="ListParagraph"/>
        <w:numPr>
          <w:ilvl w:val="0"/>
          <w:numId w:val="2"/>
        </w:numPr>
        <w:spacing w:after="70"/>
      </w:pPr>
      <w:r>
        <w:rPr>
          <w:rFonts w:ascii="Calibri" w:eastAsia="Calibri" w:hAnsi="Calibri" w:cs="Calibri"/>
          <w:sz w:val="24"/>
          <w:szCs w:val="24"/>
        </w:rPr>
        <w:t>Peer-to-peer wallet transfers and end-of-visit balance unload/refund will both be configurable, venue-level toggles rather than default always-on features.</w:t>
      </w:r>
    </w:p>
    <w:p w14:paraId="751DB330" w14:textId="77777777" w:rsidR="001C1728" w:rsidRDefault="00E25435">
      <w:pPr>
        <w:pStyle w:val="ListParagraph"/>
        <w:numPr>
          <w:ilvl w:val="0"/>
          <w:numId w:val="2"/>
        </w:numPr>
        <w:spacing w:after="70"/>
      </w:pPr>
      <w:r>
        <w:rPr>
          <w:rFonts w:ascii="Calibri" w:eastAsia="Calibri" w:hAnsi="Calibri" w:cs="Calibri"/>
          <w:sz w:val="24"/>
          <w:szCs w:val="24"/>
        </w:rPr>
        <w:t>All wallet transactions (top-up, spend, refund, expiry sweep) are tied to the finance chart of accounts for liability and revenue reporting.</w:t>
      </w:r>
    </w:p>
    <w:p w14:paraId="0F702D67" w14:textId="77777777" w:rsidR="001C1728" w:rsidRDefault="00E25435">
      <w:pPr>
        <w:pStyle w:val="ListParagraph"/>
        <w:numPr>
          <w:ilvl w:val="0"/>
          <w:numId w:val="2"/>
        </w:numPr>
        <w:spacing w:after="70"/>
      </w:pPr>
      <w:r>
        <w:rPr>
          <w:rFonts w:ascii="Calibri" w:eastAsia="Calibri" w:hAnsi="Calibri" w:cs="Calibri"/>
          <w:sz w:val="24"/>
          <w:szCs w:val="24"/>
        </w:rPr>
        <w:t>High-risk-scored transactions are flagged for manual review/cross-verification by the operations team rather than handled automatically.</w:t>
      </w:r>
    </w:p>
    <w:p w14:paraId="5D8A90B9" w14:textId="77777777" w:rsidR="001C1728" w:rsidRDefault="00E25435">
      <w:pPr>
        <w:pStyle w:val="ListParagraph"/>
        <w:numPr>
          <w:ilvl w:val="0"/>
          <w:numId w:val="2"/>
        </w:numPr>
        <w:spacing w:after="70"/>
      </w:pPr>
      <w:r>
        <w:rPr>
          <w:rFonts w:ascii="Calibri" w:eastAsia="Calibri" w:hAnsi="Calibri" w:cs="Calibri"/>
          <w:sz w:val="24"/>
          <w:szCs w:val="24"/>
        </w:rPr>
        <w:t>Auto-reload (balance-threshold-triggered) and recurring funding (calendar-scheduled) should both be configurable by the guest via the guest/web app, not only by venue admins.</w:t>
      </w:r>
    </w:p>
    <w:p w14:paraId="27DEEDEA" w14:textId="77777777" w:rsidR="001C1728" w:rsidRDefault="00E25435">
      <w:pPr>
        <w:spacing w:before="180" w:after="100"/>
      </w:pPr>
      <w:r>
        <w:rPr>
          <w:rFonts w:ascii="Calibri" w:eastAsia="Calibri" w:hAnsi="Calibri" w:cs="Calibri"/>
          <w:b/>
          <w:bCs/>
          <w:color w:val="215E99"/>
          <w:sz w:val="32"/>
          <w:szCs w:val="32"/>
        </w:rPr>
        <w:t>6. Open Items / Questions for Follow-Up</w:t>
      </w:r>
    </w:p>
    <w:p w14:paraId="2E59E248" w14:textId="77777777" w:rsidR="001C1728" w:rsidRDefault="00E25435">
      <w:pPr>
        <w:pStyle w:val="ListParagraph"/>
        <w:numPr>
          <w:ilvl w:val="0"/>
          <w:numId w:val="2"/>
        </w:numPr>
        <w:spacing w:after="70"/>
      </w:pPr>
      <w:r>
        <w:rPr>
          <w:rFonts w:ascii="Calibri" w:eastAsia="Calibri" w:hAnsi="Calibri" w:cs="Calibri"/>
          <w:sz w:val="24"/>
          <w:szCs w:val="24"/>
        </w:rPr>
        <w:t>Detailed wallet-configuration reference documentation — pending from Allam.</w:t>
      </w:r>
    </w:p>
    <w:p w14:paraId="494AA771" w14:textId="77777777" w:rsidR="001C1728" w:rsidRDefault="00E25435">
      <w:pPr>
        <w:pStyle w:val="ListParagraph"/>
        <w:numPr>
          <w:ilvl w:val="0"/>
          <w:numId w:val="2"/>
        </w:numPr>
        <w:spacing w:after="70"/>
      </w:pPr>
      <w:r>
        <w:rPr>
          <w:rFonts w:ascii="Calibri" w:eastAsia="Calibri" w:hAnsi="Calibri" w:cs="Calibri"/>
          <w:sz w:val="24"/>
          <w:szCs w:val="24"/>
        </w:rPr>
        <w:t>Cross-check of the six previously-scoped wallet types (attraction, game, rental, parking, and other credits) against Allam's documentation — pending from Chinmay.</w:t>
      </w:r>
    </w:p>
    <w:p w14:paraId="5006783C" w14:textId="77777777" w:rsidR="001C1728" w:rsidRDefault="00E25435">
      <w:pPr>
        <w:pStyle w:val="ListParagraph"/>
        <w:numPr>
          <w:ilvl w:val="0"/>
          <w:numId w:val="2"/>
        </w:numPr>
        <w:spacing w:after="70"/>
      </w:pPr>
      <w:r>
        <w:rPr>
          <w:rFonts w:ascii="Calibri" w:eastAsia="Calibri" w:hAnsi="Calibri" w:cs="Calibri"/>
          <w:sz w:val="24"/>
          <w:szCs w:val="24"/>
        </w:rPr>
        <w:t>Auto-reload feature — real-world use case/demand still to be validated; currently a nice-to-have rather than a confirmed requirement.</w:t>
      </w:r>
    </w:p>
    <w:p w14:paraId="233F7C00" w14:textId="77777777" w:rsidR="001C1728" w:rsidRDefault="00E25435">
      <w:pPr>
        <w:pStyle w:val="ListParagraph"/>
        <w:numPr>
          <w:ilvl w:val="0"/>
          <w:numId w:val="2"/>
        </w:numPr>
        <w:spacing w:after="70"/>
      </w:pPr>
      <w:r>
        <w:rPr>
          <w:rFonts w:ascii="Calibri" w:eastAsia="Calibri" w:hAnsi="Calibri" w:cs="Calibri"/>
          <w:sz w:val="24"/>
          <w:szCs w:val="24"/>
        </w:rPr>
        <w:t>Revised B2C ticketing website flow (product creation and cart) — in progress with Aishwarya, pending share-out once finalized.</w:t>
      </w:r>
    </w:p>
    <w:p w14:paraId="5584DC8C" w14:textId="77777777" w:rsidR="001C1728" w:rsidRDefault="00E25435">
      <w:pPr>
        <w:pStyle w:val="ListParagraph"/>
        <w:numPr>
          <w:ilvl w:val="0"/>
          <w:numId w:val="2"/>
        </w:numPr>
        <w:spacing w:after="70"/>
      </w:pPr>
      <w:r>
        <w:rPr>
          <w:rFonts w:ascii="Calibri" w:eastAsia="Calibri" w:hAnsi="Calibri" w:cs="Calibri"/>
          <w:sz w:val="24"/>
          <w:szCs w:val="24"/>
        </w:rPr>
        <w:t>Three wireframe flows (general ticketing, F&amp;B, retail) — targeted for delivery by next Wednesday.</w:t>
      </w:r>
    </w:p>
    <w:p w14:paraId="650DCAD0" w14:textId="77777777" w:rsidR="001C1728" w:rsidRDefault="00E25435">
      <w:pPr>
        <w:pStyle w:val="ListParagraph"/>
        <w:numPr>
          <w:ilvl w:val="0"/>
          <w:numId w:val="2"/>
        </w:numPr>
        <w:spacing w:after="70"/>
      </w:pPr>
      <w:r>
        <w:rPr>
          <w:rFonts w:ascii="Calibri" w:eastAsia="Calibri" w:hAnsi="Calibri" w:cs="Calibri"/>
          <w:sz w:val="24"/>
          <w:szCs w:val="24"/>
        </w:rPr>
        <w:t>Confirmation of tomorrow's session (public holiday) vs. rescheduling to Monday — pending from Chinmay via WhatsApp.</w:t>
      </w:r>
    </w:p>
    <w:p w14:paraId="5D2A733D" w14:textId="77777777" w:rsidR="001C1728" w:rsidRDefault="00E25435">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1850"/>
        <w:gridCol w:w="1800"/>
        <w:gridCol w:w="1900"/>
      </w:tblGrid>
      <w:tr w:rsidR="001C1728" w14:paraId="5FACB594"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4093D7A8" w14:textId="77777777" w:rsidR="001C1728" w:rsidRDefault="00E25435">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02C52279" w14:textId="77777777" w:rsidR="001C1728" w:rsidRDefault="00E25435">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5FC838A6" w14:textId="77777777" w:rsidR="001C1728" w:rsidRDefault="00E25435">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1F321718" w14:textId="77777777" w:rsidR="001C1728" w:rsidRDefault="00E25435">
            <w:r>
              <w:rPr>
                <w:rFonts w:ascii="Calibri" w:eastAsia="Calibri" w:hAnsi="Calibri" w:cs="Calibri"/>
                <w:b/>
                <w:bCs/>
                <w:color w:val="FFFFFF"/>
                <w:sz w:val="24"/>
                <w:szCs w:val="24"/>
              </w:rPr>
              <w:t>Status</w:t>
            </w:r>
          </w:p>
        </w:tc>
      </w:tr>
      <w:tr w:rsidR="001C1728" w14:paraId="4BF00E38" w14:textId="77777777">
        <w:tblPrEx>
          <w:tblCellMar>
            <w:top w:w="0" w:type="dxa"/>
            <w:bottom w:w="0" w:type="dxa"/>
          </w:tblCellMar>
        </w:tblPrEx>
        <w:tc>
          <w:tcPr>
            <w:tcW w:w="3800" w:type="dxa"/>
            <w:tcMar>
              <w:top w:w="80" w:type="dxa"/>
              <w:left w:w="120" w:type="dxa"/>
              <w:bottom w:w="80" w:type="dxa"/>
              <w:right w:w="120" w:type="dxa"/>
            </w:tcMar>
          </w:tcPr>
          <w:p w14:paraId="7FBEE200" w14:textId="77777777" w:rsidR="001C1728" w:rsidRDefault="00E25435">
            <w:r>
              <w:rPr>
                <w:rFonts w:ascii="Calibri" w:eastAsia="Calibri" w:hAnsi="Calibri" w:cs="Calibri"/>
                <w:sz w:val="24"/>
                <w:szCs w:val="24"/>
              </w:rPr>
              <w:t>Share detailed wallet-configuration reference documentation covering all sections presented today (wallet foundation, funding, stored value, family/corporate wallets, gift cards, payments, fraud/risk, API)</w:t>
            </w:r>
          </w:p>
        </w:tc>
        <w:tc>
          <w:tcPr>
            <w:tcW w:w="1850" w:type="dxa"/>
            <w:tcMar>
              <w:top w:w="80" w:type="dxa"/>
              <w:left w:w="120" w:type="dxa"/>
              <w:bottom w:w="80" w:type="dxa"/>
              <w:right w:w="120" w:type="dxa"/>
            </w:tcMar>
          </w:tcPr>
          <w:p w14:paraId="58F12823" w14:textId="77777777" w:rsidR="001C1728" w:rsidRDefault="00E25435">
            <w:r>
              <w:rPr>
                <w:rFonts w:ascii="Calibri" w:eastAsia="Calibri" w:hAnsi="Calibri" w:cs="Calibri"/>
                <w:sz w:val="24"/>
                <w:szCs w:val="24"/>
              </w:rPr>
              <w:t>Allam</w:t>
            </w:r>
          </w:p>
        </w:tc>
        <w:tc>
          <w:tcPr>
            <w:tcW w:w="1800" w:type="dxa"/>
            <w:tcMar>
              <w:top w:w="80" w:type="dxa"/>
              <w:left w:w="120" w:type="dxa"/>
              <w:bottom w:w="80" w:type="dxa"/>
              <w:right w:w="120" w:type="dxa"/>
            </w:tcMar>
          </w:tcPr>
          <w:p w14:paraId="369DB695" w14:textId="77777777" w:rsidR="001C1728" w:rsidRDefault="00E25435">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5B72533C" w14:textId="77777777" w:rsidR="001C1728" w:rsidRDefault="00E25435">
            <w:r>
              <w:rPr>
                <w:rFonts w:ascii="Calibri" w:eastAsia="Calibri" w:hAnsi="Calibri" w:cs="Calibri"/>
                <w:sz w:val="24"/>
                <w:szCs w:val="24"/>
              </w:rPr>
              <w:t>Open</w:t>
            </w:r>
          </w:p>
        </w:tc>
      </w:tr>
      <w:tr w:rsidR="001C1728" w14:paraId="326AC273" w14:textId="77777777">
        <w:tblPrEx>
          <w:tblCellMar>
            <w:top w:w="0" w:type="dxa"/>
            <w:bottom w:w="0" w:type="dxa"/>
          </w:tblCellMar>
        </w:tblPrEx>
        <w:tc>
          <w:tcPr>
            <w:tcW w:w="3800" w:type="dxa"/>
            <w:tcMar>
              <w:top w:w="80" w:type="dxa"/>
              <w:left w:w="120" w:type="dxa"/>
              <w:bottom w:w="80" w:type="dxa"/>
              <w:right w:w="120" w:type="dxa"/>
            </w:tcMar>
          </w:tcPr>
          <w:p w14:paraId="535E69FC" w14:textId="77777777" w:rsidR="001C1728" w:rsidRDefault="00E25435">
            <w:r>
              <w:rPr>
                <w:rFonts w:ascii="Calibri" w:eastAsia="Calibri" w:hAnsi="Calibri" w:cs="Calibri"/>
                <w:sz w:val="24"/>
                <w:szCs w:val="24"/>
              </w:rPr>
              <w:t xml:space="preserve">Cross-check and expand the six previously-scoped wallet types (attraction credit, game credit, rental credit, parking credit, and </w:t>
            </w:r>
            <w:r>
              <w:rPr>
                <w:rFonts w:ascii="Calibri" w:eastAsia="Calibri" w:hAnsi="Calibri" w:cs="Calibri"/>
                <w:sz w:val="24"/>
                <w:szCs w:val="24"/>
              </w:rPr>
              <w:lastRenderedPageBreak/>
              <w:t>other credits) against Allam's wallet-type documentation</w:t>
            </w:r>
          </w:p>
        </w:tc>
        <w:tc>
          <w:tcPr>
            <w:tcW w:w="1850" w:type="dxa"/>
            <w:tcMar>
              <w:top w:w="80" w:type="dxa"/>
              <w:left w:w="120" w:type="dxa"/>
              <w:bottom w:w="80" w:type="dxa"/>
              <w:right w:w="120" w:type="dxa"/>
            </w:tcMar>
          </w:tcPr>
          <w:p w14:paraId="6814DB1C" w14:textId="77777777" w:rsidR="001C1728" w:rsidRDefault="00E25435">
            <w:r>
              <w:rPr>
                <w:rFonts w:ascii="Calibri" w:eastAsia="Calibri" w:hAnsi="Calibri" w:cs="Calibri"/>
                <w:sz w:val="24"/>
                <w:szCs w:val="24"/>
              </w:rPr>
              <w:lastRenderedPageBreak/>
              <w:t>Chinmay Parab</w:t>
            </w:r>
          </w:p>
        </w:tc>
        <w:tc>
          <w:tcPr>
            <w:tcW w:w="1800" w:type="dxa"/>
            <w:tcMar>
              <w:top w:w="80" w:type="dxa"/>
              <w:left w:w="120" w:type="dxa"/>
              <w:bottom w:w="80" w:type="dxa"/>
              <w:right w:w="120" w:type="dxa"/>
            </w:tcMar>
          </w:tcPr>
          <w:p w14:paraId="0326B6F7" w14:textId="77777777" w:rsidR="001C1728" w:rsidRDefault="00E25435">
            <w:r>
              <w:rPr>
                <w:rFonts w:ascii="Calibri" w:eastAsia="Calibri" w:hAnsi="Calibri" w:cs="Calibri"/>
                <w:sz w:val="24"/>
                <w:szCs w:val="24"/>
              </w:rPr>
              <w:t>Next session</w:t>
            </w:r>
          </w:p>
        </w:tc>
        <w:tc>
          <w:tcPr>
            <w:tcW w:w="1900" w:type="dxa"/>
            <w:tcMar>
              <w:top w:w="80" w:type="dxa"/>
              <w:left w:w="120" w:type="dxa"/>
              <w:bottom w:w="80" w:type="dxa"/>
              <w:right w:w="120" w:type="dxa"/>
            </w:tcMar>
          </w:tcPr>
          <w:p w14:paraId="7F45C385" w14:textId="77777777" w:rsidR="001C1728" w:rsidRDefault="00E25435">
            <w:r>
              <w:rPr>
                <w:rFonts w:ascii="Calibri" w:eastAsia="Calibri" w:hAnsi="Calibri" w:cs="Calibri"/>
                <w:sz w:val="24"/>
                <w:szCs w:val="24"/>
              </w:rPr>
              <w:t>Open</w:t>
            </w:r>
          </w:p>
        </w:tc>
      </w:tr>
      <w:tr w:rsidR="001C1728" w14:paraId="59CAE39E" w14:textId="77777777">
        <w:tblPrEx>
          <w:tblCellMar>
            <w:top w:w="0" w:type="dxa"/>
            <w:bottom w:w="0" w:type="dxa"/>
          </w:tblCellMar>
        </w:tblPrEx>
        <w:tc>
          <w:tcPr>
            <w:tcW w:w="3800" w:type="dxa"/>
            <w:tcMar>
              <w:top w:w="80" w:type="dxa"/>
              <w:left w:w="120" w:type="dxa"/>
              <w:bottom w:w="80" w:type="dxa"/>
              <w:right w:w="120" w:type="dxa"/>
            </w:tcMar>
          </w:tcPr>
          <w:p w14:paraId="44B28D5E" w14:textId="77777777" w:rsidR="001C1728" w:rsidRDefault="00E25435">
            <w:r>
              <w:rPr>
                <w:rFonts w:ascii="Calibri" w:eastAsia="Calibri" w:hAnsi="Calibri" w:cs="Calibri"/>
                <w:sz w:val="24"/>
                <w:szCs w:val="24"/>
              </w:rPr>
              <w:t>Share the revised B2C ticketing website flow (product creation and add-to-cart) once finalized</w:t>
            </w:r>
          </w:p>
        </w:tc>
        <w:tc>
          <w:tcPr>
            <w:tcW w:w="1850" w:type="dxa"/>
            <w:tcMar>
              <w:top w:w="80" w:type="dxa"/>
              <w:left w:w="120" w:type="dxa"/>
              <w:bottom w:w="80" w:type="dxa"/>
              <w:right w:w="120" w:type="dxa"/>
            </w:tcMar>
          </w:tcPr>
          <w:p w14:paraId="10E635F4" w14:textId="77777777" w:rsidR="001C1728" w:rsidRDefault="00E25435">
            <w:r>
              <w:rPr>
                <w:rFonts w:ascii="Calibri" w:eastAsia="Calibri" w:hAnsi="Calibri" w:cs="Calibri"/>
                <w:sz w:val="24"/>
                <w:szCs w:val="24"/>
              </w:rPr>
              <w:t>Chinmay Parab / Aishwarya More</w:t>
            </w:r>
          </w:p>
        </w:tc>
        <w:tc>
          <w:tcPr>
            <w:tcW w:w="1800" w:type="dxa"/>
            <w:tcMar>
              <w:top w:w="80" w:type="dxa"/>
              <w:left w:w="120" w:type="dxa"/>
              <w:bottom w:w="80" w:type="dxa"/>
              <w:right w:w="120" w:type="dxa"/>
            </w:tcMar>
          </w:tcPr>
          <w:p w14:paraId="6AB08D35" w14:textId="77777777" w:rsidR="001C1728" w:rsidRDefault="00E25435">
            <w:r>
              <w:rPr>
                <w:rFonts w:ascii="Calibri" w:eastAsia="Calibri" w:hAnsi="Calibri" w:cs="Calibri"/>
                <w:sz w:val="24"/>
                <w:szCs w:val="24"/>
              </w:rPr>
              <w:t>ASAP once ready</w:t>
            </w:r>
          </w:p>
        </w:tc>
        <w:tc>
          <w:tcPr>
            <w:tcW w:w="1900" w:type="dxa"/>
            <w:tcMar>
              <w:top w:w="80" w:type="dxa"/>
              <w:left w:w="120" w:type="dxa"/>
              <w:bottom w:w="80" w:type="dxa"/>
              <w:right w:w="120" w:type="dxa"/>
            </w:tcMar>
          </w:tcPr>
          <w:p w14:paraId="1226139B" w14:textId="77777777" w:rsidR="001C1728" w:rsidRDefault="00E25435">
            <w:r>
              <w:rPr>
                <w:rFonts w:ascii="Calibri" w:eastAsia="Calibri" w:hAnsi="Calibri" w:cs="Calibri"/>
                <w:sz w:val="24"/>
                <w:szCs w:val="24"/>
              </w:rPr>
              <w:t>Open</w:t>
            </w:r>
          </w:p>
        </w:tc>
      </w:tr>
      <w:tr w:rsidR="001C1728" w14:paraId="1B1C4E91" w14:textId="77777777">
        <w:tblPrEx>
          <w:tblCellMar>
            <w:top w:w="0" w:type="dxa"/>
            <w:bottom w:w="0" w:type="dxa"/>
          </w:tblCellMar>
        </w:tblPrEx>
        <w:tc>
          <w:tcPr>
            <w:tcW w:w="3800" w:type="dxa"/>
            <w:tcMar>
              <w:top w:w="80" w:type="dxa"/>
              <w:left w:w="120" w:type="dxa"/>
              <w:bottom w:w="80" w:type="dxa"/>
              <w:right w:w="120" w:type="dxa"/>
            </w:tcMar>
          </w:tcPr>
          <w:p w14:paraId="578B1B15" w14:textId="77777777" w:rsidR="001C1728" w:rsidRDefault="00E25435">
            <w:r>
              <w:rPr>
                <w:rFonts w:ascii="Calibri" w:eastAsia="Calibri" w:hAnsi="Calibri" w:cs="Calibri"/>
                <w:sz w:val="24"/>
                <w:szCs w:val="24"/>
              </w:rPr>
              <w:t>Prepare and share three separate wireframe flows (general ticketing, F&amp;B, retail) for review ahead of full UI/UX build</w:t>
            </w:r>
          </w:p>
        </w:tc>
        <w:tc>
          <w:tcPr>
            <w:tcW w:w="1850" w:type="dxa"/>
            <w:tcMar>
              <w:top w:w="80" w:type="dxa"/>
              <w:left w:w="120" w:type="dxa"/>
              <w:bottom w:w="80" w:type="dxa"/>
              <w:right w:w="120" w:type="dxa"/>
            </w:tcMar>
          </w:tcPr>
          <w:p w14:paraId="0E9AEA0B" w14:textId="77777777" w:rsidR="001C1728" w:rsidRDefault="00E25435">
            <w:r>
              <w:rPr>
                <w:rFonts w:ascii="Calibri" w:eastAsia="Calibri" w:hAnsi="Calibri" w:cs="Calibri"/>
                <w:sz w:val="24"/>
                <w:szCs w:val="24"/>
              </w:rPr>
              <w:t>Chinmay Parab / Pradnya Yeram</w:t>
            </w:r>
          </w:p>
        </w:tc>
        <w:tc>
          <w:tcPr>
            <w:tcW w:w="1800" w:type="dxa"/>
            <w:tcMar>
              <w:top w:w="80" w:type="dxa"/>
              <w:left w:w="120" w:type="dxa"/>
              <w:bottom w:w="80" w:type="dxa"/>
              <w:right w:w="120" w:type="dxa"/>
            </w:tcMar>
          </w:tcPr>
          <w:p w14:paraId="681173AC" w14:textId="77777777" w:rsidR="001C1728" w:rsidRDefault="00E25435">
            <w:r>
              <w:rPr>
                <w:rFonts w:ascii="Calibri" w:eastAsia="Calibri" w:hAnsi="Calibri" w:cs="Calibri"/>
                <w:sz w:val="24"/>
                <w:szCs w:val="24"/>
              </w:rPr>
              <w:t>By next Wednesday</w:t>
            </w:r>
          </w:p>
        </w:tc>
        <w:tc>
          <w:tcPr>
            <w:tcW w:w="1900" w:type="dxa"/>
            <w:tcMar>
              <w:top w:w="80" w:type="dxa"/>
              <w:left w:w="120" w:type="dxa"/>
              <w:bottom w:w="80" w:type="dxa"/>
              <w:right w:w="120" w:type="dxa"/>
            </w:tcMar>
          </w:tcPr>
          <w:p w14:paraId="008F78DC" w14:textId="77777777" w:rsidR="001C1728" w:rsidRDefault="00E25435">
            <w:r>
              <w:rPr>
                <w:rFonts w:ascii="Calibri" w:eastAsia="Calibri" w:hAnsi="Calibri" w:cs="Calibri"/>
                <w:sz w:val="24"/>
                <w:szCs w:val="24"/>
              </w:rPr>
              <w:t>Open</w:t>
            </w:r>
          </w:p>
        </w:tc>
      </w:tr>
      <w:tr w:rsidR="001C1728" w14:paraId="4B249A6D" w14:textId="77777777">
        <w:tblPrEx>
          <w:tblCellMar>
            <w:top w:w="0" w:type="dxa"/>
            <w:bottom w:w="0" w:type="dxa"/>
          </w:tblCellMar>
        </w:tblPrEx>
        <w:tc>
          <w:tcPr>
            <w:tcW w:w="3800" w:type="dxa"/>
            <w:tcMar>
              <w:top w:w="80" w:type="dxa"/>
              <w:left w:w="120" w:type="dxa"/>
              <w:bottom w:w="80" w:type="dxa"/>
              <w:right w:w="120" w:type="dxa"/>
            </w:tcMar>
          </w:tcPr>
          <w:p w14:paraId="27FEBE76" w14:textId="77777777" w:rsidR="001C1728" w:rsidRDefault="00E25435">
            <w:r>
              <w:rPr>
                <w:rFonts w:ascii="Calibri" w:eastAsia="Calibri" w:hAnsi="Calibri" w:cs="Calibri"/>
                <w:sz w:val="24"/>
                <w:szCs w:val="24"/>
              </w:rPr>
              <w:t>Confirm via WhatsApp whether the next session proceeds tomorrow (public holiday) or moves to Monday</w:t>
            </w:r>
          </w:p>
        </w:tc>
        <w:tc>
          <w:tcPr>
            <w:tcW w:w="1850" w:type="dxa"/>
            <w:tcMar>
              <w:top w:w="80" w:type="dxa"/>
              <w:left w:w="120" w:type="dxa"/>
              <w:bottom w:w="80" w:type="dxa"/>
              <w:right w:w="120" w:type="dxa"/>
            </w:tcMar>
          </w:tcPr>
          <w:p w14:paraId="72DD732B" w14:textId="77777777" w:rsidR="001C1728" w:rsidRDefault="00E25435">
            <w:r>
              <w:rPr>
                <w:rFonts w:ascii="Calibri" w:eastAsia="Calibri" w:hAnsi="Calibri" w:cs="Calibri"/>
                <w:sz w:val="24"/>
                <w:szCs w:val="24"/>
              </w:rPr>
              <w:t>Chinmay Parab</w:t>
            </w:r>
          </w:p>
        </w:tc>
        <w:tc>
          <w:tcPr>
            <w:tcW w:w="1800" w:type="dxa"/>
            <w:tcMar>
              <w:top w:w="80" w:type="dxa"/>
              <w:left w:w="120" w:type="dxa"/>
              <w:bottom w:w="80" w:type="dxa"/>
              <w:right w:w="120" w:type="dxa"/>
            </w:tcMar>
          </w:tcPr>
          <w:p w14:paraId="349826F4" w14:textId="77777777" w:rsidR="001C1728" w:rsidRDefault="00E25435">
            <w:r>
              <w:rPr>
                <w:rFonts w:ascii="Calibri" w:eastAsia="Calibri" w:hAnsi="Calibri" w:cs="Calibri"/>
                <w:sz w:val="24"/>
                <w:szCs w:val="24"/>
              </w:rPr>
              <w:t>Same day</w:t>
            </w:r>
          </w:p>
        </w:tc>
        <w:tc>
          <w:tcPr>
            <w:tcW w:w="1900" w:type="dxa"/>
            <w:tcMar>
              <w:top w:w="80" w:type="dxa"/>
              <w:left w:w="120" w:type="dxa"/>
              <w:bottom w:w="80" w:type="dxa"/>
              <w:right w:w="120" w:type="dxa"/>
            </w:tcMar>
          </w:tcPr>
          <w:p w14:paraId="4C1B3748" w14:textId="77777777" w:rsidR="001C1728" w:rsidRDefault="00E25435">
            <w:r>
              <w:rPr>
                <w:rFonts w:ascii="Calibri" w:eastAsia="Calibri" w:hAnsi="Calibri" w:cs="Calibri"/>
                <w:sz w:val="24"/>
                <w:szCs w:val="24"/>
              </w:rPr>
              <w:t>Open</w:t>
            </w:r>
          </w:p>
        </w:tc>
      </w:tr>
      <w:tr w:rsidR="001C1728" w14:paraId="62FA79C9" w14:textId="77777777">
        <w:tblPrEx>
          <w:tblCellMar>
            <w:top w:w="0" w:type="dxa"/>
            <w:bottom w:w="0" w:type="dxa"/>
          </w:tblCellMar>
        </w:tblPrEx>
        <w:tc>
          <w:tcPr>
            <w:tcW w:w="3800" w:type="dxa"/>
            <w:tcMar>
              <w:top w:w="80" w:type="dxa"/>
              <w:left w:w="120" w:type="dxa"/>
              <w:bottom w:w="80" w:type="dxa"/>
              <w:right w:w="120" w:type="dxa"/>
            </w:tcMar>
          </w:tcPr>
          <w:p w14:paraId="56451632" w14:textId="77777777" w:rsidR="001C1728" w:rsidRDefault="00E25435">
            <w:r>
              <w:rPr>
                <w:rFonts w:ascii="Calibri" w:eastAsia="Calibri" w:hAnsi="Calibri" w:cs="Calibri"/>
                <w:sz w:val="24"/>
                <w:szCs w:val="24"/>
              </w:rPr>
              <w:t>Review today's wallet configuration in detail and raise any follow-up or descope questions</w:t>
            </w:r>
          </w:p>
        </w:tc>
        <w:tc>
          <w:tcPr>
            <w:tcW w:w="1850" w:type="dxa"/>
            <w:tcMar>
              <w:top w:w="80" w:type="dxa"/>
              <w:left w:w="120" w:type="dxa"/>
              <w:bottom w:w="80" w:type="dxa"/>
              <w:right w:w="120" w:type="dxa"/>
            </w:tcMar>
          </w:tcPr>
          <w:p w14:paraId="33716AC2" w14:textId="77777777" w:rsidR="001C1728" w:rsidRDefault="00E25435">
            <w:r>
              <w:rPr>
                <w:rFonts w:ascii="Calibri" w:eastAsia="Calibri" w:hAnsi="Calibri" w:cs="Calibri"/>
                <w:sz w:val="24"/>
                <w:szCs w:val="24"/>
              </w:rPr>
              <w:t>Chinmay Parab / Softlabs Team</w:t>
            </w:r>
          </w:p>
        </w:tc>
        <w:tc>
          <w:tcPr>
            <w:tcW w:w="1800" w:type="dxa"/>
            <w:tcMar>
              <w:top w:w="80" w:type="dxa"/>
              <w:left w:w="120" w:type="dxa"/>
              <w:bottom w:w="80" w:type="dxa"/>
              <w:right w:w="120" w:type="dxa"/>
            </w:tcMar>
          </w:tcPr>
          <w:p w14:paraId="21197237" w14:textId="77777777" w:rsidR="001C1728" w:rsidRDefault="00E25435">
            <w:r>
              <w:rPr>
                <w:rFonts w:ascii="Calibri" w:eastAsia="Calibri" w:hAnsi="Calibri" w:cs="Calibri"/>
                <w:sz w:val="24"/>
                <w:szCs w:val="24"/>
              </w:rPr>
              <w:t>Ongoing</w:t>
            </w:r>
          </w:p>
        </w:tc>
        <w:tc>
          <w:tcPr>
            <w:tcW w:w="1900" w:type="dxa"/>
            <w:tcMar>
              <w:top w:w="80" w:type="dxa"/>
              <w:left w:w="120" w:type="dxa"/>
              <w:bottom w:w="80" w:type="dxa"/>
              <w:right w:w="120" w:type="dxa"/>
            </w:tcMar>
          </w:tcPr>
          <w:p w14:paraId="683F645F" w14:textId="77777777" w:rsidR="001C1728" w:rsidRDefault="00E25435">
            <w:r>
              <w:rPr>
                <w:rFonts w:ascii="Calibri" w:eastAsia="Calibri" w:hAnsi="Calibri" w:cs="Calibri"/>
                <w:sz w:val="24"/>
                <w:szCs w:val="24"/>
              </w:rPr>
              <w:t>In Progress</w:t>
            </w:r>
          </w:p>
        </w:tc>
      </w:tr>
    </w:tbl>
    <w:p w14:paraId="3E1EF5BA" w14:textId="77777777" w:rsidR="001C1728" w:rsidRDefault="001C1728">
      <w:pPr>
        <w:spacing w:after="160"/>
      </w:pPr>
    </w:p>
    <w:p w14:paraId="44C5B504" w14:textId="77777777" w:rsidR="001C1728" w:rsidRDefault="00E25435">
      <w:pPr>
        <w:spacing w:before="180" w:after="100"/>
      </w:pPr>
      <w:r>
        <w:rPr>
          <w:rFonts w:ascii="Calibri" w:eastAsia="Calibri" w:hAnsi="Calibri" w:cs="Calibri"/>
          <w:b/>
          <w:bCs/>
          <w:color w:val="215E99"/>
          <w:sz w:val="32"/>
          <w:szCs w:val="32"/>
        </w:rPr>
        <w:t>8. Next Steps</w:t>
      </w:r>
    </w:p>
    <w:p w14:paraId="6FBE2920" w14:textId="77777777" w:rsidR="001C1728" w:rsidRDefault="00E25435">
      <w:pPr>
        <w:pStyle w:val="ListParagraph"/>
        <w:numPr>
          <w:ilvl w:val="0"/>
          <w:numId w:val="2"/>
        </w:numPr>
        <w:spacing w:after="70"/>
      </w:pPr>
      <w:r>
        <w:rPr>
          <w:rFonts w:ascii="Calibri" w:eastAsia="Calibri" w:hAnsi="Calibri" w:cs="Calibri"/>
          <w:sz w:val="24"/>
          <w:szCs w:val="24"/>
        </w:rPr>
        <w:t>Next session tentatively scheduled for the same time tomorrow, subject to confirmation given the public holiday; Chinmay to confirm via WhatsApp, with Monday as the fallback date.</w:t>
      </w:r>
    </w:p>
    <w:p w14:paraId="6D3CA62F" w14:textId="77777777" w:rsidR="001C1728" w:rsidRDefault="00E25435">
      <w:pPr>
        <w:pStyle w:val="ListParagraph"/>
        <w:numPr>
          <w:ilvl w:val="0"/>
          <w:numId w:val="2"/>
        </w:numPr>
        <w:spacing w:after="70"/>
      </w:pPr>
      <w:r>
        <w:rPr>
          <w:rFonts w:ascii="Calibri" w:eastAsia="Calibri" w:hAnsi="Calibri" w:cs="Calibri"/>
          <w:sz w:val="24"/>
          <w:szCs w:val="24"/>
        </w:rPr>
        <w:t>Softlabs team to review today's wallet walkthrough in detail and flag any modules that should be revised or descoped.</w:t>
      </w:r>
    </w:p>
    <w:p w14:paraId="4AC05920" w14:textId="77777777" w:rsidR="001C1728" w:rsidRDefault="00E25435">
      <w:pPr>
        <w:pStyle w:val="ListParagraph"/>
        <w:numPr>
          <w:ilvl w:val="0"/>
          <w:numId w:val="2"/>
        </w:numPr>
        <w:spacing w:after="70"/>
      </w:pPr>
      <w:r>
        <w:rPr>
          <w:rFonts w:ascii="Calibri" w:eastAsia="Calibri" w:hAnsi="Calibri" w:cs="Calibri"/>
          <w:sz w:val="24"/>
          <w:szCs w:val="24"/>
        </w:rPr>
        <w:t>B2C ticketing flow and the three wireframe deliverables (ticketing, F&amp;B, retail) to be shared per the action items above.</w:t>
      </w:r>
    </w:p>
    <w:p w14:paraId="50280ACC" w14:textId="77777777" w:rsidR="001C1728" w:rsidRDefault="00E25435">
      <w:pPr>
        <w:spacing w:before="120"/>
        <w:jc w:val="center"/>
      </w:pPr>
      <w:r>
        <w:rPr>
          <w:rFonts w:ascii="Calibri" w:eastAsia="Calibri" w:hAnsi="Calibri" w:cs="Calibri"/>
          <w:i/>
          <w:iCs/>
          <w:color w:val="595959"/>
          <w:sz w:val="24"/>
          <w:szCs w:val="24"/>
        </w:rPr>
        <w:t>--- End of Minutes ---</w:t>
      </w:r>
    </w:p>
    <w:sectPr w:rsidR="001C1728">
      <w:headerReference w:type="default" r:id="rId10"/>
      <w:footerReference w:type="default" r:id="rId11"/>
      <w:pgSz w:w="12240" w:h="15840"/>
      <w:pgMar w:top="72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18359" w14:textId="77777777" w:rsidR="00E25435" w:rsidRDefault="00E25435">
      <w:r>
        <w:separator/>
      </w:r>
    </w:p>
  </w:endnote>
  <w:endnote w:type="continuationSeparator" w:id="0">
    <w:p w14:paraId="0ABB25A8" w14:textId="77777777" w:rsidR="00E25435" w:rsidRDefault="00E25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58F6" w14:textId="77777777" w:rsidR="001C1728" w:rsidRDefault="00E25435">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576A8B">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576A8B">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98B59" w14:textId="77777777" w:rsidR="00E25435" w:rsidRDefault="00E25435">
      <w:r>
        <w:separator/>
      </w:r>
    </w:p>
  </w:footnote>
  <w:footnote w:type="continuationSeparator" w:id="0">
    <w:p w14:paraId="20913DE5" w14:textId="77777777" w:rsidR="00E25435" w:rsidRDefault="00E25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1C1728" w14:paraId="714C5DC1" w14:textId="77777777">
      <w:tblPrEx>
        <w:tblCellMar>
          <w:top w:w="0" w:type="dxa"/>
          <w:bottom w:w="0" w:type="dxa"/>
        </w:tblCellMar>
      </w:tblPrEx>
      <w:tc>
        <w:tcPr>
          <w:tcW w:w="4675" w:type="dxa"/>
          <w:tcMar>
            <w:bottom w:w="80" w:type="dxa"/>
          </w:tcMar>
          <w:vAlign w:val="center"/>
        </w:tcPr>
        <w:p w14:paraId="2830E043" w14:textId="77777777" w:rsidR="001C1728" w:rsidRDefault="001C1728"/>
      </w:tc>
      <w:tc>
        <w:tcPr>
          <w:tcW w:w="4675" w:type="dxa"/>
          <w:tcMar>
            <w:bottom w:w="80" w:type="dxa"/>
          </w:tcMar>
          <w:vAlign w:val="center"/>
        </w:tcPr>
        <w:p w14:paraId="76182DC6" w14:textId="77777777" w:rsidR="001C1728" w:rsidRDefault="00E25435">
          <w:pPr>
            <w:spacing w:after="20"/>
            <w:jc w:val="right"/>
          </w:pPr>
          <w:r>
            <w:rPr>
              <w:noProof/>
            </w:rPr>
            <w:drawing>
              <wp:inline distT="0" distB="0" distL="0" distR="0" wp14:anchorId="1FA7E290" wp14:editId="06AB5E92">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18A0F10E" w14:textId="77777777" w:rsidR="001C1728" w:rsidRDefault="00E25435">
          <w:pPr>
            <w:jc w:val="right"/>
          </w:pPr>
          <w:r>
            <w:rPr>
              <w:noProof/>
            </w:rPr>
            <w:drawing>
              <wp:inline distT="0" distB="0" distL="0" distR="0" wp14:anchorId="7757B99D" wp14:editId="7B78AD2C">
                <wp:extent cx="933450" cy="190500"/>
                <wp:effectExtent l="0" t="0" r="0" b="0"/>
                <wp:docPr id="1603629142" name="Picture 160362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43D9"/>
    <w:multiLevelType w:val="hybridMultilevel"/>
    <w:tmpl w:val="77126658"/>
    <w:lvl w:ilvl="0" w:tplc="D49AA5C0">
      <w:start w:val="1"/>
      <w:numFmt w:val="bullet"/>
      <w:lvlText w:val="●"/>
      <w:lvlJc w:val="left"/>
      <w:pPr>
        <w:ind w:left="720" w:hanging="360"/>
      </w:pPr>
    </w:lvl>
    <w:lvl w:ilvl="1" w:tplc="42867794">
      <w:start w:val="1"/>
      <w:numFmt w:val="bullet"/>
      <w:lvlText w:val="○"/>
      <w:lvlJc w:val="left"/>
      <w:pPr>
        <w:ind w:left="1440" w:hanging="360"/>
      </w:pPr>
    </w:lvl>
    <w:lvl w:ilvl="2" w:tplc="DE9230D8">
      <w:start w:val="1"/>
      <w:numFmt w:val="bullet"/>
      <w:lvlText w:val="■"/>
      <w:lvlJc w:val="left"/>
      <w:pPr>
        <w:ind w:left="2160" w:hanging="360"/>
      </w:pPr>
    </w:lvl>
    <w:lvl w:ilvl="3" w:tplc="34121D7E">
      <w:start w:val="1"/>
      <w:numFmt w:val="bullet"/>
      <w:lvlText w:val="●"/>
      <w:lvlJc w:val="left"/>
      <w:pPr>
        <w:ind w:left="2880" w:hanging="360"/>
      </w:pPr>
    </w:lvl>
    <w:lvl w:ilvl="4" w:tplc="D9D44D3E">
      <w:start w:val="1"/>
      <w:numFmt w:val="bullet"/>
      <w:lvlText w:val="○"/>
      <w:lvlJc w:val="left"/>
      <w:pPr>
        <w:ind w:left="3600" w:hanging="360"/>
      </w:pPr>
    </w:lvl>
    <w:lvl w:ilvl="5" w:tplc="C9929A98">
      <w:start w:val="1"/>
      <w:numFmt w:val="bullet"/>
      <w:lvlText w:val="■"/>
      <w:lvlJc w:val="left"/>
      <w:pPr>
        <w:ind w:left="4320" w:hanging="360"/>
      </w:pPr>
    </w:lvl>
    <w:lvl w:ilvl="6" w:tplc="482AE51E">
      <w:start w:val="1"/>
      <w:numFmt w:val="bullet"/>
      <w:lvlText w:val="●"/>
      <w:lvlJc w:val="left"/>
      <w:pPr>
        <w:ind w:left="5040" w:hanging="360"/>
      </w:pPr>
    </w:lvl>
    <w:lvl w:ilvl="7" w:tplc="590EDE98">
      <w:start w:val="1"/>
      <w:numFmt w:val="bullet"/>
      <w:lvlText w:val="●"/>
      <w:lvlJc w:val="left"/>
      <w:pPr>
        <w:ind w:left="5760" w:hanging="360"/>
      </w:pPr>
    </w:lvl>
    <w:lvl w:ilvl="8" w:tplc="1B78435C">
      <w:start w:val="1"/>
      <w:numFmt w:val="bullet"/>
      <w:lvlText w:val="●"/>
      <w:lvlJc w:val="left"/>
      <w:pPr>
        <w:ind w:left="6480" w:hanging="360"/>
      </w:pPr>
    </w:lvl>
  </w:abstractNum>
  <w:abstractNum w:abstractNumId="1" w15:restartNumberingAfterBreak="0">
    <w:nsid w:val="34097DF9"/>
    <w:multiLevelType w:val="hybridMultilevel"/>
    <w:tmpl w:val="076CF98E"/>
    <w:lvl w:ilvl="0" w:tplc="6DB42254">
      <w:start w:val="1"/>
      <w:numFmt w:val="bullet"/>
      <w:lvlText w:val="•"/>
      <w:lvlJc w:val="left"/>
      <w:pPr>
        <w:ind w:left="360" w:hanging="260"/>
      </w:pPr>
    </w:lvl>
    <w:lvl w:ilvl="1" w:tplc="5BF40AE6">
      <w:start w:val="1"/>
      <w:numFmt w:val="bullet"/>
      <w:lvlText w:val="◦"/>
      <w:lvlJc w:val="left"/>
      <w:pPr>
        <w:ind w:left="720" w:hanging="260"/>
      </w:pPr>
    </w:lvl>
    <w:lvl w:ilvl="2" w:tplc="5CDA91DE">
      <w:numFmt w:val="decimal"/>
      <w:lvlText w:val=""/>
      <w:lvlJc w:val="left"/>
    </w:lvl>
    <w:lvl w:ilvl="3" w:tplc="6074DA26">
      <w:numFmt w:val="decimal"/>
      <w:lvlText w:val=""/>
      <w:lvlJc w:val="left"/>
    </w:lvl>
    <w:lvl w:ilvl="4" w:tplc="A106F17E">
      <w:numFmt w:val="decimal"/>
      <w:lvlText w:val=""/>
      <w:lvlJc w:val="left"/>
    </w:lvl>
    <w:lvl w:ilvl="5" w:tplc="37BED7D4">
      <w:numFmt w:val="decimal"/>
      <w:lvlText w:val=""/>
      <w:lvlJc w:val="left"/>
    </w:lvl>
    <w:lvl w:ilvl="6" w:tplc="9A649C76">
      <w:numFmt w:val="decimal"/>
      <w:lvlText w:val=""/>
      <w:lvlJc w:val="left"/>
    </w:lvl>
    <w:lvl w:ilvl="7" w:tplc="C78CFDD6">
      <w:numFmt w:val="decimal"/>
      <w:lvlText w:val=""/>
      <w:lvlJc w:val="left"/>
    </w:lvl>
    <w:lvl w:ilvl="8" w:tplc="7E8C509E">
      <w:numFmt w:val="decimal"/>
      <w:lvlText w:val=""/>
      <w:lvlJc w:val="left"/>
    </w:lvl>
  </w:abstractNum>
  <w:num w:numId="1" w16cid:durableId="1211767161">
    <w:abstractNumId w:val="0"/>
    <w:lvlOverride w:ilvl="0">
      <w:startOverride w:val="1"/>
    </w:lvlOverride>
  </w:num>
  <w:num w:numId="2" w16cid:durableId="11103974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28"/>
    <w:rsid w:val="001C1728"/>
    <w:rsid w:val="002A0E43"/>
    <w:rsid w:val="00576A8B"/>
    <w:rsid w:val="00E25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78C7"/>
  <w15:docId w15:val="{B853706C-3388-4CE8-91F3-F1ECB592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d52b3f431be935a33efb74a879ca345d">
  <xsd:schema xmlns:xsd="http://www.w3.org/2001/XMLSchema" xmlns:xs="http://www.w3.org/2001/XMLSchema" xmlns:p="http://schemas.microsoft.com/office/2006/metadata/properties" xmlns:ns3="cd5eb7d7-0d54-40d6-ab37-95105846df12" targetNamespace="http://schemas.microsoft.com/office/2006/metadata/properties" ma:root="true" ma:fieldsID="605a84b8487f015f09ba097664e94f41"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5E3DAE54-C5BB-4147-8BD2-CA41CFE25E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C724E0-64CF-4A35-8D99-0FCC78A9F672}">
  <ds:schemaRefs>
    <ds:schemaRef ds:uri="http://schemas.microsoft.com/sharepoint/v3/contenttype/forms"/>
  </ds:schemaRefs>
</ds:datastoreItem>
</file>

<file path=customXml/itemProps3.xml><?xml version="1.0" encoding="utf-8"?>
<ds:datastoreItem xmlns:ds="http://schemas.openxmlformats.org/officeDocument/2006/customXml" ds:itemID="{AB8BCE55-3A62-4CF9-A91D-7F815F7BE093}">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2893</Words>
  <Characters>16496</Characters>
  <Application>Microsoft Office Word</Application>
  <DocSecurity>0</DocSecurity>
  <Lines>137</Lines>
  <Paragraphs>38</Paragraphs>
  <ScaleCrop>false</ScaleCrop>
  <Company/>
  <LinksUpToDate>false</LinksUpToDate>
  <CharactersWithSpaces>19351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2</cp:revision>
  <dcterms:created xsi:type="dcterms:W3CDTF">2026-08-27T12:07:00Z</dcterms:created>
  <dcterms:modified xsi:type="dcterms:W3CDTF">2026-08-27T12:07:00Z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b86ada87-7c2f-4450-bf87-05ca1750d7bf</vt:lpwstr>
  </property>
  <property fmtid="{D5CDD505-2E9C-101B-9397-08002B2CF9AE}" pid="3" name="ContentTypeId">
    <vt:lpwstr>0x010100A13C94B2A060D845B54521126503AE5E</vt:lpwstr>
  </property>
</Properties>
</file>