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 xml:space="preserve">Chapter 4 Finance </w:t>
            </w:r>
            <w:r>
              <w:rPr>
                <w:b/>
                <w:i w:val="0"/>
                <w:color w:val="FFFFFF"/>
                <w:sz w:val="19"/>
              </w:rPr>
              <w:t>&amp;</w:t>
            </w:r>
            <w:r>
              <w:rPr>
                <w:b/>
                <w:i w:val="0"/>
                <w:color w:val="FFFFFF"/>
                <w:sz w:val="19"/>
              </w:rPr>
              <w:t xml:space="preserve"> Commerce</w:t>
            </w:r>
          </w:p>
        </w:tc>
      </w:tr>
    </w:tbl>
    <w:p>
      <w:pPr>
        <w:spacing w:after="40"/>
      </w:pPr>
    </w:p>
    <w:p>
      <w:pPr>
        <w:pStyle w:val="Heading1"/>
        <w:spacing w:before="280" w:after="120"/>
      </w:pPr>
      <w:r>
        <w:rPr>
          <w:b/>
          <w:color w:val="1F3864"/>
          <w:sz w:val="36"/>
        </w:rPr>
        <w:t>4. Finance &amp; Commerce</w:t>
      </w:r>
    </w:p>
    <w:p>
      <w:pPr>
        <w:pStyle w:val="Heading2"/>
        <w:spacing w:before="200" w:after="80"/>
      </w:pPr>
      <w:r>
        <w:rPr>
          <w:b/>
          <w:color w:val="2E75B6"/>
          <w:sz w:val="28"/>
        </w:rPr>
        <w:t>4.1 Overview — A Mini-ERP, Not Just Payment Processing</w:t>
      </w:r>
    </w:p>
    <w:p>
      <w:pPr>
        <w:spacing w:after="120" w:line="259" w:lineRule="auto"/>
      </w:pPr>
      <w:r>
        <w:rPr>
          <w:i/>
          <w:color w:val="555555"/>
        </w:rPr>
        <w:t>The Finance domain is the most commonly underscoped area in venue platform proposals. The TAIS Finance module is not a payment processor with reporting. It is a self-contained financial management system.</w:t>
      </w:r>
    </w:p>
    <w:p>
      <w:pPr>
        <w:spacing w:after="120" w:line="259" w:lineRule="auto"/>
      </w:pPr>
      <w:r>
        <w:rPr>
          <w:b w:val="0"/>
          <w:i w:val="0"/>
        </w:rPr>
        <w:t>The typical reduction vendors make is treating “Finance” as Stripe integration plus a transaction history table. That covers how money comes in. It does not cover what happens to that money in the accounting sense — how it is allocated across revenue categories, when it is recognised as earned rather than deferred, how it reconciles against what the payment gateway actually pays out, how UAE VAT is calculated and tracked per transaction for FTA reporting, or how the resulting financial data is structured for consumption by an enterprise ERP system.</w:t>
      </w:r>
    </w:p>
    <w:p>
      <w:pPr>
        <w:spacing w:after="120" w:line="259" w:lineRule="auto"/>
      </w:pPr>
      <w:r>
        <w:rPr>
          <w:b w:val="0"/>
          <w:i w:val="0"/>
        </w:rPr>
        <w:t>TAIS provides all of this. The Finance Service is built on .NET (C#) with PostgreSQL — chosen specifically because this combination carries the deepest production history in financial systems among the available options. ACID compliance and strong transactional guarantees are non-negotiable for code that moves money. All financial operations are immutable by design: no record is ever deleted or overwritten. A posted journal entry cannot be corrected by modifying it — corrections are made through compensating transactions (credit memos, reversal entries). The result is a ledger with a complete, unbroken, auditable financial history from the first transaction to the last.</w:t>
      </w:r>
    </w:p>
    <w:p>
      <w:pPr>
        <w:spacing w:after="120" w:line="259" w:lineRule="auto"/>
      </w:pPr>
      <w:r>
        <w:rPr>
          <w:b w:val="0"/>
          <w:i w:val="0"/>
        </w:rPr>
        <w:t>The Finance module operates as a standalone financial system for venue-level accounting. It is also designed from Phase 1 to support bi-directional ERP integration in Phase 2 — the chart of accounts structure, journal entry format, and sync API are all built with SAP, Oracle, and Microsoft Dynamics in mind from the start.</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Technology choice for Finance</w:t>
            </w:r>
            <w:r>
              <w:rPr>
                <w:b/>
                <w:i w:val="0"/>
                <w:color w:val="FFFFFF"/>
                <w:sz w:val="19"/>
              </w:rPr>
              <w:t xml:space="preserve"> The Finance Service uses .NET (C#) with PostgreSQL exclusively. This is the only domain in the TAIS stack with a hard language constraint, and the constraint exists for a specific reason: correctness. .NET’s strong static type system catches a class of financial calculation errors at compile time that dynamically-typed languages catch at runtime — or not at all. PostgreSQL’s transaction isolation levels, advisory locks, and JSONB audit logging capabilities make it the right database for double-entry accounting at this scale. This is not a generalised technology preference; it is the right tool for financial workloads.</w:t>
            </w:r>
          </w:p>
        </w:tc>
      </w:tr>
    </w:tbl>
    <w:p>
      <w:pPr>
        <w:spacing w:after="40"/>
      </w:pPr>
    </w:p>
    <w:p>
      <w:pPr>
        <w:pStyle w:val="Heading2"/>
        <w:spacing w:before="200" w:after="80"/>
      </w:pPr>
      <w:r>
        <w:rPr>
          <w:b/>
          <w:color w:val="2E75B6"/>
          <w:sz w:val="28"/>
        </w:rPr>
        <w:t>4.2 Double-Entry Ledger Design</w:t>
      </w:r>
    </w:p>
    <w:p>
      <w:pPr>
        <w:spacing w:after="120" w:line="259" w:lineRule="auto"/>
      </w:pPr>
      <w:r>
        <w:rPr>
          <w:b w:val="0"/>
          <w:i w:val="0"/>
        </w:rPr>
        <w:t>Every financial event in the platform — a ticket sale, a refund, a wallet top-up, a fee charge, a discount applied, a settlement received, a chargeback lost — produces a corresponding double-entry ledger record. Every transaction produces at least one debit entry and one credit entry of equal value. The ledger is always in balance.</w:t>
      </w:r>
    </w:p>
    <w:p>
      <w:pPr>
        <w:spacing w:after="120" w:line="259" w:lineRule="auto"/>
      </w:pPr>
      <w:r>
        <w:rPr>
          <w:b w:val="0"/>
          <w:i w:val="0"/>
        </w:rPr>
        <w:t>This is not an accounting abstraction imposed on top of a transactional system — it is the core data model. There is no separate “accounting table” that reconciles against a “transactions table.” The journal entry is the record of the financial event. This design means the platform can produce a trial balance, profit and loss statement, and balance sheet at any point in time without data transformation — the ledger is the single source of truth.</w:t>
      </w:r>
    </w:p>
    <w:p>
      <w:pPr>
        <w:spacing w:after="80"/>
      </w:pPr>
      <w:r>
        <w:rPr>
          <w:i/>
          <w:color w:val="555555"/>
          <w:sz w:val="18"/>
        </w:rPr>
        <w:t>Figure 4.1 — Double-Entry Ledger Flow: Financial Events, Journal Entries, and Reporting Outputs</w:t>
      </w:r>
    </w:p>
    <w:p>
      <w:pPr>
        <w:spacing w:after="120" w:line="259" w:lineRule="auto"/>
      </w:pPr>
      <w:r>
        <w:rPr>
          <w:b w:val="0"/>
          <w:i w:val="0"/>
        </w:rPr>
        <w:t>Two examples illustrate the design in practice.</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Example 1 — Guest purchases a ticket online for AED 150</w:t>
            </w:r>
            <w:r>
              <w:rPr>
                <w:b/>
                <w:i w:val="0"/>
                <w:color w:val="FFFFFF"/>
                <w:sz w:val="19"/>
              </w:rPr>
              <w:t xml:space="preserve"> </w:t>
            </w:r>
            <w:r>
              <w:rPr>
                <w:b/>
                <w:i w:val="0"/>
                <w:color w:val="FFFFFF"/>
                <w:sz w:val="19"/>
              </w:rPr>
              <w:t>DR</w:t>
            </w:r>
            <w:r>
              <w:rPr>
                <w:b/>
                <w:i w:val="0"/>
                <w:color w:val="FFFFFF"/>
                <w:sz w:val="19"/>
              </w:rPr>
              <w:t xml:space="preserve"> </w:t>
            </w:r>
            <w:r>
              <w:rPr>
                <w:b/>
                <w:i w:val="0"/>
                <w:color w:val="FFFFFF"/>
                <w:sz w:val="19"/>
              </w:rPr>
              <w:t xml:space="preserve">Accounts Receivable (Stripe) </w:t>
            </w:r>
            <w:r>
              <w:rPr>
                <w:b/>
                <w:i w:val="0"/>
                <w:color w:val="FFFFFF"/>
                <w:sz w:val="19"/>
              </w:rPr>
              <w:t>AED 150.00</w:t>
            </w:r>
            <w:r>
              <w:rPr>
                <w:b/>
                <w:i w:val="0"/>
                <w:color w:val="FFFFFF"/>
                <w:sz w:val="19"/>
              </w:rPr>
              <w:t xml:space="preserve"> </w:t>
            </w:r>
            <w:r>
              <w:rPr>
                <w:b/>
                <w:i w:val="0"/>
                <w:color w:val="FFFFFF"/>
                <w:sz w:val="19"/>
              </w:rPr>
              <w:t>CR</w:t>
            </w:r>
            <w:r>
              <w:rPr>
                <w:b/>
                <w:i w:val="0"/>
                <w:color w:val="FFFFFF"/>
                <w:sz w:val="19"/>
              </w:rPr>
              <w:t xml:space="preserve"> </w:t>
            </w:r>
            <w:r>
              <w:rPr>
                <w:b/>
                <w:i w:val="0"/>
                <w:color w:val="FFFFFF"/>
                <w:sz w:val="19"/>
              </w:rPr>
              <w:t xml:space="preserve">Ticket Revenue — General Admission </w:t>
            </w:r>
            <w:r>
              <w:rPr>
                <w:b/>
                <w:i w:val="0"/>
                <w:color w:val="FFFFFF"/>
                <w:sz w:val="19"/>
              </w:rPr>
              <w:t>AED 142.86</w:t>
            </w:r>
            <w:r>
              <w:rPr>
                <w:b/>
                <w:i w:val="0"/>
                <w:color w:val="FFFFFF"/>
                <w:sz w:val="19"/>
              </w:rPr>
              <w:t xml:space="preserve"> </w:t>
            </w:r>
            <w:r>
              <w:rPr>
                <w:b/>
                <w:i w:val="0"/>
                <w:color w:val="FFFFFF"/>
                <w:sz w:val="19"/>
              </w:rPr>
              <w:t>CR</w:t>
            </w:r>
            <w:r>
              <w:rPr>
                <w:b/>
                <w:i w:val="0"/>
                <w:color w:val="FFFFFF"/>
                <w:sz w:val="19"/>
              </w:rPr>
              <w:t xml:space="preserve"> </w:t>
            </w:r>
            <w:r>
              <w:rPr>
                <w:b/>
                <w:i w:val="0"/>
                <w:color w:val="FFFFFF"/>
                <w:sz w:val="19"/>
              </w:rPr>
              <w:t xml:space="preserve">VAT Payable (5%) </w:t>
            </w:r>
            <w:r>
              <w:rPr>
                <w:b/>
                <w:i w:val="0"/>
                <w:color w:val="FFFFFF"/>
                <w:sz w:val="19"/>
              </w:rPr>
              <w:t>AED 7.14</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Example 2 — Stripe settles AED 145.50 (after 3% gateway fee)</w:t>
            </w:r>
            <w:r>
              <w:rPr>
                <w:b/>
                <w:i w:val="0"/>
                <w:color w:val="FFFFFF"/>
                <w:sz w:val="19"/>
              </w:rPr>
              <w:t xml:space="preserve"> </w:t>
            </w:r>
            <w:r>
              <w:rPr>
                <w:b/>
                <w:i w:val="0"/>
                <w:color w:val="FFFFFF"/>
                <w:sz w:val="19"/>
              </w:rPr>
              <w:t>DR</w:t>
            </w:r>
            <w:r>
              <w:rPr>
                <w:b/>
                <w:i w:val="0"/>
                <w:color w:val="FFFFFF"/>
                <w:sz w:val="19"/>
              </w:rPr>
              <w:t xml:space="preserve"> </w:t>
            </w:r>
            <w:r>
              <w:rPr>
                <w:b/>
                <w:i w:val="0"/>
                <w:color w:val="FFFFFF"/>
                <w:sz w:val="19"/>
              </w:rPr>
              <w:t xml:space="preserve">Bank Account </w:t>
            </w:r>
            <w:r>
              <w:rPr>
                <w:b/>
                <w:i w:val="0"/>
                <w:color w:val="FFFFFF"/>
                <w:sz w:val="19"/>
              </w:rPr>
              <w:t>AED 145.50</w:t>
            </w:r>
            <w:r>
              <w:rPr>
                <w:b/>
                <w:i w:val="0"/>
                <w:color w:val="FFFFFF"/>
                <w:sz w:val="19"/>
              </w:rPr>
              <w:t xml:space="preserve"> </w:t>
            </w:r>
            <w:r>
              <w:rPr>
                <w:b/>
                <w:i w:val="0"/>
                <w:color w:val="FFFFFF"/>
                <w:sz w:val="19"/>
              </w:rPr>
              <w:t>DR</w:t>
            </w:r>
            <w:r>
              <w:rPr>
                <w:b/>
                <w:i w:val="0"/>
                <w:color w:val="FFFFFF"/>
                <w:sz w:val="19"/>
              </w:rPr>
              <w:t xml:space="preserve"> </w:t>
            </w:r>
            <w:r>
              <w:rPr>
                <w:b/>
                <w:i w:val="0"/>
                <w:color w:val="FFFFFF"/>
                <w:sz w:val="19"/>
              </w:rPr>
              <w:t xml:space="preserve">Payment Processing Fees </w:t>
            </w:r>
            <w:r>
              <w:rPr>
                <w:b/>
                <w:i w:val="0"/>
                <w:color w:val="FFFFFF"/>
                <w:sz w:val="19"/>
              </w:rPr>
              <w:t>AED 4.50</w:t>
            </w:r>
            <w:r>
              <w:rPr>
                <w:b/>
                <w:i w:val="0"/>
                <w:color w:val="FFFFFF"/>
                <w:sz w:val="19"/>
              </w:rPr>
              <w:t xml:space="preserve"> </w:t>
            </w:r>
            <w:r>
              <w:rPr>
                <w:b/>
                <w:i w:val="0"/>
                <w:color w:val="FFFFFF"/>
                <w:sz w:val="19"/>
              </w:rPr>
              <w:t>CR</w:t>
            </w:r>
            <w:r>
              <w:rPr>
                <w:b/>
                <w:i w:val="0"/>
                <w:color w:val="FFFFFF"/>
                <w:sz w:val="19"/>
              </w:rPr>
              <w:t xml:space="preserve"> </w:t>
            </w:r>
            <w:r>
              <w:rPr>
                <w:b/>
                <w:i w:val="0"/>
                <w:color w:val="FFFFFF"/>
                <w:sz w:val="19"/>
              </w:rPr>
              <w:t xml:space="preserve">Accounts Receivable (Stripe) </w:t>
            </w:r>
            <w:r>
              <w:rPr>
                <w:b/>
                <w:i w:val="0"/>
                <w:color w:val="FFFFFF"/>
                <w:sz w:val="19"/>
              </w:rPr>
              <w:t>AED 150.00</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Example 3 — Advance ticket purchase (visit next month)</w:t>
            </w:r>
            <w:r>
              <w:rPr>
                <w:b/>
                <w:i w:val="0"/>
                <w:color w:val="FFFFFF"/>
                <w:sz w:val="19"/>
              </w:rPr>
              <w:t xml:space="preserve"> </w:t>
            </w:r>
            <w:r>
              <w:rPr>
                <w:b/>
                <w:i w:val="0"/>
                <w:color w:val="FFFFFF"/>
                <w:sz w:val="19"/>
              </w:rPr>
              <w:t>DR</w:t>
            </w:r>
            <w:r>
              <w:rPr>
                <w:b/>
                <w:i w:val="0"/>
                <w:color w:val="FFFFFF"/>
                <w:sz w:val="19"/>
              </w:rPr>
              <w:t xml:space="preserve"> </w:t>
            </w:r>
            <w:r>
              <w:rPr>
                <w:b/>
                <w:i w:val="0"/>
                <w:color w:val="FFFFFF"/>
                <w:sz w:val="19"/>
              </w:rPr>
              <w:t xml:space="preserve">Accounts Receivable (Stripe) </w:t>
            </w:r>
            <w:r>
              <w:rPr>
                <w:b/>
                <w:i w:val="0"/>
                <w:color w:val="FFFFFF"/>
                <w:sz w:val="19"/>
              </w:rPr>
              <w:t>AED 150.00</w:t>
            </w:r>
            <w:r>
              <w:rPr>
                <w:b/>
                <w:i w:val="0"/>
                <w:color w:val="FFFFFF"/>
                <w:sz w:val="19"/>
              </w:rPr>
              <w:t xml:space="preserve"> </w:t>
            </w:r>
            <w:r>
              <w:rPr>
                <w:b/>
                <w:i w:val="0"/>
                <w:color w:val="FFFFFF"/>
                <w:sz w:val="19"/>
              </w:rPr>
              <w:t>CR</w:t>
            </w:r>
            <w:r>
              <w:rPr>
                <w:b/>
                <w:i w:val="0"/>
                <w:color w:val="FFFFFF"/>
                <w:sz w:val="19"/>
              </w:rPr>
              <w:t xml:space="preserve"> </w:t>
            </w:r>
            <w:r>
              <w:rPr>
                <w:b/>
                <w:i w:val="0"/>
                <w:color w:val="FFFFFF"/>
                <w:sz w:val="19"/>
              </w:rPr>
              <w:t xml:space="preserve">Deferred Revenue — Ticket (liability) </w:t>
            </w:r>
            <w:r>
              <w:rPr>
                <w:b/>
                <w:i w:val="0"/>
                <w:color w:val="FFFFFF"/>
                <w:sz w:val="19"/>
              </w:rPr>
              <w:t>AED 142.86</w:t>
            </w:r>
            <w:r>
              <w:rPr>
                <w:b/>
                <w:i w:val="0"/>
                <w:color w:val="FFFFFF"/>
                <w:sz w:val="19"/>
              </w:rPr>
              <w:t xml:space="preserve"> </w:t>
            </w:r>
            <w:r>
              <w:rPr>
                <w:b/>
                <w:i w:val="0"/>
                <w:color w:val="FFFFFF"/>
                <w:sz w:val="19"/>
              </w:rPr>
              <w:t>CR</w:t>
            </w:r>
            <w:r>
              <w:rPr>
                <w:b/>
                <w:i w:val="0"/>
                <w:color w:val="FFFFFF"/>
                <w:sz w:val="19"/>
              </w:rPr>
              <w:t xml:space="preserve"> </w:t>
            </w:r>
            <w:r>
              <w:rPr>
                <w:b/>
                <w:i w:val="0"/>
                <w:color w:val="FFFFFF"/>
                <w:sz w:val="19"/>
              </w:rPr>
              <w:t xml:space="preserve">VAT Payable (5%) </w:t>
            </w:r>
            <w:r>
              <w:rPr>
                <w:b/>
                <w:i w:val="0"/>
                <w:color w:val="FFFFFF"/>
                <w:sz w:val="19"/>
              </w:rPr>
              <w:t>AED 7.14</w:t>
            </w:r>
          </w:p>
        </w:tc>
      </w:tr>
    </w:tbl>
    <w:p>
      <w:pPr>
        <w:spacing w:after="40"/>
      </w:pPr>
    </w:p>
    <w:p>
      <w:pPr>
        <w:spacing w:after="120" w:line="259" w:lineRule="auto"/>
      </w:pPr>
      <w:r>
        <w:rPr>
          <w:b w:val="0"/>
          <w:i/>
        </w:rPr>
        <w:t>On the guest</w:t>
      </w:r>
      <w:r>
        <w:rPr>
          <w:b/>
          <w:i w:val="0"/>
        </w:rPr>
        <w:t>*’</w:t>
      </w:r>
      <w:r>
        <w:rPr>
          <w:b w:val="0"/>
          <w:i w:val="0"/>
        </w:rPr>
        <w:t>*</w:t>
      </w:r>
      <w:r>
        <w:rPr>
          <w:b w:val="0"/>
          <w:i/>
        </w:rPr>
        <w:t>s visit date — or upon ticket validation, whichever is configured — the deferred revenue entry converts automatically:</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Example 3b — Revenue recognition trigger fires on visit date</w:t>
            </w:r>
            <w:r>
              <w:rPr>
                <w:b/>
                <w:i w:val="0"/>
                <w:color w:val="FFFFFF"/>
                <w:sz w:val="19"/>
              </w:rPr>
              <w:t xml:space="preserve"> </w:t>
            </w:r>
            <w:r>
              <w:rPr>
                <w:b/>
                <w:i w:val="0"/>
                <w:color w:val="FFFFFF"/>
                <w:sz w:val="19"/>
              </w:rPr>
              <w:t>DR</w:t>
            </w:r>
            <w:r>
              <w:rPr>
                <w:b/>
                <w:i w:val="0"/>
                <w:color w:val="FFFFFF"/>
                <w:sz w:val="19"/>
              </w:rPr>
              <w:t xml:space="preserve"> </w:t>
            </w:r>
            <w:r>
              <w:rPr>
                <w:b/>
                <w:i w:val="0"/>
                <w:color w:val="FFFFFF"/>
                <w:sz w:val="19"/>
              </w:rPr>
              <w:t xml:space="preserve">Deferred Revenue — Ticket (liability) </w:t>
            </w:r>
            <w:r>
              <w:rPr>
                <w:b/>
                <w:i w:val="0"/>
                <w:color w:val="FFFFFF"/>
                <w:sz w:val="19"/>
              </w:rPr>
              <w:t>AED 142.86</w:t>
            </w:r>
            <w:r>
              <w:rPr>
                <w:b/>
                <w:i w:val="0"/>
                <w:color w:val="FFFFFF"/>
                <w:sz w:val="19"/>
              </w:rPr>
              <w:t xml:space="preserve"> </w:t>
            </w:r>
            <w:r>
              <w:rPr>
                <w:b/>
                <w:i w:val="0"/>
                <w:color w:val="FFFFFF"/>
                <w:sz w:val="19"/>
              </w:rPr>
              <w:t>CR</w:t>
            </w:r>
            <w:r>
              <w:rPr>
                <w:b/>
                <w:i w:val="0"/>
                <w:color w:val="FFFFFF"/>
                <w:sz w:val="19"/>
              </w:rPr>
              <w:t xml:space="preserve"> </w:t>
            </w:r>
            <w:r>
              <w:rPr>
                <w:b/>
                <w:i w:val="0"/>
                <w:color w:val="FFFFFF"/>
                <w:sz w:val="19"/>
              </w:rPr>
              <w:t xml:space="preserve">Ticket Revenue — General Admission (income) </w:t>
            </w:r>
            <w:r>
              <w:rPr>
                <w:b/>
                <w:i w:val="0"/>
                <w:color w:val="FFFFFF"/>
                <w:sz w:val="19"/>
              </w:rPr>
              <w:t>AED 142.86</w:t>
            </w:r>
          </w:p>
        </w:tc>
      </w:tr>
    </w:tbl>
    <w:p>
      <w:pPr>
        <w:spacing w:after="40"/>
      </w:pPr>
    </w:p>
    <w:p>
      <w:pPr>
        <w:spacing w:after="120" w:line="259" w:lineRule="auto"/>
      </w:pPr>
      <w:r>
        <w:rPr>
          <w:b w:val="0"/>
          <w:i w:val="0"/>
        </w:rPr>
        <w:t>The immutability rule is enforced at the database layer through append-only table constraints — no UPDATE or DELETE operations are permitted on ledger tables. Every entry carries an immutable created_at timestamp and actor identity from the identity context. Seven-year retention is enforced by the audit archival policy, satisfying UAE financial record-keeping requirements.</w:t>
      </w:r>
    </w:p>
    <w:p>
      <w:pPr>
        <w:pStyle w:val="Heading2"/>
        <w:spacing w:before="200" w:after="80"/>
      </w:pPr>
      <w:r>
        <w:rPr>
          <w:b/>
          <w:color w:val="2E75B6"/>
          <w:sz w:val="28"/>
        </w:rPr>
        <w:t>4.3 UAE VAT Compliance</w:t>
      </w:r>
    </w:p>
    <w:p>
      <w:pPr>
        <w:spacing w:after="120" w:line="259" w:lineRule="auto"/>
      </w:pPr>
      <w:r>
        <w:rPr>
          <w:b w:val="0"/>
          <w:i w:val="0"/>
        </w:rPr>
        <w:t>The tax engine is configured for UAE VAT requirements and generates FTA-compliant output at every level of the financial stack. VAT is not calculated as a top-level aggregate — it is calculated and recorded at the line-item level within each transaction, ensuring that mixed-rate transactions (a basket containing standard-rated tickets and zero-rated food items, for example) are handled correctly.</w:t>
      </w:r>
    </w:p>
    <w:p>
      <w:pPr>
        <w:pStyle w:val="Heading3"/>
        <w:spacing w:before="160" w:after="60"/>
      </w:pPr>
      <w:r>
        <w:rPr>
          <w:b/>
          <w:color w:val="2E75B6"/>
          <w:sz w:val="23"/>
        </w:rPr>
        <w:t>Rate Configuration</w:t>
      </w:r>
    </w:p>
    <w:p>
      <w:pPr>
        <w:spacing w:after="120" w:line="259" w:lineRule="auto"/>
      </w:pPr>
      <w:r>
        <w:rPr>
          <w:b w:val="0"/>
          <w:i w:val="0"/>
        </w:rPr>
        <w:t>The standard UAE VAT rate of 5% is configured by default and applies to most goods and services sold through the platform. Zero-rated and exempt product categories are configurable per SKU — a venue selling certain food items, exported services, or other zero-rated goods configures the exemption on the product record, and the tax engine applies it automatically at the point of transaction without any manual intervention at checkout.</w:t>
      </w:r>
    </w:p>
    <w:p>
      <w:pPr>
        <w:spacing w:after="120" w:line="259" w:lineRule="auto"/>
      </w:pPr>
      <w:r>
        <w:rPr>
          <w:b w:val="0"/>
          <w:i w:val="0"/>
        </w:rPr>
        <w:t>Each venue can operate under its own Tax Registration Number (TRN) where required by the client’s corporate structure. Alternatively, multiple venues within a tenant can consolidate under a single TRN — the configuration is at the venue level in the Governance domain, and the tax engine reads it for every transaction. During the Discovery Phase, the client’s TRN structure is confirmed per venue as part of the VAT configuration gate.</w:t>
      </w:r>
    </w:p>
    <w:p>
      <w:pPr>
        <w:pStyle w:val="Heading3"/>
        <w:spacing w:before="160" w:after="60"/>
      </w:pPr>
      <w:r>
        <w:rPr>
          <w:b/>
          <w:color w:val="2E75B6"/>
          <w:sz w:val="23"/>
        </w:rPr>
        <w:t>FTA-Compliant Invoice Generation</w:t>
      </w:r>
    </w:p>
    <w:p>
      <w:pPr>
        <w:spacing w:after="120" w:line="259" w:lineRule="auto"/>
      </w:pPr>
      <w:r>
        <w:rPr>
          <w:b w:val="0"/>
          <w:i w:val="0"/>
        </w:rPr>
        <w:t>Tax invoices generated by the platform meet UAE Federal Tax Authority requirements in full. Each invoice contains: the supplier’s TRN, the buyer’s TRN (for B2B transactions), a sequential invoice number, the issue date, an itemised breakdown of taxable and non-taxable line items, the VAT rate applied to each line, the VAT amount per line, and the total VAT charged. Invoices are generated automatically on transaction confirmation and available for immediate download by the guest or corporate buyer.</w:t>
      </w:r>
    </w:p>
    <w:p>
      <w:pPr>
        <w:spacing w:after="120" w:line="259" w:lineRule="auto"/>
      </w:pPr>
      <w:r>
        <w:rPr>
          <w:b w:val="0"/>
          <w:i w:val="0"/>
        </w:rPr>
        <w:t>For B2C retail transactions at POS and kiosk, simplified tax receipts are issued — the FTA permits simplified invoices for supplies under AED 10,000 where the buyer is not registered for VAT. The system determines the appropriate invoice format automatically based on the transaction characteristics.</w:t>
      </w:r>
    </w:p>
    <w:p>
      <w:pPr>
        <w:pStyle w:val="Heading3"/>
        <w:spacing w:before="160" w:after="60"/>
      </w:pPr>
      <w:r>
        <w:rPr>
          <w:b/>
          <w:color w:val="2E75B6"/>
          <w:sz w:val="23"/>
        </w:rPr>
        <w:t>VAT Return Reporting</w:t>
      </w:r>
    </w:p>
    <w:p>
      <w:pPr>
        <w:spacing w:after="120" w:line="259" w:lineRule="auto"/>
      </w:pPr>
      <w:r>
        <w:rPr>
          <w:b w:val="0"/>
          <w:i w:val="0"/>
        </w:rPr>
        <w:t>The Finance module generates periodic VAT summary reports compatible with FTA return submission requirements. The report presents: total output VAT collected, total input VAT recoverable (if applicable), net VAT liability, broken down by standard-rated, zero-rated, and exempt supplies. The report is exportable in formats compatible with the FTA’s online portal. Scheduled automated delivery to the finance team’s email is configurable.</w:t>
      </w:r>
    </w:p>
    <w:p>
      <w:pPr>
        <w:spacing w:after="80"/>
      </w:pPr>
      <w:r>
        <w:rPr>
          <w:i/>
          <w:color w:val="555555"/>
          <w:sz w:val="18"/>
        </w:rPr>
        <w:t>Figure 4.5 — UAE VAT Engine: Three Rate Categories and FTA-Compliant Invoice Output</w:t>
      </w:r>
    </w:p>
    <w:p>
      <w:pPr>
        <w:pStyle w:val="Heading2"/>
        <w:spacing w:before="200" w:after="80"/>
      </w:pPr>
      <w:r>
        <w:rPr>
          <w:b/>
          <w:color w:val="2E75B6"/>
          <w:sz w:val="28"/>
        </w:rPr>
        <w:t>4.4 Multi-Currency Display and Settlement</w:t>
      </w:r>
    </w:p>
    <w:p>
      <w:pPr>
        <w:spacing w:after="120" w:line="259" w:lineRule="auto"/>
      </w:pPr>
      <w:r>
        <w:rPr>
          <w:b w:val="0"/>
          <w:i w:val="0"/>
        </w:rPr>
        <w:t>The platform supports presenting prices to guests in a currency they choose, while keeping settlement and accounting unambiguous. This matters for a UAE tourism estate where a large share of guests are international visitors who want to understand a price in their home currency before they commit.</w:t>
      </w:r>
    </w:p>
    <w:p>
      <w:pPr>
        <w:spacing w:after="120" w:line="259" w:lineRule="auto"/>
      </w:pPr>
      <w:r>
        <w:rPr>
          <w:b w:val="0"/>
          <w:i w:val="0"/>
        </w:rPr>
        <w:t xml:space="preserve">The model separates </w:t>
      </w:r>
      <w:r>
        <w:rPr>
          <w:b w:val="0"/>
          <w:i/>
        </w:rPr>
        <w:t>display</w:t>
      </w:r>
      <w:r>
        <w:rPr>
          <w:b w:val="0"/>
          <w:i w:val="0"/>
        </w:rPr>
        <w:t xml:space="preserve"> from </w:t>
      </w:r>
      <w:r>
        <w:rPr>
          <w:b w:val="0"/>
          <w:i/>
        </w:rPr>
        <w:t>settlement</w:t>
      </w:r>
      <w:r>
        <w:rPr>
          <w:b w:val="0"/>
          <w:i w:val="0"/>
        </w:rPr>
        <w:t>. On both the B2C storefront and POS, the guest can select a display currency from a back-office-configured list. Prices across the catalogue are then shown converted into that currency using exchange rates maintained in the back office (manually set, or refreshed from a configured rate source). The conversion is presentational — it helps the guest decide — but the transaction itself always settles in the payment gateway’s base currency for that venue (AED or SAR). At POS, where cash is involved, any change is given in the local base currency, never in the display currency, which keeps the cash drawer and the ledger clean.</w:t>
      </w:r>
    </w:p>
    <w:p>
      <w:pPr>
        <w:spacing w:after="120" w:line="259" w:lineRule="auto"/>
      </w:pPr>
      <w:r>
        <w:rPr>
          <w:b w:val="0"/>
          <w:i w:val="0"/>
        </w:rPr>
        <w:t>Because settlement is always in the base currency, the double-entry ledger, VAT calculation, and FTA invoice are unaffected by the guest’s display choice — they are produced in the base currency exactly as before. To support finance and treasury, the platform additionally provides foreign-currency collection reporting: where a channel does collect in a foreign currency, those collections are reported with the rate applied and the base-currency equivalent, so reconciliation and revenue reporting remain accurate. Display currencies, the rate source, and rounding rules are all configurable per region and venue.</w:t>
      </w:r>
    </w:p>
    <w:p>
      <w:pPr>
        <w:pStyle w:val="Heading2"/>
        <w:spacing w:before="200" w:after="80"/>
      </w:pPr>
      <w:r>
        <w:rPr>
          <w:b/>
          <w:color w:val="2E75B6"/>
          <w:sz w:val="28"/>
        </w:rPr>
        <w:t>4.5 Revenue Recognition</w:t>
      </w:r>
    </w:p>
    <w:p>
      <w:pPr>
        <w:spacing w:after="120" w:line="259" w:lineRule="auto"/>
      </w:pPr>
      <w:r>
        <w:rPr>
          <w:b w:val="0"/>
          <w:i w:val="0"/>
        </w:rPr>
        <w:t>Revenue recognition for entertainment venues is more complex than it first appears. The key distinction is between revenue that is earned at the point of sale and revenue that is earned at a future point — the visit date. Mishandling this distinction produces financial statements that overstate revenue in periods when advance tickets are sold and understate it in periods when those tickets are redeemed.</w:t>
      </w:r>
    </w:p>
    <w:p>
      <w:pPr>
        <w:spacing w:after="120" w:line="259" w:lineRule="auto"/>
      </w:pPr>
      <w:r>
        <w:rPr>
          <w:b w:val="0"/>
          <w:i w:val="0"/>
        </w:rPr>
        <w:t>TAIS handles two primary recognition models, with a third for membership and subscription products:</w:t>
      </w:r>
    </w:p>
    <w:p>
      <w:pPr>
        <w:spacing w:after="80"/>
      </w:pPr>
      <w:r>
        <w:rPr>
          <w:i/>
          <w:color w:val="555555"/>
          <w:sz w:val="18"/>
        </w:rPr>
        <w:t>Figure 4.3 — Revenue Recognition: Point-of-Sale vs Deferred vs Ratable (Memberships)</w:t>
      </w:r>
    </w:p>
    <w:p>
      <w:pPr>
        <w:pStyle w:val="Heading3"/>
        <w:spacing w:before="160" w:after="60"/>
      </w:pPr>
      <w:r>
        <w:rPr>
          <w:b/>
          <w:color w:val="2E75B6"/>
          <w:sz w:val="23"/>
        </w:rPr>
        <w:t>Point-of-Sale Recognition</w:t>
      </w:r>
    </w:p>
    <w:p>
      <w:pPr>
        <w:spacing w:after="120" w:line="259" w:lineRule="auto"/>
      </w:pPr>
      <w:r>
        <w:rPr>
          <w:b w:val="0"/>
          <w:i w:val="0"/>
        </w:rPr>
        <w:t>Revenue is recognised immediately at the time of purchase. This applies to: same-day tickets (the guest is attending today), retail merchandise, food and beverage sales, gift card sales where the asset is delivered immediately, and service fees. The ledger entry credits the relevant revenue account at the moment of payment confirmation.</w:t>
      </w:r>
    </w:p>
    <w:p>
      <w:pPr>
        <w:pStyle w:val="Heading3"/>
        <w:spacing w:before="160" w:after="60"/>
      </w:pPr>
      <w:r>
        <w:rPr>
          <w:b/>
          <w:color w:val="2E75B6"/>
          <w:sz w:val="23"/>
        </w:rPr>
        <w:t>Deferred Revenue — Future-Dated Tickets and Advance Bookings</w:t>
      </w:r>
    </w:p>
    <w:p>
      <w:pPr>
        <w:spacing w:after="120" w:line="259" w:lineRule="auto"/>
      </w:pPr>
      <w:r>
        <w:rPr>
          <w:b w:val="0"/>
          <w:i w:val="0"/>
        </w:rPr>
        <w:t>When a guest purchases a ticket for a future visit date, the payment received is not revenue until the visit occurs. Until then, it is a liability — money the venue owes the guest in the form of an experience. The platform records the full payment as a debit to Accounts Receivable and a credit to the Deferred Revenue liability account.</w:t>
      </w:r>
    </w:p>
    <w:p>
      <w:pPr>
        <w:spacing w:after="120" w:line="259" w:lineRule="auto"/>
      </w:pPr>
      <w:r>
        <w:rPr>
          <w:b w:val="0"/>
          <w:i w:val="0"/>
        </w:rPr>
        <w:t>On the configured recognition trigger — either the guest’s scheduled visit date or the moment of ticket validation at the gate, whichever is specified per product type — the platform automatically generates the recognising entry: debit Deferred Revenue, credit Ticket Revenue. This transfer happens at midnight on the visit date for date-triggered products, or in real time upon validation for validation-triggered products. No manual journal entry is required.</w:t>
      </w:r>
    </w:p>
    <w:p>
      <w:pPr>
        <w:spacing w:after="120" w:line="259" w:lineRule="auto"/>
      </w:pPr>
      <w:r>
        <w:rPr>
          <w:b w:val="0"/>
          <w:i w:val="0"/>
        </w:rPr>
        <w:t>If a future-dated ticket is refunded before the visit date, the reversal entries credit the liability account rather than the revenue account — because revenue was never recognised. The accounting remains correct regardless of whether the refund occurs before or after the originally scheduled visit.</w:t>
      </w:r>
    </w:p>
    <w:p>
      <w:pPr>
        <w:pStyle w:val="Heading3"/>
        <w:spacing w:before="160" w:after="60"/>
      </w:pPr>
      <w:r>
        <w:rPr>
          <w:b/>
          <w:color w:val="2E75B6"/>
          <w:sz w:val="23"/>
        </w:rPr>
        <w:t>Membership and Subscription Revenue</w:t>
      </w:r>
    </w:p>
    <w:p>
      <w:pPr>
        <w:spacing w:after="120" w:line="259" w:lineRule="auto"/>
      </w:pPr>
      <w:r>
        <w:rPr>
          <w:b w:val="0"/>
          <w:i w:val="0"/>
        </w:rPr>
        <w:t>Annual pass and membership revenue is recognised ratably over the membership period. A guest who purchases a 12-month annual pass in January pays a single amount, but the platform recognises one-twelfth of that payment as revenue each month. The remaining balance sits in Deferred Revenue until it is earned through the passage of time. Proration on mid-cycle upgrades, downgrades, and cancellations is handled automatically by the billing engine with corresponding ledger entries.</w:t>
      </w:r>
    </w:p>
    <w:p>
      <w:pPr>
        <w:pStyle w:val="Heading2"/>
        <w:spacing w:before="200" w:after="80"/>
      </w:pPr>
      <w:r>
        <w:rPr>
          <w:b/>
          <w:color w:val="2E75B6"/>
          <w:sz w:val="28"/>
        </w:rPr>
        <w:t>4.6 Payment Processing and Gateway Management</w:t>
      </w:r>
    </w:p>
    <w:p>
      <w:pPr>
        <w:spacing w:after="120" w:line="259" w:lineRule="auto"/>
      </w:pPr>
      <w:r>
        <w:rPr>
          <w:b w:val="0"/>
          <w:i w:val="0"/>
        </w:rPr>
        <w:t>Payment processing in TAIS is implemented through an adapter pattern that isolates the platform from gateway-specific API details. The gateway adapter layer handles authentication, request formatting, response parsing, and error handling for each provider. The Finance Service interacts with a single internal payment interface — the gateway used for any given transaction is determined by configuration, not by the calling code.</w:t>
      </w:r>
    </w:p>
    <w:p>
      <w:pPr>
        <w:spacing w:after="120" w:line="259" w:lineRule="auto"/>
      </w:pPr>
      <w:r>
        <w:rPr>
          <w:b w:val="0"/>
          <w:i w:val="0"/>
        </w:rPr>
        <w:t>Phase 1 delivers two gateways: Stripe and Network International. The Stripe adapter handles card payments, digital wallet payments (Apple Pay, Google Pay), saved payment methods, and Stripe’s 3D Secure flow for SCA compliance; the Network International adapter provides UAE-local acquiring for high-volume domestic card processing. Any additional gateway (PayTabs, Amazon Payment Services, Checkout.com, PayPal, CCAvenue) is delivered as a contracted red-card item with a fixed timeline and cost — adding a gateway does not require changes to the Finance Service, only a new adapter implementation.</w:t>
      </w:r>
    </w:p>
    <w:p>
      <w:pPr>
        <w:spacing w:after="120" w:line="259" w:lineRule="auto"/>
      </w:pPr>
      <w:r>
        <w:rPr>
          <w:b w:val="0"/>
          <w:i w:val="0"/>
        </w:rPr>
        <w:t>No raw card data passes through the TAIS application layer. Stripe’s tokenisation model is used throughout: Stripe.js on the frontend captures card details directly to Stripe’s servers and returns a payment method token. The TAIS platform handles only the token. This architecture means the platform’s PCI-DSS scope is significantly reduced — the tokenisation removes TAIS from handling cardholder data, placing card security obligations on Stripe rather than on the platform. Full PCI-DSS scope detail is in Chapter 7.</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Gateway</w:t>
            </w:r>
          </w:p>
        </w:tc>
        <w:tc>
          <w:tcPr>
            <w:tcW w:type="dxa" w:w="3216"/>
            <w:shd w:val="clear" w:fill="1F3864"/>
          </w:tcPr>
          <w:p>
            <w:pPr>
              <w:spacing w:after="20" w:before="20"/>
            </w:pPr>
            <w:r/>
            <w:r>
              <w:rPr>
                <w:b/>
                <w:i w:val="0"/>
                <w:color w:val="FFFFFF"/>
                <w:sz w:val="19"/>
              </w:rPr>
              <w:t>Phase</w:t>
            </w:r>
          </w:p>
        </w:tc>
        <w:tc>
          <w:tcPr>
            <w:tcW w:type="dxa" w:w="3216"/>
            <w:shd w:val="clear" w:fill="1F3864"/>
          </w:tcPr>
          <w:p>
            <w:pPr>
              <w:spacing w:after="20" w:before="20"/>
            </w:pPr>
            <w:r/>
            <w:r>
              <w:rPr>
                <w:b/>
                <w:i w:val="0"/>
                <w:color w:val="FFFFFF"/>
                <w:sz w:val="19"/>
              </w:rPr>
              <w:t>Capabilities</w:t>
            </w:r>
          </w:p>
        </w:tc>
      </w:tr>
      <w:tr>
        <w:tc>
          <w:tcPr>
            <w:tcW w:type="dxa" w:w="3216"/>
          </w:tcPr>
          <w:p>
            <w:pPr>
              <w:spacing w:after="20" w:before="20"/>
            </w:pPr>
            <w:r/>
            <w:r>
              <w:rPr>
                <w:b w:val="0"/>
                <w:i w:val="0"/>
                <w:sz w:val="19"/>
              </w:rPr>
              <w:t>Stripe</w:t>
            </w:r>
          </w:p>
        </w:tc>
        <w:tc>
          <w:tcPr>
            <w:tcW w:type="dxa" w:w="3216"/>
          </w:tcPr>
          <w:p>
            <w:pPr>
              <w:spacing w:after="20" w:before="20"/>
            </w:pPr>
            <w:r/>
            <w:r>
              <w:rPr>
                <w:b w:val="0"/>
                <w:i w:val="0"/>
                <w:sz w:val="19"/>
              </w:rPr>
              <w:t>Phase 1</w:t>
            </w:r>
          </w:p>
        </w:tc>
        <w:tc>
          <w:tcPr>
            <w:tcW w:type="dxa" w:w="3216"/>
          </w:tcPr>
          <w:p>
            <w:pPr>
              <w:spacing w:after="20" w:before="20"/>
            </w:pPr>
            <w:r/>
            <w:r>
              <w:rPr>
                <w:b w:val="0"/>
                <w:i w:val="0"/>
                <w:sz w:val="19"/>
              </w:rPr>
              <w:t>Cards, Apple Pay, Google Pay, saved payment methods, 3D Secure / SCA</w:t>
            </w:r>
          </w:p>
        </w:tc>
      </w:tr>
      <w:tr>
        <w:tc>
          <w:tcPr>
            <w:tcW w:type="dxa" w:w="3216"/>
            <w:shd w:val="clear" w:fill="EEF3F8"/>
          </w:tcPr>
          <w:p>
            <w:pPr>
              <w:spacing w:after="20" w:before="20"/>
            </w:pPr>
            <w:r/>
            <w:r>
              <w:rPr>
                <w:b w:val="0"/>
                <w:i w:val="0"/>
                <w:sz w:val="19"/>
              </w:rPr>
              <w:t>Network International</w:t>
            </w:r>
          </w:p>
        </w:tc>
        <w:tc>
          <w:tcPr>
            <w:tcW w:type="dxa" w:w="3216"/>
            <w:shd w:val="clear" w:fill="EEF3F8"/>
          </w:tcPr>
          <w:p>
            <w:pPr>
              <w:spacing w:after="20" w:before="20"/>
            </w:pPr>
            <w:r/>
            <w:r>
              <w:rPr>
                <w:b w:val="0"/>
                <w:i w:val="0"/>
                <w:sz w:val="19"/>
              </w:rPr>
              <w:t>Phase 1</w:t>
            </w:r>
          </w:p>
        </w:tc>
        <w:tc>
          <w:tcPr>
            <w:tcW w:type="dxa" w:w="3216"/>
            <w:shd w:val="clear" w:fill="EEF3F8"/>
          </w:tcPr>
          <w:p>
            <w:pPr>
              <w:spacing w:after="20" w:before="20"/>
            </w:pPr>
            <w:r/>
            <w:r>
              <w:rPr>
                <w:b w:val="0"/>
                <w:i w:val="0"/>
                <w:sz w:val="19"/>
              </w:rPr>
              <w:t>UAE market acquirer; local card schemes (Mastercard, Visa local routing)</w:t>
            </w:r>
          </w:p>
        </w:tc>
      </w:tr>
      <w:tr>
        <w:tc>
          <w:tcPr>
            <w:tcW w:type="dxa" w:w="3216"/>
          </w:tcPr>
          <w:p>
            <w:pPr>
              <w:spacing w:after="20" w:before="20"/>
            </w:pPr>
            <w:r/>
            <w:r>
              <w:rPr>
                <w:b w:val="0"/>
                <w:i w:val="0"/>
                <w:sz w:val="19"/>
              </w:rPr>
              <w:t>PayTabs</w:t>
            </w:r>
          </w:p>
        </w:tc>
        <w:tc>
          <w:tcPr>
            <w:tcW w:type="dxa" w:w="3216"/>
          </w:tcPr>
          <w:p>
            <w:pPr>
              <w:spacing w:after="20" w:before="20"/>
            </w:pPr>
            <w:r/>
            <w:r>
              <w:rPr>
                <w:b w:val="0"/>
                <w:i w:val="0"/>
                <w:sz w:val="19"/>
              </w:rPr>
              <w:t>Red-card clause</w:t>
            </w:r>
          </w:p>
        </w:tc>
        <w:tc>
          <w:tcPr>
            <w:tcW w:type="dxa" w:w="3216"/>
          </w:tcPr>
          <w:p>
            <w:pPr>
              <w:spacing w:after="20" w:before="20"/>
            </w:pPr>
            <w:r/>
            <w:r>
              <w:rPr>
                <w:b w:val="0"/>
                <w:i w:val="0"/>
                <w:sz w:val="19"/>
              </w:rPr>
              <w:t>Middle East regional gateway; alternative payment methods</w:t>
            </w:r>
          </w:p>
        </w:tc>
      </w:tr>
      <w:tr>
        <w:tc>
          <w:tcPr>
            <w:tcW w:type="dxa" w:w="3216"/>
            <w:shd w:val="clear" w:fill="EEF3F8"/>
          </w:tcPr>
          <w:p>
            <w:pPr>
              <w:spacing w:after="20" w:before="20"/>
            </w:pPr>
            <w:r/>
            <w:r>
              <w:rPr>
                <w:b w:val="0"/>
                <w:i w:val="0"/>
                <w:sz w:val="19"/>
              </w:rPr>
              <w:t>Amazon Payment Services</w:t>
            </w:r>
          </w:p>
        </w:tc>
        <w:tc>
          <w:tcPr>
            <w:tcW w:type="dxa" w:w="3216"/>
            <w:shd w:val="clear" w:fill="EEF3F8"/>
          </w:tcPr>
          <w:p>
            <w:pPr>
              <w:spacing w:after="20" w:before="20"/>
            </w:pPr>
            <w:r/>
            <w:r>
              <w:rPr>
                <w:b w:val="0"/>
                <w:i w:val="0"/>
                <w:sz w:val="19"/>
              </w:rPr>
              <w:t>Red-card clause</w:t>
            </w:r>
          </w:p>
        </w:tc>
        <w:tc>
          <w:tcPr>
            <w:tcW w:type="dxa" w:w="3216"/>
            <w:shd w:val="clear" w:fill="EEF3F8"/>
          </w:tcPr>
          <w:p>
            <w:pPr>
              <w:spacing w:after="20" w:before="20"/>
            </w:pPr>
            <w:r/>
            <w:r>
              <w:rPr>
                <w:b w:val="0"/>
                <w:i w:val="0"/>
                <w:sz w:val="19"/>
              </w:rPr>
              <w:t>Formerly Payfort; strong UAE market presence</w:t>
            </w:r>
          </w:p>
        </w:tc>
      </w:tr>
      <w:tr>
        <w:tc>
          <w:tcPr>
            <w:tcW w:type="dxa" w:w="3216"/>
          </w:tcPr>
          <w:p>
            <w:pPr>
              <w:spacing w:after="20" w:before="20"/>
            </w:pPr>
            <w:r/>
            <w:r>
              <w:rPr>
                <w:b w:val="0"/>
                <w:i w:val="0"/>
                <w:sz w:val="19"/>
              </w:rPr>
              <w:t>Checkout.com / PayPal / CCAvenue</w:t>
            </w:r>
          </w:p>
        </w:tc>
        <w:tc>
          <w:tcPr>
            <w:tcW w:type="dxa" w:w="3216"/>
          </w:tcPr>
          <w:p>
            <w:pPr>
              <w:spacing w:after="20" w:before="20"/>
            </w:pPr>
            <w:r/>
            <w:r>
              <w:rPr>
                <w:b w:val="0"/>
                <w:i w:val="0"/>
                <w:sz w:val="19"/>
              </w:rPr>
              <w:t>Red-card clause</w:t>
            </w:r>
          </w:p>
        </w:tc>
        <w:tc>
          <w:tcPr>
            <w:tcW w:type="dxa" w:w="3216"/>
          </w:tcPr>
          <w:p>
            <w:pPr>
              <w:spacing w:after="20" w:before="20"/>
            </w:pPr>
            <w:r/>
            <w:r>
              <w:rPr>
                <w:b w:val="0"/>
                <w:i w:val="0"/>
                <w:sz w:val="19"/>
              </w:rPr>
              <w:t>Activated on request; fixed timeline and cost per gateway</w:t>
            </w:r>
          </w:p>
        </w:tc>
      </w:tr>
      <w:tr>
        <w:tc>
          <w:tcPr>
            <w:tcW w:type="dxa" w:w="3216"/>
            <w:shd w:val="clear" w:fill="EEF3F8"/>
          </w:tcPr>
          <w:p>
            <w:pPr>
              <w:spacing w:after="20" w:before="20"/>
            </w:pPr>
            <w:r/>
            <w:r>
              <w:rPr>
                <w:b w:val="0"/>
                <w:i w:val="0"/>
                <w:sz w:val="19"/>
              </w:rPr>
              <w:t>Cash</w:t>
            </w:r>
          </w:p>
        </w:tc>
        <w:tc>
          <w:tcPr>
            <w:tcW w:type="dxa" w:w="3216"/>
            <w:shd w:val="clear" w:fill="EEF3F8"/>
          </w:tcPr>
          <w:p>
            <w:pPr>
              <w:spacing w:after="20" w:before="20"/>
            </w:pPr>
            <w:r/>
            <w:r>
              <w:rPr>
                <w:b w:val="0"/>
                <w:i w:val="0"/>
                <w:sz w:val="19"/>
              </w:rPr>
              <w:t>All phases — POS only</w:t>
            </w:r>
          </w:p>
        </w:tc>
        <w:tc>
          <w:tcPr>
            <w:tcW w:type="dxa" w:w="3216"/>
            <w:shd w:val="clear" w:fill="EEF3F8"/>
          </w:tcPr>
          <w:p>
            <w:pPr>
              <w:spacing w:after="20" w:before="20"/>
            </w:pPr>
            <w:r/>
            <w:r>
              <w:rPr>
                <w:b w:val="0"/>
                <w:i w:val="0"/>
                <w:sz w:val="19"/>
              </w:rPr>
              <w:t>Cash drawer management; no gateway integration; full offline capability</w:t>
            </w:r>
          </w:p>
        </w:tc>
      </w:tr>
    </w:tbl>
    <w:p>
      <w:pPr>
        <w:spacing w:after="40"/>
      </w:pPr>
    </w:p>
    <w:p>
      <w:pPr>
        <w:pStyle w:val="Heading2"/>
        <w:spacing w:before="200" w:after="80"/>
      </w:pPr>
      <w:r>
        <w:rPr>
          <w:b/>
          <w:color w:val="2E75B6"/>
          <w:sz w:val="28"/>
        </w:rPr>
        <w:t>4.7 Refund and Chargeback Architecture</w:t>
      </w:r>
    </w:p>
    <w:p>
      <w:pPr>
        <w:pStyle w:val="Heading3"/>
        <w:spacing w:before="160" w:after="60"/>
      </w:pPr>
      <w:r>
        <w:rPr>
          <w:b/>
          <w:color w:val="2E75B6"/>
          <w:sz w:val="23"/>
        </w:rPr>
        <w:t>Refund Processing</w:t>
      </w:r>
    </w:p>
    <w:p>
      <w:pPr>
        <w:spacing w:after="120" w:line="259" w:lineRule="auto"/>
      </w:pPr>
      <w:r>
        <w:rPr>
          <w:b w:val="0"/>
          <w:i w:val="0"/>
        </w:rPr>
        <w:t>Refunds in TAIS are not simple reversals of payment gateway charges. They are a structured financial workflow that ensures the ledger remains accurate, gateway refund operations are only triggered after internal financial integrity is confirmed, and every refund is traceable to the person who requested it, the person who approved it, and the reason it was issued.</w:t>
      </w:r>
    </w:p>
    <w:p>
      <w:pPr>
        <w:spacing w:after="120" w:line="259" w:lineRule="auto"/>
      </w:pPr>
      <w:r>
        <w:rPr>
          <w:b w:val="0"/>
          <w:i w:val="0"/>
        </w:rPr>
        <w:t>The refund workflow operates as follows. A refund request is raised by a staff member or triggered by an automated rule (e.g., an event cancellation). The system checks the request against the configured approval threshold for the venue — refunds above a configurable amount (typically AED 500, configurable per venue) require supervisor or manager authorisation before proceeding. The approval notification is routed to the appropriate role holder via the platform’s notification system. On approval, the platform generates the ledger reversal entries first, then triggers the gateway refund API call. If the gateway call fails, the ledger entries are rolled back. This sequence — ledger first, gateway second — ensures the platform’s internal records are never in a state where money has been returned but the ledger has not been updated.</w:t>
      </w:r>
    </w:p>
    <w:p>
      <w:pPr>
        <w:spacing w:after="120" w:line="259" w:lineRule="auto"/>
      </w:pPr>
      <w:r>
        <w:rPr>
          <w:b w:val="0"/>
          <w:i w:val="0"/>
        </w:rPr>
        <w:t>Partial refunds are supported at the line-item level. A guest who purchased a family bundle can receive a refund for one adult ticket while retaining the remainder of the order. The partial refund generates entries against the specific revenue and VAT accounts for the refunded line items only.</w:t>
      </w:r>
    </w:p>
    <w:p>
      <w:pPr>
        <w:pStyle w:val="Heading3"/>
        <w:spacing w:before="160" w:after="60"/>
      </w:pPr>
      <w:r>
        <w:rPr>
          <w:b/>
          <w:color w:val="2E75B6"/>
          <w:sz w:val="23"/>
        </w:rPr>
        <w:t>Configurable Refund, Cancellation and Reschedule Rules</w:t>
      </w:r>
    </w:p>
    <w:p>
      <w:pPr>
        <w:spacing w:after="120" w:line="259" w:lineRule="auto"/>
      </w:pPr>
      <w:r>
        <w:rPr>
          <w:b w:val="0"/>
          <w:i w:val="0"/>
        </w:rPr>
        <w:t>How much a guest gets back, and under what conditions, is driven by a configurable rule engine rather than hardcoded logic — because the right policy varies by venue, product, and how close the cancellation is to the visit. An operator can define time-banded rules such as: full (100%) refund if cancelled seven or more days before the visit, 50% if cancelled within three days, and no refund within one day of the visit. Rules are configurable per venue and per product category, with as many bands as the policy requires.</w:t>
      </w:r>
    </w:p>
    <w:p>
      <w:pPr>
        <w:spacing w:after="120" w:line="259" w:lineRule="auto"/>
      </w:pPr>
      <w:r>
        <w:rPr>
          <w:b w:val="0"/>
          <w:i w:val="0"/>
        </w:rPr>
        <w:t>Rescheduling is handled by the same engine. A guest can move a booking to a new date, subject to configurable reschedule charges that follow the same time-banded structure (for example, free reschedule seven days out, a fixed or percentage fee closer in). Where a refund or cancellation results in money returning to the guest, the engine triggers the gateway/bank refund through the same ledger-first sequence described above, so the accounting stays correct whether the outcome is a full refund, a partial refund, a reschedule fee, or a retained cancellation fee. Every rule application is recorded against the booking for audit, including which band applied and the resulting amount.</w:t>
      </w:r>
    </w:p>
    <w:p>
      <w:pPr>
        <w:spacing w:after="80"/>
      </w:pPr>
      <w:r>
        <w:rPr>
          <w:i/>
          <w:color w:val="555555"/>
          <w:sz w:val="18"/>
        </w:rPr>
        <w:t>Figure 4.4 — Refund Workflow: Approval Threshold, Ledger Reversal, Gateway Call Sequencing</w:t>
      </w:r>
    </w:p>
    <w:p>
      <w:pPr>
        <w:pStyle w:val="Heading3"/>
        <w:spacing w:before="160" w:after="60"/>
      </w:pPr>
      <w:r>
        <w:rPr>
          <w:b/>
          <w:color w:val="2E75B6"/>
          <w:sz w:val="23"/>
        </w:rPr>
        <w:t>Chargeback Management</w:t>
      </w:r>
    </w:p>
    <w:p>
      <w:pPr>
        <w:spacing w:after="120" w:line="259" w:lineRule="auto"/>
      </w:pPr>
      <w:r>
        <w:rPr>
          <w:b w:val="0"/>
          <w:i w:val="0"/>
        </w:rPr>
        <w:t>Chargebacks — payment disputes initiated by the cardholder’s bank — follow a separate workflow from voluntary refunds, both because the financial treatment differs and because the evidence management process requires its own structure. When a chargeback notification arrives from Stripe (or another gateway), the platform creates a dispute record linked to the original transaction. The dispute record collects the evidence package automatically: the original transaction record, the ticket validation event confirming the ticket was used, any customer communication records, and the original order confirmation.</w:t>
      </w:r>
    </w:p>
    <w:p>
      <w:pPr>
        <w:spacing w:after="120" w:line="259" w:lineRule="auto"/>
      </w:pPr>
      <w:r>
        <w:rPr>
          <w:b w:val="0"/>
          <w:i w:val="0"/>
        </w:rPr>
        <w:t>The finance team manages the dispute response through the Operations Command Center dashboard, submitting evidence to the gateway within the dispute window. The outcome — won, lost, or expired — is recorded against the dispute record. On a lost chargeback, the platform automatically generates ledger entries for the chargeback debit and any associated chargeback fees charged by the gateway. Chargeback rate monitoring is available as a KPI in the Operations Command Center, providing visibility into dispute trends before they become a commercial problem.</w:t>
      </w:r>
    </w:p>
    <w:p>
      <w:pPr>
        <w:pStyle w:val="Heading2"/>
        <w:spacing w:before="200" w:after="80"/>
      </w:pPr>
      <w:r>
        <w:rPr>
          <w:b/>
          <w:color w:val="2E75B6"/>
          <w:sz w:val="28"/>
        </w:rPr>
        <w:t>4.8 Settlement Reconciliation</w:t>
      </w:r>
    </w:p>
    <w:p>
      <w:pPr>
        <w:spacing w:after="120" w:line="259" w:lineRule="auto"/>
      </w:pPr>
      <w:r>
        <w:rPr>
          <w:b w:val="0"/>
          <w:i w:val="0"/>
        </w:rPr>
        <w:t>Settlement reconciliation is the daily process of confirming that what the payment gateway has paid into the venue’s bank account matches what the platform’s ledger records as due. Without automated reconciliation, this is a manual spreadsheet exercise that typically takes a finance team member several hours per day — and is prone to errors that accumulate over time.</w:t>
      </w:r>
    </w:p>
    <w:p>
      <w:pPr>
        <w:spacing w:after="120" w:line="259" w:lineRule="auto"/>
      </w:pPr>
      <w:r>
        <w:rPr>
          <w:b w:val="0"/>
          <w:i w:val="0"/>
        </w:rPr>
        <w:t>TAIS automates this entirely. The reconciliation engine runs daily, ingests the gateway settlement file, and performs the matching automatically. The result is a reconciliation report available to the finance team each morning showing exactly what matched, what did not, and why.</w:t>
      </w:r>
    </w:p>
    <w:p>
      <w:pPr>
        <w:spacing w:after="80"/>
      </w:pPr>
      <w:r>
        <w:rPr>
          <w:i/>
          <w:color w:val="555555"/>
          <w:sz w:val="18"/>
        </w:rPr>
        <w:t>Figure 4.2 — Settlement Reconciliation Workflow: Six-Step Automated Process</w:t>
      </w:r>
    </w:p>
    <w:p>
      <w:pPr>
        <w:spacing w:after="120" w:line="259" w:lineRule="auto"/>
      </w:pPr>
      <w:r>
        <w:rPr>
          <w:b w:val="0"/>
          <w:i w:val="0"/>
        </w:rPr>
        <w:t>The six-step workflow runs as follows. The gateway settlement file arrives (Stripe delivers a daily CSV via API or SFTP). The reconciliation engine ingests and parses the file, extracting individual settlement line items. Each line item is matched against the platform’s internal transaction records using the transaction ID embedded in the gateway reference. Matched items are flagged as reconciled. Unmatched items — which may result from timing differences between transaction date and settlement date, gateway fees that appear as separate line items, pending disputes, or genuine discrepancies — are flagged as exceptions. The exception queue is surfaced in the finance dashboard for human review. Once cleared, the reconciliation report is generated and archived.</w:t>
      </w:r>
    </w:p>
    <w:p>
      <w:pPr>
        <w:spacing w:after="120" w:line="259" w:lineRule="auto"/>
      </w:pPr>
      <w:r>
        <w:rPr>
          <w:b w:val="0"/>
          <w:i w:val="0"/>
        </w:rPr>
        <w:t>Common exception categories and their resolutions are pre-configured — a gateway fee appearing as a settlement deduction, for example, generates an automatic ledger entry for payment processing expense rather than requiring manual intervention. Only genuine discrepancies escalate to the finance team’s attention. The target is a reconciliation process that takes minutes of human review rather than hours.</w:t>
      </w:r>
    </w:p>
    <w:p>
      <w:pPr>
        <w:pStyle w:val="Heading2"/>
        <w:spacing w:before="200" w:after="80"/>
      </w:pPr>
      <w:r>
        <w:rPr>
          <w:b/>
          <w:color w:val="2E75B6"/>
          <w:sz w:val="28"/>
        </w:rPr>
        <w:t>4.9 Gift Cards and Stored Value Wallets</w:t>
      </w:r>
    </w:p>
    <w:p>
      <w:pPr>
        <w:spacing w:after="120" w:line="259" w:lineRule="auto"/>
      </w:pPr>
      <w:r>
        <w:rPr>
          <w:b w:val="0"/>
          <w:i w:val="0"/>
        </w:rPr>
        <w:t>Gift cards and digital wallets share the same underlying financial structure — both represent stored value that the venue holds as a liability until it is redeemed. The accounting treatment is consistent with this reality: every gift card issuance and every wallet top-up creates a liability entry, and every redemption converts that liability to earned revenue.</w:t>
      </w:r>
    </w:p>
    <w:p>
      <w:pPr>
        <w:pStyle w:val="Heading3"/>
        <w:spacing w:before="160" w:after="60"/>
      </w:pPr>
      <w:r>
        <w:rPr>
          <w:b/>
          <w:color w:val="2E75B6"/>
          <w:sz w:val="23"/>
        </w:rPr>
        <w:t>Ledger Treatment</w:t>
      </w:r>
    </w:p>
    <w:p>
      <w:pPr>
        <w:spacing w:after="120" w:line="259" w:lineRule="auto"/>
      </w:pPr>
      <w:r>
        <w:rPr>
          <w:b w:val="0"/>
          <w:i w:val="0"/>
        </w:rPr>
        <w:t>When a guest purchases a AED 200 gift card, the platform records: debit Accounts Receivable (Stripe) AED 200, credit Gift Card Liability AED 200. No revenue is recognised at this point — the venue has received money but has not yet delivered value. When the guest redeems AED 50 of the gift card at the attraction, the platform records: debit Gift Card Liability AED 50, credit Ticket Revenue AED 47.62, credit VAT Payable AED 2.38. Revenue is recognised at the point of use, not the point of purchase.</w:t>
      </w:r>
    </w:p>
    <w:p>
      <w:pPr>
        <w:spacing w:after="120" w:line="259" w:lineRule="auto"/>
      </w:pPr>
      <w:r>
        <w:rPr>
          <w:b w:val="0"/>
          <w:i w:val="0"/>
        </w:rPr>
        <w:t>Expiry policies are configurable per venue. When a gift card balance expires, the remaining liability is released to income according to the venue’s expiry policy — typically moved to a “Forfeited Gift Card Revenue” account. The timing and accounting of expiry is configurable to match the venue’s legal obligations in their operating jurisdiction.</w:t>
      </w:r>
    </w:p>
    <w:p>
      <w:pPr>
        <w:pStyle w:val="Heading3"/>
        <w:spacing w:before="160" w:after="60"/>
      </w:pPr>
      <w:r>
        <w:rPr>
          <w:b/>
          <w:color w:val="2E75B6"/>
          <w:sz w:val="23"/>
        </w:rPr>
        <w:t>Operational Features</w:t>
      </w:r>
    </w:p>
    <w:p>
      <w:pPr>
        <w:pStyle w:val="ListBullet"/>
        <w:spacing w:after="40"/>
      </w:pPr>
      <w:r>
        <w:rPr>
          <w:b w:val="0"/>
          <w:i w:val="0"/>
        </w:rPr>
        <w:t>Physical and digital: gift cards are issued as printable QR codes, physical plastic cards with embedded barcodes, or digital codes delivered via email</w:t>
      </w:r>
    </w:p>
    <w:p>
      <w:pPr>
        <w:pStyle w:val="ListBullet"/>
        <w:spacing w:after="40"/>
      </w:pPr>
      <w:r>
        <w:rPr>
          <w:b w:val="0"/>
          <w:i w:val="0"/>
        </w:rPr>
        <w:t>Multi-venue redemption: wallet balances are valid across all venues within the same tenant — a guest tops up at one venue and redeems at another</w:t>
      </w:r>
    </w:p>
    <w:p>
      <w:pPr>
        <w:pStyle w:val="ListBullet"/>
        <w:spacing w:after="40"/>
      </w:pPr>
      <w:r>
        <w:rPr>
          <w:b w:val="0"/>
          <w:i w:val="0"/>
        </w:rPr>
        <w:t>Partial redemption: any amount up to the available balance, with the remainder retained on the card</w:t>
      </w:r>
    </w:p>
    <w:p>
      <w:pPr>
        <w:pStyle w:val="ListBullet"/>
        <w:spacing w:after="40"/>
      </w:pPr>
      <w:r>
        <w:rPr>
          <w:b w:val="0"/>
          <w:i w:val="0"/>
        </w:rPr>
        <w:t>Balance enquiry: self-service balance check via the guest mobile app, kiosk, or web portal</w:t>
      </w:r>
    </w:p>
    <w:p>
      <w:pPr>
        <w:pStyle w:val="ListBullet"/>
        <w:spacing w:after="40"/>
      </w:pPr>
      <w:r>
        <w:rPr>
          <w:b w:val="0"/>
          <w:i w:val="0"/>
        </w:rPr>
        <w:t>Fraud controls: configurable daily spend limits and velocity checks; suspicious redemption patterns flagged for review</w:t>
      </w:r>
    </w:p>
    <w:p>
      <w:pPr>
        <w:pStyle w:val="ListBullet"/>
        <w:spacing w:after="40"/>
      </w:pPr>
      <w:r>
        <w:rPr>
          <w:b w:val="0"/>
          <w:i w:val="0"/>
        </w:rPr>
        <w:t>Corporate gift cards: bulk issuance for corporate clients with allocation tracking and usage reporting</w:t>
      </w:r>
    </w:p>
    <w:p>
      <w:pPr>
        <w:pStyle w:val="Heading2"/>
        <w:spacing w:before="200" w:after="80"/>
      </w:pPr>
      <w:r>
        <w:rPr>
          <w:b/>
          <w:color w:val="2E75B6"/>
          <w:sz w:val="28"/>
        </w:rPr>
        <w:t>4.10 Subscription and Membership Billing</w:t>
      </w:r>
    </w:p>
    <w:p>
      <w:pPr>
        <w:spacing w:after="120" w:line="259" w:lineRule="auto"/>
      </w:pPr>
      <w:r>
        <w:rPr>
          <w:b w:val="0"/>
          <w:i w:val="0"/>
        </w:rPr>
        <w:t>Annual passes and membership programmes are among the highest-value products a venue sells — and among the most operationally complex to manage. A member who cancels mid-year expects a partial refund calculated to the day. A member who upgrades from a basic to a premium tier mid-cycle expects to pay the prorated difference, not the full premium price. A member whose payment fails expects a grace period and a retry sequence, not immediate suspension. The TAIS billing engine handles all of these scenarios correctly and automatically.</w:t>
      </w:r>
    </w:p>
    <w:p>
      <w:pPr>
        <w:pStyle w:val="Heading3"/>
        <w:spacing w:before="160" w:after="60"/>
      </w:pPr>
      <w:r>
        <w:rPr>
          <w:b/>
          <w:color w:val="2E75B6"/>
          <w:sz w:val="23"/>
        </w:rPr>
        <w:t>Billing Cycles and Auto-Renewal</w:t>
      </w:r>
    </w:p>
    <w:p>
      <w:pPr>
        <w:spacing w:after="120" w:line="259" w:lineRule="auto"/>
      </w:pPr>
      <w:r>
        <w:rPr>
          <w:b w:val="0"/>
          <w:i w:val="0"/>
        </w:rPr>
        <w:t>Membership products are configured with a billing cycle (monthly, quarterly, or annual) and a renewal behaviour (auto-renew with advance notice, or renewal by guest action). For auto-renewing memberships, the billing engine charges the configured payment method on the renewal date and generates the confirmation notification automatically. The payment method on file is charged using the stored payment method token — the guest does not need to re-enter card details.</w:t>
      </w:r>
    </w:p>
    <w:p>
      <w:pPr>
        <w:spacing w:after="120" w:line="259" w:lineRule="auto"/>
      </w:pPr>
      <w:r>
        <w:rPr>
          <w:b w:val="0"/>
          <w:i w:val="0"/>
        </w:rPr>
        <w:t>Failed payment handling follows a configurable retry schedule. The default is: first retry on Day 1 after failure, second retry on Day 3, third retry on Day 7. After the third failure, the membership enters a grace period during which the guest retains access but receives escalating dunning notifications urging them to update their payment details. The grace period duration is configurable per membership tier — a high-value annual pass might have a 14-day grace period, while a monthly subscription might have 5 days. After the grace period, the membership is suspended and access control entitlements are revoked automatically.</w:t>
      </w:r>
    </w:p>
    <w:p>
      <w:pPr>
        <w:pStyle w:val="Heading3"/>
        <w:spacing w:before="160" w:after="60"/>
      </w:pPr>
      <w:r>
        <w:rPr>
          <w:b/>
          <w:color w:val="2E75B6"/>
          <w:sz w:val="23"/>
        </w:rPr>
        <w:t>Proration</w:t>
      </w:r>
    </w:p>
    <w:p>
      <w:pPr>
        <w:spacing w:after="120" w:line="259" w:lineRule="auto"/>
      </w:pPr>
      <w:r>
        <w:rPr>
          <w:b w:val="0"/>
          <w:i w:val="0"/>
        </w:rPr>
        <w:t>Mid-cycle changes — upgrades, downgrades, and cancellations — are handled with day-accurate proration. An upgrade from a standard to a premium membership on Day 15 of a 30-day billing cycle generates a charge for exactly half the price difference between the two tiers for the remainder of the current period, plus the full premium price for subsequent periods. The calculation uses the exact number of days remaining rather than rounding to weeks or billing periods. The ledger entries reflect the precise amounts charged and credited.</w:t>
      </w:r>
    </w:p>
    <w:p>
      <w:pPr>
        <w:spacing w:after="120" w:line="259" w:lineRule="auto"/>
      </w:pPr>
      <w:r>
        <w:rPr>
          <w:b w:val="0"/>
          <w:i w:val="0"/>
        </w:rPr>
        <w:t>Cancellations are processed as either immediate (access revoked at cancellation, prorated refund issued for unused days) or end-of-period (access retained until the end of the current billing cycle, no refund). The cancellation type is configurable per membership tier and is communicated to the guest at the point of cancellation before confirmation.</w:t>
      </w:r>
    </w:p>
    <w:p>
      <w:pPr>
        <w:pStyle w:val="Heading2"/>
        <w:spacing w:before="200" w:after="80"/>
      </w:pPr>
      <w:r>
        <w:rPr>
          <w:b/>
          <w:color w:val="2E75B6"/>
          <w:sz w:val="28"/>
        </w:rPr>
        <w:t>4.11 Fee Management</w:t>
      </w:r>
    </w:p>
    <w:p>
      <w:pPr>
        <w:spacing w:after="120" w:line="259" w:lineRule="auto"/>
      </w:pPr>
      <w:r>
        <w:rPr>
          <w:b w:val="0"/>
          <w:i w:val="0"/>
        </w:rPr>
        <w:t>Service fees, booking fees, convenience fees, and processing fees give venues a mechanism for recovering costs and applying channel-appropriate pricing without inflating the headline ticket price. The fee management system supports all common fee structures and displays them as transparent line items on receipts and invoices — never hidden in the ticket price, consistent with UAE consumer protection requirements.</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Fee Type</w:t>
            </w:r>
          </w:p>
        </w:tc>
        <w:tc>
          <w:tcPr>
            <w:tcW w:type="dxa" w:w="4824"/>
            <w:shd w:val="clear" w:fill="1F3864"/>
          </w:tcPr>
          <w:p>
            <w:pPr>
              <w:spacing w:after="20" w:before="20"/>
            </w:pPr>
            <w:r/>
            <w:r>
              <w:rPr>
                <w:b/>
                <w:i w:val="0"/>
                <w:color w:val="FFFFFF"/>
                <w:sz w:val="19"/>
              </w:rPr>
              <w:t>Description and Behaviour</w:t>
            </w:r>
          </w:p>
        </w:tc>
      </w:tr>
      <w:tr>
        <w:tc>
          <w:tcPr>
            <w:tcW w:type="dxa" w:w="4824"/>
          </w:tcPr>
          <w:p>
            <w:pPr>
              <w:spacing w:after="20" w:before="20"/>
            </w:pPr>
            <w:r/>
            <w:r>
              <w:rPr>
                <w:b w:val="0"/>
                <w:i w:val="0"/>
                <w:sz w:val="19"/>
              </w:rPr>
              <w:t>Booking fee</w:t>
            </w:r>
          </w:p>
        </w:tc>
        <w:tc>
          <w:tcPr>
            <w:tcW w:type="dxa" w:w="4824"/>
          </w:tcPr>
          <w:p>
            <w:pPr>
              <w:spacing w:after="20" w:before="20"/>
            </w:pPr>
            <w:r/>
            <w:r>
              <w:rPr>
                <w:b w:val="0"/>
                <w:i w:val="0"/>
                <w:sz w:val="19"/>
              </w:rPr>
              <w:t>Fixed or percentage applied per booking transaction; shown as a separate line item at checkout</w:t>
            </w:r>
          </w:p>
        </w:tc>
      </w:tr>
      <w:tr>
        <w:tc>
          <w:tcPr>
            <w:tcW w:type="dxa" w:w="4824"/>
            <w:shd w:val="clear" w:fill="EEF3F8"/>
          </w:tcPr>
          <w:p>
            <w:pPr>
              <w:spacing w:after="20" w:before="20"/>
            </w:pPr>
            <w:r/>
            <w:r>
              <w:rPr>
                <w:b w:val="0"/>
                <w:i w:val="0"/>
                <w:sz w:val="19"/>
              </w:rPr>
              <w:t>Service fee</w:t>
            </w:r>
          </w:p>
        </w:tc>
        <w:tc>
          <w:tcPr>
            <w:tcW w:type="dxa" w:w="4824"/>
            <w:shd w:val="clear" w:fill="EEF3F8"/>
          </w:tcPr>
          <w:p>
            <w:pPr>
              <w:spacing w:after="20" w:before="20"/>
            </w:pPr>
            <w:r/>
            <w:r>
              <w:rPr>
                <w:b w:val="0"/>
                <w:i w:val="0"/>
                <w:sz w:val="19"/>
              </w:rPr>
              <w:t>Operational service charge per order; configurable per product category and per channel</w:t>
            </w:r>
          </w:p>
        </w:tc>
      </w:tr>
      <w:tr>
        <w:tc>
          <w:tcPr>
            <w:tcW w:type="dxa" w:w="4824"/>
          </w:tcPr>
          <w:p>
            <w:pPr>
              <w:spacing w:after="20" w:before="20"/>
            </w:pPr>
            <w:r/>
            <w:r>
              <w:rPr>
                <w:b w:val="0"/>
                <w:i w:val="0"/>
                <w:sz w:val="19"/>
              </w:rPr>
              <w:t>Convenience fee</w:t>
            </w:r>
          </w:p>
        </w:tc>
        <w:tc>
          <w:tcPr>
            <w:tcW w:type="dxa" w:w="4824"/>
          </w:tcPr>
          <w:p>
            <w:pPr>
              <w:spacing w:after="20" w:before="20"/>
            </w:pPr>
            <w:r/>
            <w:r>
              <w:rPr>
                <w:b w:val="0"/>
                <w:i w:val="0"/>
                <w:sz w:val="19"/>
              </w:rPr>
              <w:t>Channel-specific charge — e.g., online booking carries a fee not charged at POS counter; configurable per sales channel</w:t>
            </w:r>
          </w:p>
        </w:tc>
      </w:tr>
      <w:tr>
        <w:tc>
          <w:tcPr>
            <w:tcW w:type="dxa" w:w="4824"/>
            <w:shd w:val="clear" w:fill="EEF3F8"/>
          </w:tcPr>
          <w:p>
            <w:pPr>
              <w:spacing w:after="20" w:before="20"/>
            </w:pPr>
            <w:r/>
            <w:r>
              <w:rPr>
                <w:b w:val="0"/>
                <w:i w:val="0"/>
                <w:sz w:val="19"/>
              </w:rPr>
              <w:t>Processing fee</w:t>
            </w:r>
          </w:p>
        </w:tc>
        <w:tc>
          <w:tcPr>
            <w:tcW w:type="dxa" w:w="4824"/>
            <w:shd w:val="clear" w:fill="EEF3F8"/>
          </w:tcPr>
          <w:p>
            <w:pPr>
              <w:spacing w:after="20" w:before="20"/>
            </w:pPr>
            <w:r/>
            <w:r>
              <w:rPr>
                <w:b w:val="0"/>
                <w:i w:val="0"/>
                <w:sz w:val="19"/>
              </w:rPr>
              <w:t>Optional pass-through of payment processing cost; configurable per payment method</w:t>
            </w:r>
          </w:p>
        </w:tc>
      </w:tr>
      <w:tr>
        <w:tc>
          <w:tcPr>
            <w:tcW w:type="dxa" w:w="4824"/>
          </w:tcPr>
          <w:p>
            <w:pPr>
              <w:spacing w:after="20" w:before="20"/>
            </w:pPr>
            <w:r/>
            <w:r>
              <w:rPr>
                <w:b w:val="0"/>
                <w:i w:val="0"/>
                <w:sz w:val="19"/>
              </w:rPr>
              <w:t>Cancellation fee</w:t>
            </w:r>
          </w:p>
        </w:tc>
        <w:tc>
          <w:tcPr>
            <w:tcW w:type="dxa" w:w="4824"/>
          </w:tcPr>
          <w:p>
            <w:pPr>
              <w:spacing w:after="20" w:before="20"/>
            </w:pPr>
            <w:r/>
            <w:r>
              <w:rPr>
                <w:b w:val="0"/>
                <w:i w:val="0"/>
                <w:sz w:val="19"/>
              </w:rPr>
              <w:t>Amount retained on refund per the venue’s cancellation policy; applied at refund processing stage</w:t>
            </w:r>
          </w:p>
        </w:tc>
      </w:tr>
      <w:tr>
        <w:tc>
          <w:tcPr>
            <w:tcW w:type="dxa" w:w="4824"/>
            <w:shd w:val="clear" w:fill="EEF3F8"/>
          </w:tcPr>
          <w:p>
            <w:pPr>
              <w:spacing w:after="20" w:before="20"/>
            </w:pPr>
            <w:r/>
            <w:r>
              <w:rPr>
                <w:b w:val="0"/>
                <w:i w:val="0"/>
                <w:sz w:val="19"/>
              </w:rPr>
              <w:t>Shipping fee</w:t>
            </w:r>
          </w:p>
        </w:tc>
        <w:tc>
          <w:tcPr>
            <w:tcW w:type="dxa" w:w="4824"/>
            <w:shd w:val="clear" w:fill="EEF3F8"/>
          </w:tcPr>
          <w:p>
            <w:pPr>
              <w:spacing w:after="20" w:before="20"/>
            </w:pPr>
            <w:r/>
            <w:r>
              <w:rPr>
                <w:b w:val="0"/>
                <w:i w:val="0"/>
                <w:sz w:val="19"/>
              </w:rPr>
              <w:t>Region-based delivery charge for physical retail e-commerce orders; configurable per region (e.g. a Dubai rate and an Abu Dhabi rate) and shown as a separate line item at checkout</w:t>
            </w:r>
          </w:p>
        </w:tc>
      </w:tr>
    </w:tbl>
    <w:p>
      <w:pPr>
        <w:spacing w:after="40"/>
      </w:pPr>
    </w:p>
    <w:p>
      <w:pPr>
        <w:spacing w:after="120" w:line="259" w:lineRule="auto"/>
      </w:pPr>
      <w:r>
        <w:rPr>
          <w:b w:val="0"/>
          <w:i w:val="0"/>
        </w:rPr>
        <w:t>Fees are configured at the venue level, product category level, and sales channel level independently, meaning the booking fee for an online purchase of a family bundle can differ from the same bundle sold at a POS counter, which can differ from the same bundle sold through the partner B2B portal. Each fee generates its own ledger entries, separate from ticket revenue, enabling accurate revenue categorisation in financial reporting. When a refund is issued, fees can be configured as either refundable or retained — the refund policy is configurable per fee type per venue.</w:t>
      </w:r>
    </w:p>
    <w:p>
      <w:pPr>
        <w:pStyle w:val="Heading2"/>
        <w:spacing w:before="200" w:after="80"/>
      </w:pPr>
      <w:r>
        <w:rPr>
          <w:b/>
          <w:color w:val="2E75B6"/>
          <w:sz w:val="28"/>
        </w:rPr>
        <w:t>4.12 ERP Integration Architecture</w:t>
      </w:r>
    </w:p>
    <w:p>
      <w:pPr>
        <w:spacing w:after="120" w:line="259" w:lineRule="auto"/>
      </w:pPr>
      <w:r>
        <w:rPr>
          <w:b w:val="0"/>
          <w:i w:val="0"/>
        </w:rPr>
        <w:t>The TAIS Finance module is designed to operate as a standalone financial system for venue-level accounting — and to feed that data upstream into an enterprise ERP for group-level financial consolidation. The distinction is important: TAIS does not replace the group’s ERP; it is the source of operational financial data that the ERP consolidates across the group.</w:t>
      </w:r>
    </w:p>
    <w:p>
      <w:pPr>
        <w:spacing w:after="120" w:line="259" w:lineRule="auto"/>
      </w:pPr>
      <w:r>
        <w:rPr>
          <w:b w:val="0"/>
          <w:i w:val="0"/>
        </w:rPr>
        <w:t>Integration to an external ERP is delivered as a contracted red-card clause rather than undifferentiated phase scope (see Chapter 6.7). This timing is deliberate. Phase 1 builds the chart of accounts structure, journal entry format, and ERP sync API that any future integration depends on — the ledger design is built with ERP consumption in mind from day one. No schema changes are required to enable ERP sync when the client triggers it: the financial data model already contains the cost centre structure, account mapping hooks, and journal entry format that ERP adapters will consume. The red-card work is building the specific adapter implementation, not redesigning the financial data model.</w:t>
      </w:r>
    </w:p>
    <w:p>
      <w:pPr>
        <w:pStyle w:val="Heading3"/>
        <w:spacing w:before="160" w:after="60"/>
      </w:pPr>
      <w:r>
        <w:rPr>
          <w:b/>
          <w:color w:val="2E75B6"/>
          <w:sz w:val="23"/>
        </w:rPr>
        <w:t>Integration Pattern</w:t>
      </w:r>
    </w:p>
    <w:p>
      <w:pPr>
        <w:spacing w:after="120" w:line="259" w:lineRule="auto"/>
      </w:pPr>
      <w:r>
        <w:rPr>
          <w:b w:val="0"/>
          <w:i w:val="0"/>
        </w:rPr>
        <w:t>The Finance Service exposes a dedicated ERP Sync API that publishes financial data in configurable batch formats. An integration adapter translates the TAIS ledger entries into the target ERP’s chart of accounts structure, applying the cost centre codes, account mappings, and intercompany allocation rules specified during the ERP integration configuration. The adapter layer isolates the Finance Service from ERP-specific API details — adding support for a new ERP system requires a new adapter, not changes to the Finance Service.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Direction</w:t>
            </w:r>
          </w:p>
        </w:tc>
        <w:tc>
          <w:tcPr>
            <w:tcW w:type="dxa" w:w="3216"/>
            <w:shd w:val="clear" w:fill="1F3864"/>
          </w:tcPr>
          <w:p>
            <w:pPr>
              <w:spacing w:after="20" w:before="20"/>
            </w:pPr>
            <w:r/>
            <w:r>
              <w:rPr>
                <w:b/>
                <w:i w:val="0"/>
                <w:color w:val="FFFFFF"/>
                <w:sz w:val="19"/>
              </w:rPr>
              <w:t>Data Type</w:t>
            </w:r>
          </w:p>
        </w:tc>
        <w:tc>
          <w:tcPr>
            <w:tcW w:type="dxa" w:w="3216"/>
            <w:shd w:val="clear" w:fill="1F3864"/>
          </w:tcPr>
          <w:p>
            <w:pPr>
              <w:spacing w:after="20" w:before="20"/>
            </w:pPr>
            <w:r/>
            <w:r>
              <w:rPr>
                <w:b/>
                <w:i w:val="0"/>
                <w:color w:val="FFFFFF"/>
                <w:sz w:val="19"/>
              </w:rPr>
              <w:t>Detail</w:t>
            </w:r>
          </w:p>
        </w:tc>
      </w:tr>
      <w:tr>
        <w:tc>
          <w:tcPr>
            <w:tcW w:type="dxa" w:w="3216"/>
          </w:tcPr>
          <w:p>
            <w:pPr>
              <w:spacing w:after="20" w:before="20"/>
            </w:pPr>
            <w:r/>
            <w:r>
              <w:rPr>
                <w:b w:val="0"/>
                <w:i w:val="0"/>
                <w:sz w:val="19"/>
              </w:rPr>
              <w:t>TAIS to ERP</w:t>
            </w:r>
          </w:p>
        </w:tc>
        <w:tc>
          <w:tcPr>
            <w:tcW w:type="dxa" w:w="3216"/>
          </w:tcPr>
          <w:p>
            <w:pPr>
              <w:spacing w:after="20" w:before="20"/>
            </w:pPr>
            <w:r/>
            <w:r>
              <w:rPr>
                <w:b w:val="0"/>
                <w:i w:val="0"/>
                <w:sz w:val="19"/>
              </w:rPr>
              <w:t>Daily journal entries</w:t>
            </w:r>
          </w:p>
        </w:tc>
        <w:tc>
          <w:tcPr>
            <w:tcW w:type="dxa" w:w="3216"/>
          </w:tcPr>
          <w:p>
            <w:pPr>
              <w:spacing w:after="20" w:before="20"/>
            </w:pPr>
            <w:r/>
            <w:r>
              <w:rPr>
                <w:b w:val="0"/>
                <w:i w:val="0"/>
                <w:sz w:val="19"/>
              </w:rPr>
              <w:t>Ledger entries in ERP journal format; account mapping applied</w:t>
            </w:r>
          </w:p>
        </w:tc>
      </w:tr>
      <w:tr>
        <w:tc>
          <w:tcPr>
            <w:tcW w:type="dxa" w:w="3216"/>
            <w:shd w:val="clear" w:fill="EEF3F8"/>
          </w:tcPr>
          <w:p>
            <w:pPr>
              <w:spacing w:after="20" w:before="20"/>
            </w:pPr>
            <w:r/>
            <w:r>
              <w:rPr>
                <w:b w:val="0"/>
                <w:i w:val="0"/>
                <w:sz w:val="19"/>
              </w:rPr>
              <w:t>TAIS to ERP</w:t>
            </w:r>
          </w:p>
        </w:tc>
        <w:tc>
          <w:tcPr>
            <w:tcW w:type="dxa" w:w="3216"/>
            <w:shd w:val="clear" w:fill="EEF3F8"/>
          </w:tcPr>
          <w:p>
            <w:pPr>
              <w:spacing w:after="20" w:before="20"/>
            </w:pPr>
            <w:r/>
            <w:r>
              <w:rPr>
                <w:b w:val="0"/>
                <w:i w:val="0"/>
                <w:sz w:val="19"/>
              </w:rPr>
              <w:t>Revenue summaries</w:t>
            </w:r>
          </w:p>
        </w:tc>
        <w:tc>
          <w:tcPr>
            <w:tcW w:type="dxa" w:w="3216"/>
            <w:shd w:val="clear" w:fill="EEF3F8"/>
          </w:tcPr>
          <w:p>
            <w:pPr>
              <w:spacing w:after="20" w:before="20"/>
            </w:pPr>
            <w:r/>
            <w:r>
              <w:rPr>
                <w:b w:val="0"/>
                <w:i w:val="0"/>
                <w:sz w:val="19"/>
              </w:rPr>
              <w:t>Revenue by category, channel, and venue in ERP cost centre structure</w:t>
            </w:r>
          </w:p>
        </w:tc>
      </w:tr>
      <w:tr>
        <w:tc>
          <w:tcPr>
            <w:tcW w:type="dxa" w:w="3216"/>
          </w:tcPr>
          <w:p>
            <w:pPr>
              <w:spacing w:after="20" w:before="20"/>
            </w:pPr>
            <w:r/>
            <w:r>
              <w:rPr>
                <w:b w:val="0"/>
                <w:i w:val="0"/>
                <w:sz w:val="19"/>
              </w:rPr>
              <w:t>TAIS to ERP</w:t>
            </w:r>
          </w:p>
        </w:tc>
        <w:tc>
          <w:tcPr>
            <w:tcW w:type="dxa" w:w="3216"/>
          </w:tcPr>
          <w:p>
            <w:pPr>
              <w:spacing w:after="20" w:before="20"/>
            </w:pPr>
            <w:r/>
            <w:r>
              <w:rPr>
                <w:b w:val="0"/>
                <w:i w:val="0"/>
                <w:sz w:val="19"/>
              </w:rPr>
              <w:t>AR/AP positions</w:t>
            </w:r>
          </w:p>
        </w:tc>
        <w:tc>
          <w:tcPr>
            <w:tcW w:type="dxa" w:w="3216"/>
          </w:tcPr>
          <w:p>
            <w:pPr>
              <w:spacing w:after="20" w:before="20"/>
            </w:pPr>
            <w:r/>
            <w:r>
              <w:rPr>
                <w:b w:val="0"/>
                <w:i w:val="0"/>
                <w:sz w:val="19"/>
              </w:rPr>
              <w:t>Outstanding receivables and payables for consolidation</w:t>
            </w:r>
          </w:p>
        </w:tc>
      </w:tr>
      <w:tr>
        <w:tc>
          <w:tcPr>
            <w:tcW w:type="dxa" w:w="3216"/>
            <w:shd w:val="clear" w:fill="EEF3F8"/>
          </w:tcPr>
          <w:p>
            <w:pPr>
              <w:spacing w:after="20" w:before="20"/>
            </w:pPr>
            <w:r/>
            <w:r>
              <w:rPr>
                <w:b w:val="0"/>
                <w:i w:val="0"/>
                <w:sz w:val="19"/>
              </w:rPr>
              <w:t>TAIS to ERP</w:t>
            </w:r>
          </w:p>
        </w:tc>
        <w:tc>
          <w:tcPr>
            <w:tcW w:type="dxa" w:w="3216"/>
            <w:shd w:val="clear" w:fill="EEF3F8"/>
          </w:tcPr>
          <w:p>
            <w:pPr>
              <w:spacing w:after="20" w:before="20"/>
            </w:pPr>
            <w:r/>
            <w:r>
              <w:rPr>
                <w:b w:val="0"/>
                <w:i w:val="0"/>
                <w:sz w:val="19"/>
              </w:rPr>
              <w:t>VAT summaries</w:t>
            </w:r>
          </w:p>
        </w:tc>
        <w:tc>
          <w:tcPr>
            <w:tcW w:type="dxa" w:w="3216"/>
            <w:shd w:val="clear" w:fill="EEF3F8"/>
          </w:tcPr>
          <w:p>
            <w:pPr>
              <w:spacing w:after="20" w:before="20"/>
            </w:pPr>
            <w:r/>
            <w:r>
              <w:rPr>
                <w:b w:val="0"/>
                <w:i w:val="0"/>
                <w:sz w:val="19"/>
              </w:rPr>
              <w:t>Input and output VAT totals for group tax reporting</w:t>
            </w:r>
          </w:p>
        </w:tc>
      </w:tr>
      <w:tr>
        <w:tc>
          <w:tcPr>
            <w:tcW w:type="dxa" w:w="3216"/>
          </w:tcPr>
          <w:p>
            <w:pPr>
              <w:spacing w:after="20" w:before="20"/>
            </w:pPr>
            <w:r/>
            <w:r>
              <w:rPr>
                <w:b w:val="0"/>
                <w:i w:val="0"/>
                <w:sz w:val="19"/>
              </w:rPr>
              <w:t>ERP to TAIS</w:t>
            </w:r>
          </w:p>
        </w:tc>
        <w:tc>
          <w:tcPr>
            <w:tcW w:type="dxa" w:w="3216"/>
          </w:tcPr>
          <w:p>
            <w:pPr>
              <w:spacing w:after="20" w:before="20"/>
            </w:pPr>
            <w:r/>
            <w:r>
              <w:rPr>
                <w:b w:val="0"/>
                <w:i w:val="0"/>
                <w:sz w:val="19"/>
              </w:rPr>
              <w:t>Chart of accounts updates</w:t>
            </w:r>
          </w:p>
        </w:tc>
        <w:tc>
          <w:tcPr>
            <w:tcW w:type="dxa" w:w="3216"/>
          </w:tcPr>
          <w:p>
            <w:pPr>
              <w:spacing w:after="20" w:before="20"/>
            </w:pPr>
            <w:r/>
            <w:r>
              <w:rPr>
                <w:b w:val="0"/>
                <w:i w:val="0"/>
                <w:sz w:val="19"/>
              </w:rPr>
              <w:t>New accounts or account code changes pushed from ERP</w:t>
            </w:r>
          </w:p>
        </w:tc>
      </w:tr>
      <w:tr>
        <w:tc>
          <w:tcPr>
            <w:tcW w:type="dxa" w:w="3216"/>
            <w:shd w:val="clear" w:fill="EEF3F8"/>
          </w:tcPr>
          <w:p>
            <w:pPr>
              <w:spacing w:after="20" w:before="20"/>
            </w:pPr>
            <w:r/>
            <w:r>
              <w:rPr>
                <w:b w:val="0"/>
                <w:i w:val="0"/>
                <w:sz w:val="19"/>
              </w:rPr>
              <w:t>ERP to TAIS</w:t>
            </w:r>
          </w:p>
        </w:tc>
        <w:tc>
          <w:tcPr>
            <w:tcW w:type="dxa" w:w="3216"/>
            <w:shd w:val="clear" w:fill="EEF3F8"/>
          </w:tcPr>
          <w:p>
            <w:pPr>
              <w:spacing w:after="20" w:before="20"/>
            </w:pPr>
            <w:r/>
            <w:r>
              <w:rPr>
                <w:b w:val="0"/>
                <w:i w:val="0"/>
                <w:sz w:val="19"/>
              </w:rPr>
              <w:t>Cost centre codes</w:t>
            </w:r>
          </w:p>
        </w:tc>
        <w:tc>
          <w:tcPr>
            <w:tcW w:type="dxa" w:w="3216"/>
            <w:shd w:val="clear" w:fill="EEF3F8"/>
          </w:tcPr>
          <w:p>
            <w:pPr>
              <w:spacing w:after="20" w:before="20"/>
            </w:pPr>
            <w:r/>
            <w:r>
              <w:rPr>
                <w:b w:val="0"/>
                <w:i w:val="0"/>
                <w:sz w:val="19"/>
              </w:rPr>
              <w:t>Group cost centre assignments for venue-level expense allocation</w:t>
            </w:r>
          </w:p>
        </w:tc>
      </w:tr>
      <w:tr>
        <w:tc>
          <w:tcPr>
            <w:tcW w:type="dxa" w:w="3216"/>
          </w:tcPr>
          <w:p>
            <w:pPr>
              <w:spacing w:after="20" w:before="20"/>
            </w:pPr>
            <w:r/>
            <w:r>
              <w:rPr>
                <w:b w:val="0"/>
                <w:i w:val="0"/>
                <w:sz w:val="19"/>
              </w:rPr>
              <w:t>ERP to TAIS</w:t>
            </w:r>
          </w:p>
        </w:tc>
        <w:tc>
          <w:tcPr>
            <w:tcW w:type="dxa" w:w="3216"/>
          </w:tcPr>
          <w:p>
            <w:pPr>
              <w:spacing w:after="20" w:before="20"/>
            </w:pPr>
            <w:r/>
            <w:r>
              <w:rPr>
                <w:b w:val="0"/>
                <w:i w:val="0"/>
                <w:sz w:val="19"/>
              </w:rPr>
              <w:t>Intercompany allocations</w:t>
            </w:r>
          </w:p>
        </w:tc>
        <w:tc>
          <w:tcPr>
            <w:tcW w:type="dxa" w:w="3216"/>
          </w:tcPr>
          <w:p>
            <w:pPr>
              <w:spacing w:after="20" w:before="20"/>
            </w:pPr>
            <w:r/>
            <w:r>
              <w:rPr>
                <w:b w:val="0"/>
                <w:i w:val="0"/>
                <w:sz w:val="19"/>
              </w:rPr>
              <w:t>Shared service charges allocated from group to venues</w:t>
            </w:r>
          </w:p>
        </w:tc>
      </w:tr>
    </w:tbl>
    <w:p>
      <w:pPr>
        <w:spacing w:after="40"/>
      </w:pP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ERP System</w:t>
            </w:r>
          </w:p>
        </w:tc>
        <w:tc>
          <w:tcPr>
            <w:tcW w:type="dxa" w:w="4824"/>
            <w:shd w:val="clear" w:fill="1F3864"/>
          </w:tcPr>
          <w:p>
            <w:pPr>
              <w:spacing w:after="20" w:before="20"/>
            </w:pPr>
            <w:r/>
            <w:r>
              <w:rPr>
                <w:b/>
                <w:i w:val="0"/>
                <w:color w:val="FFFFFF"/>
                <w:sz w:val="19"/>
              </w:rPr>
              <w:t>Integration Method</w:t>
            </w:r>
          </w:p>
        </w:tc>
      </w:tr>
      <w:tr>
        <w:tc>
          <w:tcPr>
            <w:tcW w:type="dxa" w:w="4824"/>
          </w:tcPr>
          <w:p>
            <w:pPr>
              <w:spacing w:after="20" w:before="20"/>
            </w:pPr>
            <w:r/>
            <w:r>
              <w:rPr>
                <w:b w:val="0"/>
                <w:i w:val="0"/>
                <w:sz w:val="19"/>
              </w:rPr>
              <w:t>SAP S/4HANA</w:t>
            </w:r>
          </w:p>
        </w:tc>
        <w:tc>
          <w:tcPr>
            <w:tcW w:type="dxa" w:w="4824"/>
          </w:tcPr>
          <w:p>
            <w:pPr>
              <w:spacing w:after="20" w:before="20"/>
            </w:pPr>
            <w:r/>
            <w:r>
              <w:rPr>
                <w:b w:val="0"/>
                <w:i w:val="0"/>
                <w:sz w:val="19"/>
              </w:rPr>
              <w:t>BAPI/RFC for on-premise; REST API for cloud; via SAP Integration Suite or direct</w:t>
            </w:r>
          </w:p>
        </w:tc>
      </w:tr>
      <w:tr>
        <w:tc>
          <w:tcPr>
            <w:tcW w:type="dxa" w:w="4824"/>
            <w:shd w:val="clear" w:fill="EEF3F8"/>
          </w:tcPr>
          <w:p>
            <w:pPr>
              <w:spacing w:after="20" w:before="20"/>
            </w:pPr>
            <w:r/>
            <w:r>
              <w:rPr>
                <w:b w:val="0"/>
                <w:i w:val="0"/>
                <w:sz w:val="19"/>
              </w:rPr>
              <w:t>SAP ECC</w:t>
            </w:r>
          </w:p>
        </w:tc>
        <w:tc>
          <w:tcPr>
            <w:tcW w:type="dxa" w:w="4824"/>
            <w:shd w:val="clear" w:fill="EEF3F8"/>
          </w:tcPr>
          <w:p>
            <w:pPr>
              <w:spacing w:after="20" w:before="20"/>
            </w:pPr>
            <w:r/>
            <w:r>
              <w:rPr>
                <w:b w:val="0"/>
                <w:i w:val="0"/>
                <w:sz w:val="19"/>
              </w:rPr>
              <w:t>BAPI/RFC via SAP NetWeaver; supported for clients on legacy SAP estate</w:t>
            </w:r>
          </w:p>
        </w:tc>
      </w:tr>
      <w:tr>
        <w:tc>
          <w:tcPr>
            <w:tcW w:type="dxa" w:w="4824"/>
          </w:tcPr>
          <w:p>
            <w:pPr>
              <w:spacing w:after="20" w:before="20"/>
            </w:pPr>
            <w:r/>
            <w:r>
              <w:rPr>
                <w:b w:val="0"/>
                <w:i w:val="0"/>
                <w:sz w:val="19"/>
              </w:rPr>
              <w:t>Oracle Financials Cloud</w:t>
            </w:r>
          </w:p>
        </w:tc>
        <w:tc>
          <w:tcPr>
            <w:tcW w:type="dxa" w:w="4824"/>
          </w:tcPr>
          <w:p>
            <w:pPr>
              <w:spacing w:after="20" w:before="20"/>
            </w:pPr>
            <w:r/>
            <w:r>
              <w:rPr>
                <w:b w:val="0"/>
                <w:i w:val="0"/>
                <w:sz w:val="19"/>
              </w:rPr>
              <w:t>Oracle Integration Cloud (OIC) as middleware; REST API to Oracle Cloud ERP</w:t>
            </w:r>
          </w:p>
        </w:tc>
      </w:tr>
      <w:tr>
        <w:tc>
          <w:tcPr>
            <w:tcW w:type="dxa" w:w="4824"/>
            <w:shd w:val="clear" w:fill="EEF3F8"/>
          </w:tcPr>
          <w:p>
            <w:pPr>
              <w:spacing w:after="20" w:before="20"/>
            </w:pPr>
            <w:r/>
            <w:r>
              <w:rPr>
                <w:b w:val="0"/>
                <w:i w:val="0"/>
                <w:sz w:val="19"/>
              </w:rPr>
              <w:t>Microsoft Dynamics 365 Finance</w:t>
            </w:r>
          </w:p>
        </w:tc>
        <w:tc>
          <w:tcPr>
            <w:tcW w:type="dxa" w:w="4824"/>
            <w:shd w:val="clear" w:fill="EEF3F8"/>
          </w:tcPr>
          <w:p>
            <w:pPr>
              <w:spacing w:after="20" w:before="20"/>
            </w:pPr>
            <w:r/>
            <w:r>
              <w:rPr>
                <w:b w:val="0"/>
                <w:i w:val="0"/>
                <w:sz w:val="19"/>
              </w:rPr>
              <w:t>Dataverse API; direct integration without middleware for cloud deployments</w:t>
            </w:r>
          </w:p>
        </w:tc>
      </w:tr>
    </w:tbl>
    <w:p>
      <w:pPr>
        <w:spacing w:after="40"/>
      </w:pPr>
    </w:p>
    <w:p>
      <w:pPr>
        <w:pStyle w:val="Heading2"/>
        <w:spacing w:before="200" w:after="80"/>
      </w:pPr>
      <w:r>
        <w:rPr>
          <w:b/>
          <w:color w:val="2E75B6"/>
          <w:sz w:val="28"/>
        </w:rPr>
        <w:t>4.13 Financial Reporting</w:t>
      </w:r>
    </w:p>
    <w:p>
      <w:pPr>
        <w:spacing w:after="120" w:line="259" w:lineRule="auto"/>
      </w:pPr>
      <w:r>
        <w:rPr>
          <w:b w:val="0"/>
          <w:i w:val="0"/>
        </w:rPr>
        <w:t>The Finance module includes an embedded reporting layer providing authorised users with a library of standard built-in financial and operational reports plus self-service tools for ad-hoc analysis. The platform commits to a baseline of 15 to 20 standard reports — including shift-closing, cashier overage/shortage, settlement reconciliation, and sales and marketing reports — with the exact list confirmed and locked during the Discovery Phase against the client’s operational needs. Beyond the standard library, a drag-and-drop custom report builder lets finance and operations staff compose their own reports without developer involvement, and the AI reporting assistant (Chapter 5) lets authorised users ask for figures in natural language and receive a generated report or answer. All reports are generated from the ledger and operational data directly — there is no separate reporting database that could fall out of sync — so every report is accurate to the moment of generation.</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Report</w:t>
            </w:r>
          </w:p>
        </w:tc>
        <w:tc>
          <w:tcPr>
            <w:tcW w:type="dxa" w:w="4824"/>
            <w:shd w:val="clear" w:fill="1F3864"/>
          </w:tcPr>
          <w:p>
            <w:pPr>
              <w:spacing w:after="20" w:before="20"/>
            </w:pPr>
            <w:r/>
            <w:r>
              <w:rPr>
                <w:b/>
                <w:i w:val="0"/>
                <w:color w:val="FFFFFF"/>
                <w:sz w:val="19"/>
              </w:rPr>
              <w:t>Description</w:t>
            </w:r>
          </w:p>
        </w:tc>
      </w:tr>
      <w:tr>
        <w:tc>
          <w:tcPr>
            <w:tcW w:type="dxa" w:w="4824"/>
          </w:tcPr>
          <w:p>
            <w:pPr>
              <w:spacing w:after="20" w:before="20"/>
            </w:pPr>
            <w:r/>
            <w:r>
              <w:rPr>
                <w:b w:val="0"/>
                <w:i w:val="0"/>
                <w:sz w:val="19"/>
              </w:rPr>
              <w:t>Daily Revenue Summary</w:t>
            </w:r>
          </w:p>
        </w:tc>
        <w:tc>
          <w:tcPr>
            <w:tcW w:type="dxa" w:w="4824"/>
          </w:tcPr>
          <w:p>
            <w:pPr>
              <w:spacing w:after="20" w:before="20"/>
            </w:pPr>
            <w:r/>
            <w:r>
              <w:rPr>
                <w:b w:val="0"/>
                <w:i w:val="0"/>
                <w:sz w:val="19"/>
              </w:rPr>
              <w:t>Revenue by channel (web, mobile, POS, kiosk, partner), product category, and payment method; compared to prior period and budget</w:t>
            </w:r>
          </w:p>
        </w:tc>
      </w:tr>
      <w:tr>
        <w:tc>
          <w:tcPr>
            <w:tcW w:type="dxa" w:w="4824"/>
            <w:shd w:val="clear" w:fill="EEF3F8"/>
          </w:tcPr>
          <w:p>
            <w:pPr>
              <w:spacing w:after="20" w:before="20"/>
            </w:pPr>
            <w:r/>
            <w:r>
              <w:rPr>
                <w:b w:val="0"/>
                <w:i w:val="0"/>
                <w:sz w:val="19"/>
              </w:rPr>
              <w:t>Settlement Reconciliation Report</w:t>
            </w:r>
          </w:p>
        </w:tc>
        <w:tc>
          <w:tcPr>
            <w:tcW w:type="dxa" w:w="4824"/>
            <w:shd w:val="clear" w:fill="EEF3F8"/>
          </w:tcPr>
          <w:p>
            <w:pPr>
              <w:spacing w:after="20" w:before="20"/>
            </w:pPr>
            <w:r/>
            <w:r>
              <w:rPr>
                <w:b w:val="0"/>
                <w:i w:val="0"/>
                <w:sz w:val="19"/>
              </w:rPr>
              <w:t>Matched vs exception transactions per gateway per settlement period; exception details with resolution status</w:t>
            </w:r>
          </w:p>
        </w:tc>
      </w:tr>
      <w:tr>
        <w:tc>
          <w:tcPr>
            <w:tcW w:type="dxa" w:w="4824"/>
          </w:tcPr>
          <w:p>
            <w:pPr>
              <w:spacing w:after="20" w:before="20"/>
            </w:pPr>
            <w:r/>
            <w:r>
              <w:rPr>
                <w:b w:val="0"/>
                <w:i w:val="0"/>
                <w:sz w:val="19"/>
              </w:rPr>
              <w:t>VAT Summary Report</w:t>
            </w:r>
          </w:p>
        </w:tc>
        <w:tc>
          <w:tcPr>
            <w:tcW w:type="dxa" w:w="4824"/>
          </w:tcPr>
          <w:p>
            <w:pPr>
              <w:spacing w:after="20" w:before="20"/>
            </w:pPr>
            <w:r/>
            <w:r>
              <w:rPr>
                <w:b w:val="0"/>
                <w:i w:val="0"/>
                <w:sz w:val="19"/>
              </w:rPr>
              <w:t>Output VAT collected, zero-rated and exempt supply values, net VAT liability; formatted for FTA return submission</w:t>
            </w:r>
          </w:p>
        </w:tc>
      </w:tr>
      <w:tr>
        <w:tc>
          <w:tcPr>
            <w:tcW w:type="dxa" w:w="4824"/>
            <w:shd w:val="clear" w:fill="EEF3F8"/>
          </w:tcPr>
          <w:p>
            <w:pPr>
              <w:spacing w:after="20" w:before="20"/>
            </w:pPr>
            <w:r/>
            <w:r>
              <w:rPr>
                <w:b w:val="0"/>
                <w:i w:val="0"/>
                <w:sz w:val="19"/>
              </w:rPr>
              <w:t>Refund and Chargeback Report</w:t>
            </w:r>
          </w:p>
        </w:tc>
        <w:tc>
          <w:tcPr>
            <w:tcW w:type="dxa" w:w="4824"/>
            <w:shd w:val="clear" w:fill="EEF3F8"/>
          </w:tcPr>
          <w:p>
            <w:pPr>
              <w:spacing w:after="20" w:before="20"/>
            </w:pPr>
            <w:r/>
            <w:r>
              <w:rPr>
                <w:b w:val="0"/>
                <w:i w:val="0"/>
                <w:sz w:val="19"/>
              </w:rPr>
              <w:t>Volume and value by reason code; chargeback rate trend; dispute win/loss ratio; gateway comparison</w:t>
            </w:r>
          </w:p>
        </w:tc>
      </w:tr>
      <w:tr>
        <w:tc>
          <w:tcPr>
            <w:tcW w:type="dxa" w:w="4824"/>
          </w:tcPr>
          <w:p>
            <w:pPr>
              <w:spacing w:after="20" w:before="20"/>
            </w:pPr>
            <w:r/>
            <w:r>
              <w:rPr>
                <w:b w:val="0"/>
                <w:i w:val="0"/>
                <w:sz w:val="19"/>
              </w:rPr>
              <w:t>Deferred Revenue Report</w:t>
            </w:r>
          </w:p>
        </w:tc>
        <w:tc>
          <w:tcPr>
            <w:tcW w:type="dxa" w:w="4824"/>
          </w:tcPr>
          <w:p>
            <w:pPr>
              <w:spacing w:after="20" w:before="20"/>
            </w:pPr>
            <w:r/>
            <w:r>
              <w:rPr>
                <w:b w:val="0"/>
                <w:i w:val="0"/>
                <w:sz w:val="19"/>
              </w:rPr>
              <w:t>Outstanding deferred balances by product type and scheduled visit date; projected recognition schedule</w:t>
            </w:r>
          </w:p>
        </w:tc>
      </w:tr>
      <w:tr>
        <w:tc>
          <w:tcPr>
            <w:tcW w:type="dxa" w:w="4824"/>
            <w:shd w:val="clear" w:fill="EEF3F8"/>
          </w:tcPr>
          <w:p>
            <w:pPr>
              <w:spacing w:after="20" w:before="20"/>
            </w:pPr>
            <w:r/>
            <w:r>
              <w:rPr>
                <w:b w:val="0"/>
                <w:i w:val="0"/>
                <w:sz w:val="19"/>
              </w:rPr>
              <w:t>Membership Billing Report</w:t>
            </w:r>
          </w:p>
        </w:tc>
        <w:tc>
          <w:tcPr>
            <w:tcW w:type="dxa" w:w="4824"/>
            <w:shd w:val="clear" w:fill="EEF3F8"/>
          </w:tcPr>
          <w:p>
            <w:pPr>
              <w:spacing w:after="20" w:before="20"/>
            </w:pPr>
            <w:r/>
            <w:r>
              <w:rPr>
                <w:b w:val="0"/>
                <w:i w:val="0"/>
                <w:sz w:val="19"/>
              </w:rPr>
              <w:t>Active subscriptions by tier; renewal success rate; failed payment count and retry status; churn rate</w:t>
            </w:r>
          </w:p>
        </w:tc>
      </w:tr>
      <w:tr>
        <w:tc>
          <w:tcPr>
            <w:tcW w:type="dxa" w:w="4824"/>
          </w:tcPr>
          <w:p>
            <w:pPr>
              <w:spacing w:after="20" w:before="20"/>
            </w:pPr>
            <w:r/>
            <w:r>
              <w:rPr>
                <w:b w:val="0"/>
                <w:i w:val="0"/>
                <w:sz w:val="19"/>
              </w:rPr>
              <w:t>Custom Report Builder</w:t>
            </w:r>
          </w:p>
        </w:tc>
        <w:tc>
          <w:tcPr>
            <w:tcW w:type="dxa" w:w="4824"/>
          </w:tcPr>
          <w:p>
            <w:pPr>
              <w:spacing w:after="20" w:before="20"/>
            </w:pPr>
            <w:r/>
            <w:r>
              <w:rPr>
                <w:b w:val="0"/>
                <w:i w:val="0"/>
                <w:sz w:val="19"/>
              </w:rPr>
              <w:t>Drag-and-drop interface for ad-hoc financial queries; filter by venue, date range, product, channel, account; exportable as PDF, Excel, CSV; schedulable for email delivery</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Report scheduling and delivery</w:t>
            </w:r>
            <w:r>
              <w:rPr>
                <w:b/>
                <w:i w:val="0"/>
                <w:color w:val="FFFFFF"/>
                <w:sz w:val="19"/>
              </w:rPr>
              <w:t xml:space="preserve"> All standard reports can be scheduled for automatic generation and delivery via email to configured recipients. A venue general manager can receive a daily revenue summary each morning without logging into the platform. A finance director can receive a weekly settlement reconciliation report covering all venues. Scheduled reports are generated from the live ledger at the configured delivery time and delivered via the Notification Service.</w:t>
            </w:r>
          </w:p>
        </w:tc>
      </w:tr>
    </w:tbl>
    <w:p>
      <w:pPr>
        <w:spacing w:after="40"/>
      </w:pPr>
    </w:p>
    <w:p>
      <w:pPr>
        <w:spacing w:after="120" w:line="259" w:lineRule="auto"/>
      </w:pPr>
      <w:r>
        <w:rPr>
          <w:b w:val="0"/>
          <w:i w:val="0"/>
        </w:rPr>
        <w:t>Miracle Star Trading L.L.C. | Confidential | Page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