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C60C8" w14:textId="77777777" w:rsidR="00A45D15" w:rsidRDefault="00000000">
      <w:pPr>
        <w:spacing w:after="60"/>
        <w:jc w:val="center"/>
      </w:pPr>
      <w:r>
        <w:rPr>
          <w:rFonts w:ascii="Calibri" w:eastAsia="Calibri" w:hAnsi="Calibri" w:cs="Calibri"/>
          <w:b/>
          <w:bCs/>
          <w:color w:val="215E99"/>
          <w:sz w:val="44"/>
          <w:szCs w:val="44"/>
        </w:rPr>
        <w:t>Minutes of Meeting</w:t>
      </w:r>
    </w:p>
    <w:p w14:paraId="45E98444" w14:textId="77777777" w:rsidR="00A45D15" w:rsidRDefault="00000000">
      <w:pPr>
        <w:pBdr>
          <w:bottom w:val="single" w:sz="6" w:space="8" w:color="0D6EFD"/>
        </w:pBdr>
        <w:spacing w:after="160"/>
        <w:jc w:val="center"/>
      </w:pPr>
      <w:r>
        <w:rPr>
          <w:rFonts w:ascii="Calibri" w:eastAsia="Calibri" w:hAnsi="Calibri" w:cs="Calibri"/>
          <w:i/>
          <w:iCs/>
          <w:color w:val="0B1324"/>
          <w:sz w:val="24"/>
          <w:szCs w:val="24"/>
        </w:rPr>
        <w:t>Workshop — Customer Service, B2B/Resale &amp; OTAs, Communications, Group Sales, Waivers, Product Governance &amp; Sales Channels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700"/>
        <w:gridCol w:w="3125"/>
        <w:gridCol w:w="1700"/>
        <w:gridCol w:w="2825"/>
      </w:tblGrid>
      <w:tr w:rsidR="00A45D15" w14:paraId="48A6374E" w14:textId="77777777">
        <w:tblPrEx>
          <w:tblCellMar>
            <w:top w:w="0" w:type="dxa"/>
            <w:bottom w:w="0" w:type="dxa"/>
          </w:tblCellMar>
        </w:tblPrEx>
        <w:tc>
          <w:tcPr>
            <w:tcW w:w="1700" w:type="dxa"/>
            <w:shd w:val="clear" w:color="auto" w:fill="E7EEFB"/>
            <w:tcMar>
              <w:top w:w="80" w:type="dxa"/>
              <w:left w:w="120" w:type="dxa"/>
              <w:bottom w:w="80" w:type="dxa"/>
              <w:right w:w="120" w:type="dxa"/>
            </w:tcMar>
            <w:vAlign w:val="center"/>
          </w:tcPr>
          <w:p w14:paraId="2A83F39B" w14:textId="77777777" w:rsidR="00A45D15" w:rsidRDefault="00000000">
            <w:r>
              <w:rPr>
                <w:rFonts w:ascii="Calibri" w:eastAsia="Calibri" w:hAnsi="Calibri" w:cs="Calibri"/>
                <w:b/>
                <w:bCs/>
                <w:color w:val="0B1324"/>
                <w:sz w:val="24"/>
                <w:szCs w:val="24"/>
              </w:rPr>
              <w:t>Date</w:t>
            </w:r>
          </w:p>
        </w:tc>
        <w:tc>
          <w:tcPr>
            <w:tcW w:w="3125" w:type="dxa"/>
            <w:tcMar>
              <w:top w:w="80" w:type="dxa"/>
              <w:left w:w="120" w:type="dxa"/>
              <w:bottom w:w="80" w:type="dxa"/>
              <w:right w:w="120" w:type="dxa"/>
            </w:tcMar>
            <w:vAlign w:val="center"/>
          </w:tcPr>
          <w:p w14:paraId="23253F0D" w14:textId="77777777" w:rsidR="00A45D15" w:rsidRDefault="00000000">
            <w:r>
              <w:rPr>
                <w:rFonts w:ascii="Calibri" w:eastAsia="Calibri" w:hAnsi="Calibri" w:cs="Calibri"/>
                <w:sz w:val="24"/>
                <w:szCs w:val="24"/>
              </w:rPr>
              <w:t>31-August-2026</w:t>
            </w:r>
          </w:p>
        </w:tc>
        <w:tc>
          <w:tcPr>
            <w:tcW w:w="1700" w:type="dxa"/>
            <w:shd w:val="clear" w:color="auto" w:fill="E7EEFB"/>
            <w:tcMar>
              <w:top w:w="80" w:type="dxa"/>
              <w:left w:w="120" w:type="dxa"/>
              <w:bottom w:w="80" w:type="dxa"/>
              <w:right w:w="120" w:type="dxa"/>
            </w:tcMar>
            <w:vAlign w:val="center"/>
          </w:tcPr>
          <w:p w14:paraId="66F0A2F9" w14:textId="77777777" w:rsidR="00A45D15" w:rsidRDefault="00000000">
            <w:r>
              <w:rPr>
                <w:rFonts w:ascii="Calibri" w:eastAsia="Calibri" w:hAnsi="Calibri" w:cs="Calibri"/>
                <w:b/>
                <w:bCs/>
                <w:color w:val="0B1324"/>
                <w:sz w:val="24"/>
                <w:szCs w:val="24"/>
              </w:rPr>
              <w:t>Project</w:t>
            </w:r>
          </w:p>
        </w:tc>
        <w:tc>
          <w:tcPr>
            <w:tcW w:w="2825" w:type="dxa"/>
            <w:tcMar>
              <w:top w:w="80" w:type="dxa"/>
              <w:left w:w="120" w:type="dxa"/>
              <w:bottom w:w="80" w:type="dxa"/>
              <w:right w:w="120" w:type="dxa"/>
            </w:tcMar>
            <w:vAlign w:val="center"/>
          </w:tcPr>
          <w:p w14:paraId="38A90EB6" w14:textId="77777777" w:rsidR="00A45D15" w:rsidRDefault="00000000">
            <w:r>
              <w:rPr>
                <w:rFonts w:ascii="Calibri" w:eastAsia="Calibri" w:hAnsi="Calibri" w:cs="Calibri"/>
                <w:sz w:val="24"/>
                <w:szCs w:val="24"/>
              </w:rPr>
              <w:t>TICVAI</w:t>
            </w:r>
          </w:p>
        </w:tc>
      </w:tr>
      <w:tr w:rsidR="00A45D15" w14:paraId="27928924" w14:textId="77777777">
        <w:tblPrEx>
          <w:tblCellMar>
            <w:top w:w="0" w:type="dxa"/>
            <w:bottom w:w="0" w:type="dxa"/>
          </w:tblCellMar>
        </w:tblPrEx>
        <w:tc>
          <w:tcPr>
            <w:tcW w:w="1700" w:type="dxa"/>
            <w:shd w:val="clear" w:color="auto" w:fill="E7EEFB"/>
            <w:tcMar>
              <w:top w:w="80" w:type="dxa"/>
              <w:left w:w="120" w:type="dxa"/>
              <w:bottom w:w="80" w:type="dxa"/>
              <w:right w:w="120" w:type="dxa"/>
            </w:tcMar>
            <w:vAlign w:val="center"/>
          </w:tcPr>
          <w:p w14:paraId="2BA48759" w14:textId="77777777" w:rsidR="00A45D15" w:rsidRDefault="00000000">
            <w:r>
              <w:rPr>
                <w:rFonts w:ascii="Calibri" w:eastAsia="Calibri" w:hAnsi="Calibri" w:cs="Calibri"/>
                <w:b/>
                <w:bCs/>
                <w:color w:val="0B1324"/>
                <w:sz w:val="24"/>
                <w:szCs w:val="24"/>
              </w:rPr>
              <w:t>Meeting Type</w:t>
            </w:r>
          </w:p>
        </w:tc>
        <w:tc>
          <w:tcPr>
            <w:tcW w:w="3125" w:type="dxa"/>
            <w:tcMar>
              <w:top w:w="80" w:type="dxa"/>
              <w:left w:w="120" w:type="dxa"/>
              <w:bottom w:w="80" w:type="dxa"/>
              <w:right w:w="120" w:type="dxa"/>
            </w:tcMar>
            <w:vAlign w:val="center"/>
          </w:tcPr>
          <w:p w14:paraId="61E93D44" w14:textId="77777777" w:rsidR="00A45D15" w:rsidRDefault="00000000">
            <w:r>
              <w:rPr>
                <w:rFonts w:ascii="Calibri" w:eastAsia="Calibri" w:hAnsi="Calibri" w:cs="Calibri"/>
                <w:sz w:val="24"/>
                <w:szCs w:val="24"/>
              </w:rPr>
              <w:t>Product Workshop — Customer Service, B2B/Resale, Group Sales &amp; Sales Channel Configuration</w:t>
            </w:r>
          </w:p>
        </w:tc>
        <w:tc>
          <w:tcPr>
            <w:tcW w:w="1700" w:type="dxa"/>
            <w:shd w:val="clear" w:color="auto" w:fill="E7EEFB"/>
            <w:tcMar>
              <w:top w:w="80" w:type="dxa"/>
              <w:left w:w="120" w:type="dxa"/>
              <w:bottom w:w="80" w:type="dxa"/>
              <w:right w:w="120" w:type="dxa"/>
            </w:tcMar>
            <w:vAlign w:val="center"/>
          </w:tcPr>
          <w:p w14:paraId="4BE05509" w14:textId="77777777" w:rsidR="00A45D15" w:rsidRDefault="00000000">
            <w:r>
              <w:rPr>
                <w:rFonts w:ascii="Calibri" w:eastAsia="Calibri" w:hAnsi="Calibri" w:cs="Calibri"/>
                <w:b/>
                <w:bCs/>
                <w:color w:val="0B1324"/>
                <w:sz w:val="24"/>
                <w:szCs w:val="24"/>
              </w:rPr>
              <w:t>Prepared by</w:t>
            </w:r>
          </w:p>
        </w:tc>
        <w:tc>
          <w:tcPr>
            <w:tcW w:w="2825" w:type="dxa"/>
            <w:tcMar>
              <w:top w:w="80" w:type="dxa"/>
              <w:left w:w="120" w:type="dxa"/>
              <w:bottom w:w="80" w:type="dxa"/>
              <w:right w:w="120" w:type="dxa"/>
            </w:tcMar>
            <w:vAlign w:val="center"/>
          </w:tcPr>
          <w:p w14:paraId="782B135B" w14:textId="77777777" w:rsidR="00A45D15" w:rsidRDefault="00000000">
            <w:r>
              <w:rPr>
                <w:rFonts w:ascii="Calibri" w:eastAsia="Calibri" w:hAnsi="Calibri" w:cs="Calibri"/>
                <w:sz w:val="24"/>
                <w:szCs w:val="24"/>
              </w:rPr>
              <w:t>Chitrangi Mestry</w:t>
            </w:r>
          </w:p>
        </w:tc>
      </w:tr>
    </w:tbl>
    <w:p w14:paraId="3BA3DFF4" w14:textId="77777777" w:rsidR="00A45D15" w:rsidRDefault="00A45D15">
      <w:pPr>
        <w:spacing w:after="160"/>
      </w:pPr>
    </w:p>
    <w:p w14:paraId="18D35E1F" w14:textId="77777777" w:rsidR="00A45D15" w:rsidRDefault="00000000">
      <w:pPr>
        <w:spacing w:before="180" w:after="100"/>
      </w:pPr>
      <w:r>
        <w:rPr>
          <w:rFonts w:ascii="Calibri" w:eastAsia="Calibri" w:hAnsi="Calibri" w:cs="Calibri"/>
          <w:b/>
          <w:bCs/>
          <w:color w:val="215E99"/>
          <w:sz w:val="32"/>
          <w:szCs w:val="32"/>
        </w:rPr>
        <w:t>Primary Objective</w:t>
      </w:r>
    </w:p>
    <w:p w14:paraId="7FCE93DD" w14:textId="77777777" w:rsidR="00A45D15" w:rsidRDefault="00000000">
      <w:pPr>
        <w:spacing w:after="120"/>
      </w:pPr>
      <w:r>
        <w:rPr>
          <w:rFonts w:ascii="Calibri" w:eastAsia="Calibri" w:hAnsi="Calibri" w:cs="Calibri"/>
          <w:color w:val="000000"/>
          <w:sz w:val="24"/>
          <w:szCs w:val="24"/>
        </w:rPr>
        <w:t xml:space="preserve">To walk through several remaining product modules in one extended session — customer service/contact </w:t>
      </w:r>
      <w:proofErr w:type="spellStart"/>
      <w:r>
        <w:rPr>
          <w:rFonts w:ascii="Calibri" w:eastAsia="Calibri" w:hAnsi="Calibri" w:cs="Calibri"/>
          <w:color w:val="000000"/>
          <w:sz w:val="24"/>
          <w:szCs w:val="24"/>
        </w:rPr>
        <w:t>center</w:t>
      </w:r>
      <w:proofErr w:type="spellEnd"/>
      <w:r>
        <w:rPr>
          <w:rFonts w:ascii="Calibri" w:eastAsia="Calibri" w:hAnsi="Calibri" w:cs="Calibri"/>
          <w:color w:val="000000"/>
          <w:sz w:val="24"/>
          <w:szCs w:val="24"/>
        </w:rPr>
        <w:t>, B2B reseller and OTA management, centralized communications, group and corporate sales, waiver/consent forms, product lifecycle governance, and sales channel/pricing configuration — covering as much ground as possible, with any remaining modules to continue in subsequent daily sessions.</w:t>
      </w:r>
    </w:p>
    <w:p w14:paraId="330B85DD" w14:textId="77777777" w:rsidR="00A45D15" w:rsidRDefault="00000000">
      <w:pPr>
        <w:spacing w:before="180" w:after="100"/>
      </w:pPr>
      <w:r>
        <w:rPr>
          <w:rFonts w:ascii="Calibri" w:eastAsia="Calibri" w:hAnsi="Calibri" w:cs="Calibri"/>
          <w:b/>
          <w:bCs/>
          <w:color w:val="215E99"/>
          <w:sz w:val="32"/>
          <w:szCs w:val="32"/>
        </w:rPr>
        <w:t>Participants</w:t>
      </w:r>
    </w:p>
    <w:p w14:paraId="5C1B3D6F" w14:textId="14D55E92" w:rsidR="00A45D15" w:rsidRDefault="00000000">
      <w:pPr>
        <w:pStyle w:val="ListParagraph"/>
        <w:numPr>
          <w:ilvl w:val="0"/>
          <w:numId w:val="2"/>
        </w:numPr>
        <w:spacing w:after="70"/>
      </w:pPr>
      <w:r>
        <w:rPr>
          <w:rFonts w:ascii="Calibri" w:eastAsia="Calibri" w:hAnsi="Calibri" w:cs="Calibri"/>
          <w:sz w:val="24"/>
          <w:szCs w:val="24"/>
        </w:rPr>
        <w:t xml:space="preserve">TICVAI Team </w:t>
      </w:r>
    </w:p>
    <w:p w14:paraId="1C10B679" w14:textId="19B3767D" w:rsidR="00A45D15" w:rsidRDefault="00000000">
      <w:pPr>
        <w:pStyle w:val="ListParagraph"/>
        <w:numPr>
          <w:ilvl w:val="0"/>
          <w:numId w:val="2"/>
        </w:numPr>
        <w:spacing w:after="70"/>
      </w:pPr>
      <w:r>
        <w:rPr>
          <w:rFonts w:ascii="Calibri" w:eastAsia="Calibri" w:hAnsi="Calibri" w:cs="Calibri"/>
          <w:sz w:val="24"/>
          <w:szCs w:val="24"/>
        </w:rPr>
        <w:t xml:space="preserve">Softlabs Team </w:t>
      </w:r>
    </w:p>
    <w:p w14:paraId="4835100E" w14:textId="77777777" w:rsidR="00A45D15" w:rsidRDefault="00000000">
      <w:pPr>
        <w:spacing w:before="180" w:after="100"/>
      </w:pPr>
      <w:r>
        <w:rPr>
          <w:rFonts w:ascii="Calibri" w:eastAsia="Calibri" w:hAnsi="Calibri" w:cs="Calibri"/>
          <w:b/>
          <w:bCs/>
          <w:color w:val="215E99"/>
          <w:sz w:val="32"/>
          <w:szCs w:val="32"/>
        </w:rPr>
        <w:t>Agenda</w:t>
      </w:r>
    </w:p>
    <w:p w14:paraId="36B5C998" w14:textId="77777777" w:rsidR="00A45D15" w:rsidRDefault="00000000">
      <w:pPr>
        <w:pStyle w:val="ListParagraph"/>
        <w:numPr>
          <w:ilvl w:val="0"/>
          <w:numId w:val="2"/>
        </w:numPr>
        <w:spacing w:after="70"/>
      </w:pPr>
      <w:r>
        <w:rPr>
          <w:rFonts w:ascii="Calibri" w:eastAsia="Calibri" w:hAnsi="Calibri" w:cs="Calibri"/>
          <w:sz w:val="24"/>
          <w:szCs w:val="24"/>
        </w:rPr>
        <w:t xml:space="preserve">Customer service and contact </w:t>
      </w:r>
      <w:proofErr w:type="spellStart"/>
      <w:r>
        <w:rPr>
          <w:rFonts w:ascii="Calibri" w:eastAsia="Calibri" w:hAnsi="Calibri" w:cs="Calibri"/>
          <w:sz w:val="24"/>
          <w:szCs w:val="24"/>
        </w:rPr>
        <w:t>center</w:t>
      </w:r>
      <w:proofErr w:type="spellEnd"/>
      <w:r>
        <w:rPr>
          <w:rFonts w:ascii="Calibri" w:eastAsia="Calibri" w:hAnsi="Calibri" w:cs="Calibri"/>
          <w:sz w:val="24"/>
          <w:szCs w:val="24"/>
        </w:rPr>
        <w:t xml:space="preserve"> — case management</w:t>
      </w:r>
    </w:p>
    <w:p w14:paraId="7703A442" w14:textId="77777777" w:rsidR="00A45D15" w:rsidRDefault="00000000">
      <w:pPr>
        <w:pStyle w:val="ListParagraph"/>
        <w:numPr>
          <w:ilvl w:val="0"/>
          <w:numId w:val="2"/>
        </w:numPr>
        <w:spacing w:after="70"/>
      </w:pPr>
      <w:r>
        <w:rPr>
          <w:rFonts w:ascii="Calibri" w:eastAsia="Calibri" w:hAnsi="Calibri" w:cs="Calibri"/>
          <w:sz w:val="24"/>
          <w:szCs w:val="24"/>
        </w:rPr>
        <w:t xml:space="preserve">Contact </w:t>
      </w:r>
      <w:proofErr w:type="spellStart"/>
      <w:r>
        <w:rPr>
          <w:rFonts w:ascii="Calibri" w:eastAsia="Calibri" w:hAnsi="Calibri" w:cs="Calibri"/>
          <w:sz w:val="24"/>
          <w:szCs w:val="24"/>
        </w:rPr>
        <w:t>center</w:t>
      </w:r>
      <w:proofErr w:type="spellEnd"/>
      <w:r>
        <w:rPr>
          <w:rFonts w:ascii="Calibri" w:eastAsia="Calibri" w:hAnsi="Calibri" w:cs="Calibri"/>
          <w:sz w:val="24"/>
          <w:szCs w:val="24"/>
        </w:rPr>
        <w:t xml:space="preserve"> operations, AI routing and quality management</w:t>
      </w:r>
    </w:p>
    <w:p w14:paraId="61C16239" w14:textId="77777777" w:rsidR="00A45D15" w:rsidRDefault="00000000">
      <w:pPr>
        <w:pStyle w:val="ListParagraph"/>
        <w:numPr>
          <w:ilvl w:val="0"/>
          <w:numId w:val="2"/>
        </w:numPr>
        <w:spacing w:after="70"/>
      </w:pPr>
      <w:r>
        <w:rPr>
          <w:rFonts w:ascii="Calibri" w:eastAsia="Calibri" w:hAnsi="Calibri" w:cs="Calibri"/>
          <w:sz w:val="24"/>
          <w:szCs w:val="24"/>
        </w:rPr>
        <w:t>B2B reseller and OTA partner management</w:t>
      </w:r>
    </w:p>
    <w:p w14:paraId="52E2146D" w14:textId="77777777" w:rsidR="00A45D15" w:rsidRDefault="00000000">
      <w:pPr>
        <w:pStyle w:val="ListParagraph"/>
        <w:numPr>
          <w:ilvl w:val="0"/>
          <w:numId w:val="2"/>
        </w:numPr>
        <w:spacing w:after="70"/>
      </w:pPr>
      <w:r>
        <w:rPr>
          <w:rFonts w:ascii="Calibri" w:eastAsia="Calibri" w:hAnsi="Calibri" w:cs="Calibri"/>
          <w:sz w:val="24"/>
          <w:szCs w:val="24"/>
        </w:rPr>
        <w:t>B2B commercial agreements, credit and payment models</w:t>
      </w:r>
    </w:p>
    <w:p w14:paraId="46366CC5" w14:textId="77777777" w:rsidR="00A45D15" w:rsidRDefault="00000000">
      <w:pPr>
        <w:pStyle w:val="ListParagraph"/>
        <w:numPr>
          <w:ilvl w:val="0"/>
          <w:numId w:val="2"/>
        </w:numPr>
        <w:spacing w:after="70"/>
      </w:pPr>
      <w:r>
        <w:rPr>
          <w:rFonts w:ascii="Calibri" w:eastAsia="Calibri" w:hAnsi="Calibri" w:cs="Calibri"/>
          <w:sz w:val="24"/>
          <w:szCs w:val="24"/>
        </w:rPr>
        <w:t>B2B day-to-day operations and settlement</w:t>
      </w:r>
    </w:p>
    <w:p w14:paraId="30F78CDF" w14:textId="77777777" w:rsidR="00A45D15" w:rsidRDefault="00000000">
      <w:pPr>
        <w:pStyle w:val="ListParagraph"/>
        <w:numPr>
          <w:ilvl w:val="0"/>
          <w:numId w:val="2"/>
        </w:numPr>
        <w:spacing w:after="70"/>
      </w:pPr>
      <w:r>
        <w:rPr>
          <w:rFonts w:ascii="Calibri" w:eastAsia="Calibri" w:hAnsi="Calibri" w:cs="Calibri"/>
          <w:sz w:val="24"/>
          <w:szCs w:val="24"/>
        </w:rPr>
        <w:t>Communications and notifications (centralized module)</w:t>
      </w:r>
    </w:p>
    <w:p w14:paraId="23E40F8B" w14:textId="77777777" w:rsidR="00A45D15" w:rsidRDefault="00000000">
      <w:pPr>
        <w:pStyle w:val="ListParagraph"/>
        <w:numPr>
          <w:ilvl w:val="0"/>
          <w:numId w:val="2"/>
        </w:numPr>
        <w:spacing w:after="70"/>
      </w:pPr>
      <w:r>
        <w:rPr>
          <w:rFonts w:ascii="Calibri" w:eastAsia="Calibri" w:hAnsi="Calibri" w:cs="Calibri"/>
          <w:sz w:val="24"/>
          <w:szCs w:val="24"/>
        </w:rPr>
        <w:t>Group sales and corporate/school bookings</w:t>
      </w:r>
    </w:p>
    <w:p w14:paraId="7F351ABD" w14:textId="77777777" w:rsidR="00A45D15" w:rsidRDefault="00000000">
      <w:pPr>
        <w:pStyle w:val="ListParagraph"/>
        <w:numPr>
          <w:ilvl w:val="0"/>
          <w:numId w:val="2"/>
        </w:numPr>
        <w:spacing w:after="70"/>
      </w:pPr>
      <w:r>
        <w:rPr>
          <w:rFonts w:ascii="Calibri" w:eastAsia="Calibri" w:hAnsi="Calibri" w:cs="Calibri"/>
          <w:sz w:val="24"/>
          <w:szCs w:val="24"/>
        </w:rPr>
        <w:t>Group operations, payment links and check-in</w:t>
      </w:r>
    </w:p>
    <w:p w14:paraId="334FBD4C" w14:textId="77777777" w:rsidR="00A45D15" w:rsidRDefault="00000000">
      <w:pPr>
        <w:pStyle w:val="ListParagraph"/>
        <w:numPr>
          <w:ilvl w:val="0"/>
          <w:numId w:val="2"/>
        </w:numPr>
        <w:spacing w:after="70"/>
      </w:pPr>
      <w:r>
        <w:rPr>
          <w:rFonts w:ascii="Calibri" w:eastAsia="Calibri" w:hAnsi="Calibri" w:cs="Calibri"/>
          <w:sz w:val="24"/>
          <w:szCs w:val="24"/>
        </w:rPr>
        <w:t>Waiver / consent form configuration</w:t>
      </w:r>
    </w:p>
    <w:p w14:paraId="151DD12C" w14:textId="77777777" w:rsidR="00A45D15" w:rsidRDefault="00000000">
      <w:pPr>
        <w:pStyle w:val="ListParagraph"/>
        <w:numPr>
          <w:ilvl w:val="0"/>
          <w:numId w:val="2"/>
        </w:numPr>
        <w:spacing w:after="70"/>
      </w:pPr>
      <w:r>
        <w:rPr>
          <w:rFonts w:ascii="Calibri" w:eastAsia="Calibri" w:hAnsi="Calibri" w:cs="Calibri"/>
          <w:sz w:val="24"/>
          <w:szCs w:val="24"/>
        </w:rPr>
        <w:t xml:space="preserve">Product lifecycle, </w:t>
      </w:r>
      <w:proofErr w:type="spellStart"/>
      <w:r>
        <w:rPr>
          <w:rFonts w:ascii="Calibri" w:eastAsia="Calibri" w:hAnsi="Calibri" w:cs="Calibri"/>
          <w:sz w:val="24"/>
          <w:szCs w:val="24"/>
        </w:rPr>
        <w:t>catalog</w:t>
      </w:r>
      <w:proofErr w:type="spellEnd"/>
      <w:r>
        <w:rPr>
          <w:rFonts w:ascii="Calibri" w:eastAsia="Calibri" w:hAnsi="Calibri" w:cs="Calibri"/>
          <w:sz w:val="24"/>
          <w:szCs w:val="24"/>
        </w:rPr>
        <w:t xml:space="preserve"> and change governance</w:t>
      </w:r>
    </w:p>
    <w:p w14:paraId="33EE402E" w14:textId="77777777" w:rsidR="00A45D15" w:rsidRDefault="00000000">
      <w:pPr>
        <w:pStyle w:val="ListParagraph"/>
        <w:numPr>
          <w:ilvl w:val="0"/>
          <w:numId w:val="2"/>
        </w:numPr>
        <w:spacing w:after="70"/>
      </w:pPr>
      <w:r>
        <w:rPr>
          <w:rFonts w:ascii="Calibri" w:eastAsia="Calibri" w:hAnsi="Calibri" w:cs="Calibri"/>
          <w:sz w:val="24"/>
          <w:szCs w:val="24"/>
        </w:rPr>
        <w:t>Sales channel, pricing and inventory allocation</w:t>
      </w:r>
    </w:p>
    <w:p w14:paraId="5620EB38" w14:textId="77777777" w:rsidR="00A45D15" w:rsidRDefault="00000000">
      <w:pPr>
        <w:pStyle w:val="ListParagraph"/>
        <w:numPr>
          <w:ilvl w:val="0"/>
          <w:numId w:val="2"/>
        </w:numPr>
        <w:spacing w:after="70"/>
      </w:pPr>
      <w:r>
        <w:rPr>
          <w:rFonts w:ascii="Calibri" w:eastAsia="Calibri" w:hAnsi="Calibri" w:cs="Calibri"/>
          <w:sz w:val="24"/>
          <w:szCs w:val="24"/>
        </w:rPr>
        <w:t>Resale marketplace</w:t>
      </w:r>
    </w:p>
    <w:p w14:paraId="47EC9A43" w14:textId="77777777" w:rsidR="00A45D15" w:rsidRDefault="00000000">
      <w:pPr>
        <w:pStyle w:val="ListParagraph"/>
        <w:numPr>
          <w:ilvl w:val="0"/>
          <w:numId w:val="2"/>
        </w:numPr>
        <w:spacing w:after="70"/>
      </w:pPr>
      <w:r>
        <w:rPr>
          <w:rFonts w:ascii="Calibri" w:eastAsia="Calibri" w:hAnsi="Calibri" w:cs="Calibri"/>
          <w:sz w:val="24"/>
          <w:szCs w:val="24"/>
        </w:rPr>
        <w:t>UX reference walkthrough (Little Explorer, Dubai) and payment gateway approach</w:t>
      </w:r>
    </w:p>
    <w:p w14:paraId="5AE6CACA" w14:textId="77777777" w:rsidR="00A45D15" w:rsidRDefault="00000000">
      <w:pPr>
        <w:pStyle w:val="ListParagraph"/>
        <w:numPr>
          <w:ilvl w:val="0"/>
          <w:numId w:val="2"/>
        </w:numPr>
        <w:spacing w:after="70"/>
      </w:pPr>
      <w:r>
        <w:rPr>
          <w:rFonts w:ascii="Calibri" w:eastAsia="Calibri" w:hAnsi="Calibri" w:cs="Calibri"/>
          <w:sz w:val="24"/>
          <w:szCs w:val="24"/>
        </w:rPr>
        <w:t>Planning for upcoming sessions</w:t>
      </w:r>
    </w:p>
    <w:p w14:paraId="62FE880A" w14:textId="77777777" w:rsidR="00A45D15" w:rsidRDefault="00000000">
      <w:pPr>
        <w:spacing w:before="180" w:after="100"/>
      </w:pPr>
      <w:r>
        <w:rPr>
          <w:rFonts w:ascii="Calibri" w:eastAsia="Calibri" w:hAnsi="Calibri" w:cs="Calibri"/>
          <w:b/>
          <w:bCs/>
          <w:color w:val="215E99"/>
          <w:sz w:val="32"/>
          <w:szCs w:val="32"/>
        </w:rPr>
        <w:t>4. Detailed Discussion</w:t>
      </w:r>
    </w:p>
    <w:p w14:paraId="59B5CD9C" w14:textId="77777777" w:rsidR="00A45D15" w:rsidRDefault="00000000">
      <w:pPr>
        <w:spacing w:before="140" w:after="60"/>
      </w:pPr>
      <w:r>
        <w:rPr>
          <w:rFonts w:ascii="Calibri" w:eastAsia="Calibri" w:hAnsi="Calibri" w:cs="Calibri"/>
          <w:b/>
          <w:bCs/>
          <w:color w:val="215E99"/>
          <w:sz w:val="32"/>
          <w:szCs w:val="32"/>
        </w:rPr>
        <w:lastRenderedPageBreak/>
        <w:t xml:space="preserve">4.1 Customer Service &amp; Contact </w:t>
      </w:r>
      <w:proofErr w:type="spellStart"/>
      <w:r>
        <w:rPr>
          <w:rFonts w:ascii="Calibri" w:eastAsia="Calibri" w:hAnsi="Calibri" w:cs="Calibri"/>
          <w:b/>
          <w:bCs/>
          <w:color w:val="215E99"/>
          <w:sz w:val="32"/>
          <w:szCs w:val="32"/>
        </w:rPr>
        <w:t>Center</w:t>
      </w:r>
      <w:proofErr w:type="spellEnd"/>
      <w:r>
        <w:rPr>
          <w:rFonts w:ascii="Calibri" w:eastAsia="Calibri" w:hAnsi="Calibri" w:cs="Calibri"/>
          <w:b/>
          <w:bCs/>
          <w:color w:val="215E99"/>
          <w:sz w:val="32"/>
          <w:szCs w:val="32"/>
        </w:rPr>
        <w:t xml:space="preserve"> (Case Management)</w:t>
      </w:r>
    </w:p>
    <w:p w14:paraId="2E9DBBAE" w14:textId="77777777" w:rsidR="00A45D15" w:rsidRDefault="00000000">
      <w:pPr>
        <w:pStyle w:val="ListParagraph"/>
        <w:numPr>
          <w:ilvl w:val="0"/>
          <w:numId w:val="2"/>
        </w:numPr>
        <w:spacing w:after="70"/>
      </w:pPr>
      <w:r>
        <w:rPr>
          <w:rFonts w:ascii="Calibri" w:eastAsia="Calibri" w:hAnsi="Calibri" w:cs="Calibri"/>
          <w:sz w:val="24"/>
          <w:szCs w:val="24"/>
        </w:rPr>
        <w:t xml:space="preserve">Allam introduced the case management and contact </w:t>
      </w:r>
      <w:proofErr w:type="spellStart"/>
      <w:r>
        <w:rPr>
          <w:rFonts w:ascii="Calibri" w:eastAsia="Calibri" w:hAnsi="Calibri" w:cs="Calibri"/>
          <w:sz w:val="24"/>
          <w:szCs w:val="24"/>
        </w:rPr>
        <w:t>center</w:t>
      </w:r>
      <w:proofErr w:type="spellEnd"/>
      <w:r>
        <w:rPr>
          <w:rFonts w:ascii="Calibri" w:eastAsia="Calibri" w:hAnsi="Calibri" w:cs="Calibri"/>
          <w:sz w:val="24"/>
          <w:szCs w:val="24"/>
        </w:rPr>
        <w:t xml:space="preserve"> module, used by customer-service agents to log and manage customer-reported issues. A dashboard shows total cases logged, due cases, and per-agent case load, each governed by an SLA based on case type.</w:t>
      </w:r>
    </w:p>
    <w:p w14:paraId="7435CC2A" w14:textId="77777777" w:rsidR="00A45D15" w:rsidRDefault="00000000">
      <w:pPr>
        <w:pStyle w:val="ListParagraph"/>
        <w:numPr>
          <w:ilvl w:val="0"/>
          <w:numId w:val="2"/>
        </w:numPr>
        <w:spacing w:after="70"/>
      </w:pPr>
      <w:r>
        <w:rPr>
          <w:rFonts w:ascii="Calibri" w:eastAsia="Calibri" w:hAnsi="Calibri" w:cs="Calibri"/>
          <w:sz w:val="24"/>
          <w:szCs w:val="24"/>
        </w:rPr>
        <w:t>A customer profile screen gives agents a single view of a customer's details, open cases, and case history; a communications &amp; transactions screen shows the full history of prior communications and actions logged against that profile.</w:t>
      </w:r>
    </w:p>
    <w:p w14:paraId="4EE64BD0" w14:textId="77777777" w:rsidR="00A45D15" w:rsidRDefault="00000000">
      <w:pPr>
        <w:pStyle w:val="ListParagraph"/>
        <w:numPr>
          <w:ilvl w:val="0"/>
          <w:numId w:val="2"/>
        </w:numPr>
        <w:spacing w:after="70"/>
      </w:pPr>
      <w:r>
        <w:rPr>
          <w:rFonts w:ascii="Calibri" w:eastAsia="Calibri" w:hAnsi="Calibri" w:cs="Calibri"/>
          <w:sz w:val="24"/>
          <w:szCs w:val="24"/>
        </w:rPr>
        <w:t>Case creation captures the logging channel/source, category and subcategory (e.g., ticket issue → reschedule), and supports screenshot attachments; case investigation &amp; resolution tracks all activity and actions taken against a case.</w:t>
      </w:r>
    </w:p>
    <w:p w14:paraId="73F73B68" w14:textId="77777777" w:rsidR="00A45D15" w:rsidRDefault="00000000">
      <w:pPr>
        <w:pStyle w:val="ListParagraph"/>
        <w:numPr>
          <w:ilvl w:val="0"/>
          <w:numId w:val="2"/>
        </w:numPr>
        <w:spacing w:after="70"/>
      </w:pPr>
      <w:r>
        <w:rPr>
          <w:rFonts w:ascii="Calibri" w:eastAsia="Calibri" w:hAnsi="Calibri" w:cs="Calibri"/>
          <w:sz w:val="24"/>
          <w:szCs w:val="24"/>
        </w:rPr>
        <w:t>Agents can view and act on a customer's bookings/tickets directly from the case screen (e.g., date change, reschedule, resend tickets), and can initiate refunds/compensation, route requests for internal approval, or raise an internal escalation to another department (visible on that department's mobile app).</w:t>
      </w:r>
    </w:p>
    <w:p w14:paraId="6EAF049B" w14:textId="77777777" w:rsidR="00A45D15" w:rsidRDefault="00000000">
      <w:pPr>
        <w:pStyle w:val="ListParagraph"/>
        <w:numPr>
          <w:ilvl w:val="0"/>
          <w:numId w:val="2"/>
        </w:numPr>
        <w:spacing w:after="70"/>
      </w:pPr>
      <w:r>
        <w:rPr>
          <w:rFonts w:ascii="Calibri" w:eastAsia="Calibri" w:hAnsi="Calibri" w:cs="Calibri"/>
          <w:sz w:val="24"/>
          <w:szCs w:val="24"/>
        </w:rPr>
        <w:t>Once resolved, agents log the resolution outcome; an AI customer-service summarizer compiles all actions taken on a case for quick review.</w:t>
      </w:r>
    </w:p>
    <w:p w14:paraId="4B50AA04" w14:textId="77777777" w:rsidR="00A45D15" w:rsidRDefault="00000000">
      <w:pPr>
        <w:spacing w:before="140" w:after="60"/>
      </w:pPr>
      <w:r>
        <w:rPr>
          <w:rFonts w:ascii="Calibri" w:eastAsia="Calibri" w:hAnsi="Calibri" w:cs="Calibri"/>
          <w:b/>
          <w:bCs/>
          <w:color w:val="215E99"/>
          <w:sz w:val="32"/>
          <w:szCs w:val="32"/>
        </w:rPr>
        <w:t xml:space="preserve">4.2 Contact </w:t>
      </w:r>
      <w:proofErr w:type="spellStart"/>
      <w:r>
        <w:rPr>
          <w:rFonts w:ascii="Calibri" w:eastAsia="Calibri" w:hAnsi="Calibri" w:cs="Calibri"/>
          <w:b/>
          <w:bCs/>
          <w:color w:val="215E99"/>
          <w:sz w:val="32"/>
          <w:szCs w:val="32"/>
        </w:rPr>
        <w:t>Center</w:t>
      </w:r>
      <w:proofErr w:type="spellEnd"/>
      <w:r>
        <w:rPr>
          <w:rFonts w:ascii="Calibri" w:eastAsia="Calibri" w:hAnsi="Calibri" w:cs="Calibri"/>
          <w:b/>
          <w:bCs/>
          <w:color w:val="215E99"/>
          <w:sz w:val="32"/>
          <w:szCs w:val="32"/>
        </w:rPr>
        <w:t xml:space="preserve"> Operations, AI Routing &amp; Quality Management</w:t>
      </w:r>
    </w:p>
    <w:p w14:paraId="70973118" w14:textId="77777777" w:rsidR="00A45D15" w:rsidRDefault="00000000">
      <w:pPr>
        <w:pStyle w:val="ListParagraph"/>
        <w:numPr>
          <w:ilvl w:val="0"/>
          <w:numId w:val="2"/>
        </w:numPr>
        <w:spacing w:after="70"/>
      </w:pPr>
      <w:r>
        <w:rPr>
          <w:rFonts w:ascii="Calibri" w:eastAsia="Calibri" w:hAnsi="Calibri" w:cs="Calibri"/>
          <w:sz w:val="24"/>
          <w:szCs w:val="24"/>
        </w:rPr>
        <w:t xml:space="preserve">A supervisor-level dashboard gives an overview of the entire contact </w:t>
      </w:r>
      <w:proofErr w:type="spellStart"/>
      <w:r>
        <w:rPr>
          <w:rFonts w:ascii="Calibri" w:eastAsia="Calibri" w:hAnsi="Calibri" w:cs="Calibri"/>
          <w:sz w:val="24"/>
          <w:szCs w:val="24"/>
        </w:rPr>
        <w:t>center</w:t>
      </w:r>
      <w:proofErr w:type="spellEnd"/>
      <w:r>
        <w:rPr>
          <w:rFonts w:ascii="Calibri" w:eastAsia="Calibri" w:hAnsi="Calibri" w:cs="Calibri"/>
          <w:sz w:val="24"/>
          <w:szCs w:val="24"/>
        </w:rPr>
        <w:t xml:space="preserve"> — case volume by category (general support, refund, ticketing, membership, etc.) and current status.</w:t>
      </w:r>
    </w:p>
    <w:p w14:paraId="73435728" w14:textId="77777777" w:rsidR="00A45D15" w:rsidRDefault="00000000">
      <w:pPr>
        <w:pStyle w:val="ListParagraph"/>
        <w:numPr>
          <w:ilvl w:val="0"/>
          <w:numId w:val="2"/>
        </w:numPr>
        <w:spacing w:after="70"/>
      </w:pPr>
      <w:r>
        <w:rPr>
          <w:rFonts w:ascii="Calibri" w:eastAsia="Calibri" w:hAnsi="Calibri" w:cs="Calibri"/>
          <w:b/>
          <w:bCs/>
          <w:sz w:val="24"/>
          <w:szCs w:val="24"/>
        </w:rPr>
        <w:t xml:space="preserve">Intelligent routing: </w:t>
      </w:r>
      <w:r>
        <w:rPr>
          <w:rFonts w:ascii="Calibri" w:eastAsia="Calibri" w:hAnsi="Calibri" w:cs="Calibri"/>
          <w:sz w:val="24"/>
          <w:szCs w:val="24"/>
        </w:rPr>
        <w:t>cases are automatically routed to the most suitable agent or department based on skill set, language, availability, workload and priority, with an assignment preview that can be manually overridden before confirming.</w:t>
      </w:r>
    </w:p>
    <w:p w14:paraId="79739A08" w14:textId="77777777" w:rsidR="00A45D15" w:rsidRDefault="00000000">
      <w:pPr>
        <w:pStyle w:val="ListParagraph"/>
        <w:numPr>
          <w:ilvl w:val="0"/>
          <w:numId w:val="2"/>
        </w:numPr>
        <w:spacing w:after="70"/>
      </w:pPr>
      <w:r>
        <w:rPr>
          <w:rFonts w:ascii="Calibri" w:eastAsia="Calibri" w:hAnsi="Calibri" w:cs="Calibri"/>
          <w:sz w:val="24"/>
          <w:szCs w:val="24"/>
        </w:rPr>
        <w:t>SLA policies are configurable per case type; agent workload views allow cases to be reassigned to balance load across agents; escalation and case monitoring allow unresolved cases to be escalated further.</w:t>
      </w:r>
    </w:p>
    <w:p w14:paraId="62E91286" w14:textId="77777777" w:rsidR="00A45D15" w:rsidRDefault="00000000">
      <w:pPr>
        <w:pStyle w:val="ListParagraph"/>
        <w:numPr>
          <w:ilvl w:val="0"/>
          <w:numId w:val="2"/>
        </w:numPr>
        <w:spacing w:after="70"/>
      </w:pPr>
      <w:r>
        <w:rPr>
          <w:rFonts w:ascii="Calibri" w:eastAsia="Calibri" w:hAnsi="Calibri" w:cs="Calibri"/>
          <w:sz w:val="24"/>
          <w:szCs w:val="24"/>
        </w:rPr>
        <w:t>Quality management scores agent performance based on resolution time and outcome against the SLA; customer satisfaction survey results and week-over-week case volume trends are also tracked on the dashboard.</w:t>
      </w:r>
    </w:p>
    <w:p w14:paraId="227894FE" w14:textId="77777777" w:rsidR="00A45D15" w:rsidRDefault="00000000">
      <w:pPr>
        <w:spacing w:before="140" w:after="60"/>
      </w:pPr>
      <w:r>
        <w:rPr>
          <w:rFonts w:ascii="Calibri" w:eastAsia="Calibri" w:hAnsi="Calibri" w:cs="Calibri"/>
          <w:b/>
          <w:bCs/>
          <w:color w:val="215E99"/>
          <w:sz w:val="32"/>
          <w:szCs w:val="32"/>
        </w:rPr>
        <w:t>4.3 B2B Reseller &amp; OTA Partner Management</w:t>
      </w:r>
    </w:p>
    <w:p w14:paraId="06F8A6D9" w14:textId="77777777" w:rsidR="00A45D15" w:rsidRDefault="00000000">
      <w:pPr>
        <w:pStyle w:val="ListParagraph"/>
        <w:numPr>
          <w:ilvl w:val="0"/>
          <w:numId w:val="2"/>
        </w:numPr>
        <w:spacing w:after="70"/>
      </w:pPr>
      <w:r>
        <w:rPr>
          <w:rFonts w:ascii="Calibri" w:eastAsia="Calibri" w:hAnsi="Calibri" w:cs="Calibri"/>
          <w:sz w:val="24"/>
          <w:szCs w:val="24"/>
        </w:rPr>
        <w:t>An overview screen shows all B2B partners, their status, pending approvals and documentation state. A partner profile captures company information and a configurable partner category/type, with the underlying fields fully customizable per business need.</w:t>
      </w:r>
    </w:p>
    <w:p w14:paraId="0C258CC1" w14:textId="77777777" w:rsidR="00A45D15" w:rsidRDefault="00000000">
      <w:pPr>
        <w:pStyle w:val="ListParagraph"/>
        <w:numPr>
          <w:ilvl w:val="0"/>
          <w:numId w:val="2"/>
        </w:numPr>
        <w:spacing w:after="70"/>
      </w:pPr>
      <w:r>
        <w:rPr>
          <w:rFonts w:ascii="Calibri" w:eastAsia="Calibri" w:hAnsi="Calibri" w:cs="Calibri"/>
          <w:sz w:val="24"/>
          <w:szCs w:val="24"/>
        </w:rPr>
        <w:t>Partner onboarding &amp; application workflow tracks a partner from initial sign-up (via a registration link/form on the B2B platform) through review and approval, with confirmation emails and back-office visibility into required next steps.</w:t>
      </w:r>
    </w:p>
    <w:p w14:paraId="17958B40" w14:textId="77777777" w:rsidR="00A45D15" w:rsidRDefault="00000000">
      <w:pPr>
        <w:pStyle w:val="ListParagraph"/>
        <w:numPr>
          <w:ilvl w:val="0"/>
          <w:numId w:val="2"/>
        </w:numPr>
        <w:spacing w:after="70"/>
      </w:pPr>
      <w:r>
        <w:rPr>
          <w:rFonts w:ascii="Calibri" w:eastAsia="Calibri" w:hAnsi="Calibri" w:cs="Calibri"/>
          <w:sz w:val="24"/>
          <w:szCs w:val="24"/>
        </w:rPr>
        <w:t>Partner contacts support multiple agents/sub-agents per partner (e.g., a main agent and sub-agents who can each sell on the partner's behalf); territory/market and distribution rights define which regions a partner may sell into; brand/venue association defines which venues and products a partner can sell, supporting multi-venue setups with distinct pricing per venue.</w:t>
      </w:r>
    </w:p>
    <w:p w14:paraId="5F0BE67F" w14:textId="77777777" w:rsidR="00A45D15" w:rsidRDefault="00000000">
      <w:pPr>
        <w:pStyle w:val="ListParagraph"/>
        <w:numPr>
          <w:ilvl w:val="0"/>
          <w:numId w:val="2"/>
        </w:numPr>
        <w:spacing w:after="70"/>
      </w:pPr>
      <w:r>
        <w:rPr>
          <w:rFonts w:ascii="Calibri" w:eastAsia="Calibri" w:hAnsi="Calibri" w:cs="Calibri"/>
          <w:sz w:val="24"/>
          <w:szCs w:val="24"/>
        </w:rPr>
        <w:lastRenderedPageBreak/>
        <w:t>Partner documentation &amp; compliance repository manages required documents (e.g., trade license, VAT certificate) with a review/accept/reject/resubmit workflow; partner access controls define which actions a partner may perform (e.g., refund, reschedule); partner approval status tracks the lifecycle from lead → submitted → active → suspended; a partner 360 view consolidates all of the above.</w:t>
      </w:r>
    </w:p>
    <w:p w14:paraId="66968494" w14:textId="77777777" w:rsidR="00A45D15" w:rsidRDefault="00000000">
      <w:pPr>
        <w:pStyle w:val="ListParagraph"/>
        <w:numPr>
          <w:ilvl w:val="0"/>
          <w:numId w:val="2"/>
        </w:numPr>
        <w:spacing w:after="70"/>
      </w:pPr>
      <w:r>
        <w:rPr>
          <w:rFonts w:ascii="Calibri" w:eastAsia="Calibri" w:hAnsi="Calibri" w:cs="Calibri"/>
          <w:b/>
          <w:bCs/>
          <w:sz w:val="24"/>
          <w:szCs w:val="24"/>
        </w:rPr>
        <w:t xml:space="preserve">Clarified (integration models): </w:t>
      </w:r>
      <w:r>
        <w:rPr>
          <w:rFonts w:ascii="Calibri" w:eastAsia="Calibri" w:hAnsi="Calibri" w:cs="Calibri"/>
          <w:sz w:val="24"/>
          <w:szCs w:val="24"/>
        </w:rPr>
        <w:t xml:space="preserve">Qossai outlined two integration approaches for B2B/OTA partners — (1) the partner uses the TICVAI B2B portal directly (a white-label-style B2B credential, similar to B2C) with no integration complexity; or (2) integration with external OTAs (e.g., Ticketmaster, Platinum List, </w:t>
      </w:r>
      <w:proofErr w:type="spellStart"/>
      <w:r>
        <w:rPr>
          <w:rFonts w:ascii="Calibri" w:eastAsia="Calibri" w:hAnsi="Calibri" w:cs="Calibri"/>
          <w:sz w:val="24"/>
          <w:szCs w:val="24"/>
        </w:rPr>
        <w:t>BookMyShow</w:t>
      </w:r>
      <w:proofErr w:type="spellEnd"/>
      <w:r>
        <w:rPr>
          <w:rFonts w:ascii="Calibri" w:eastAsia="Calibri" w:hAnsi="Calibri" w:cs="Calibri"/>
          <w:sz w:val="24"/>
          <w:szCs w:val="24"/>
        </w:rPr>
        <w:t>) via API, which is the preferred direction, with commission charged per ticket sold through that channel. Some large OTAs may require the venue/TICVAI to integrate into their systems instead of the reverse — the platform needs to support both directions.</w:t>
      </w:r>
    </w:p>
    <w:p w14:paraId="376917EE" w14:textId="77777777" w:rsidR="00A45D15" w:rsidRDefault="00000000">
      <w:pPr>
        <w:pStyle w:val="ListParagraph"/>
        <w:numPr>
          <w:ilvl w:val="0"/>
          <w:numId w:val="2"/>
        </w:numPr>
        <w:spacing w:after="70"/>
      </w:pPr>
      <w:r>
        <w:rPr>
          <w:rFonts w:ascii="Calibri" w:eastAsia="Calibri" w:hAnsi="Calibri" w:cs="Calibri"/>
          <w:b/>
          <w:bCs/>
          <w:sz w:val="24"/>
          <w:szCs w:val="24"/>
        </w:rPr>
        <w:t xml:space="preserve">Clarified: </w:t>
      </w:r>
      <w:r>
        <w:rPr>
          <w:rFonts w:ascii="Calibri" w:eastAsia="Calibri" w:hAnsi="Calibri" w:cs="Calibri"/>
          <w:sz w:val="24"/>
          <w:szCs w:val="24"/>
        </w:rPr>
        <w:t>once an OTA integration exists for one client, activating it for a new client (who separately signs a commercial agreement with that OTA) should only require enabling the existing integration, not rebuilding it.</w:t>
      </w:r>
    </w:p>
    <w:p w14:paraId="55C7CA18" w14:textId="77777777" w:rsidR="00A45D15" w:rsidRDefault="00000000">
      <w:pPr>
        <w:pStyle w:val="ListParagraph"/>
        <w:numPr>
          <w:ilvl w:val="0"/>
          <w:numId w:val="2"/>
        </w:numPr>
        <w:spacing w:after="70"/>
      </w:pPr>
      <w:r>
        <w:rPr>
          <w:rFonts w:ascii="Calibri" w:eastAsia="Calibri" w:hAnsi="Calibri" w:cs="Calibri"/>
          <w:b/>
          <w:bCs/>
          <w:sz w:val="24"/>
          <w:szCs w:val="24"/>
        </w:rPr>
        <w:t xml:space="preserve">Additional option confirmed: </w:t>
      </w:r>
      <w:r>
        <w:rPr>
          <w:rFonts w:ascii="Calibri" w:eastAsia="Calibri" w:hAnsi="Calibri" w:cs="Calibri"/>
          <w:sz w:val="24"/>
          <w:szCs w:val="24"/>
        </w:rPr>
        <w:t>for partners who do not want to integrate via API, TICVAI can issue a bulk batch of pre-generated tickets (with QR codes, at agreed rates, valid for a defined period) as a CSV export for the partner to import into their own platform and resell independently, without live API consumption.</w:t>
      </w:r>
    </w:p>
    <w:p w14:paraId="6CA0E33E" w14:textId="77777777" w:rsidR="00A45D15" w:rsidRDefault="00000000">
      <w:pPr>
        <w:spacing w:before="140" w:after="60"/>
      </w:pPr>
      <w:r>
        <w:rPr>
          <w:rFonts w:ascii="Calibri" w:eastAsia="Calibri" w:hAnsi="Calibri" w:cs="Calibri"/>
          <w:b/>
          <w:bCs/>
          <w:color w:val="215E99"/>
          <w:sz w:val="32"/>
          <w:szCs w:val="32"/>
        </w:rPr>
        <w:t>4.4 B2B Commercial Agreements, Credit &amp; Payment Models</w:t>
      </w:r>
    </w:p>
    <w:p w14:paraId="733AAA45" w14:textId="77777777" w:rsidR="00A45D15" w:rsidRDefault="00000000">
      <w:pPr>
        <w:pStyle w:val="ListParagraph"/>
        <w:numPr>
          <w:ilvl w:val="0"/>
          <w:numId w:val="2"/>
        </w:numPr>
        <w:spacing w:after="70"/>
      </w:pPr>
      <w:r>
        <w:rPr>
          <w:rFonts w:ascii="Calibri" w:eastAsia="Calibri" w:hAnsi="Calibri" w:cs="Calibri"/>
          <w:sz w:val="24"/>
          <w:szCs w:val="24"/>
        </w:rPr>
        <w:t>An agreements overview shows all active and pending B2B agreements; each agreement captures term/value, and partner-specific pricing — discounts can be configured by quantity, amount, percentage, or tiered volume bands (e.g., 10% up to 1,000 tickets, 15% from 1,000–5,000).</w:t>
      </w:r>
    </w:p>
    <w:p w14:paraId="2CA316DF" w14:textId="77777777" w:rsidR="00A45D15" w:rsidRDefault="00000000">
      <w:pPr>
        <w:pStyle w:val="ListParagraph"/>
        <w:numPr>
          <w:ilvl w:val="0"/>
          <w:numId w:val="2"/>
        </w:numPr>
        <w:spacing w:after="70"/>
      </w:pPr>
      <w:r>
        <w:rPr>
          <w:rFonts w:ascii="Calibri" w:eastAsia="Calibri" w:hAnsi="Calibri" w:cs="Calibri"/>
          <w:sz w:val="24"/>
          <w:szCs w:val="24"/>
        </w:rPr>
        <w:t>Commission/margin configuration defines the commission rate a partner earns per ticket sold.</w:t>
      </w:r>
    </w:p>
    <w:p w14:paraId="07B141F5" w14:textId="77777777" w:rsidR="00A45D15" w:rsidRDefault="00000000">
      <w:pPr>
        <w:pStyle w:val="ListParagraph"/>
        <w:numPr>
          <w:ilvl w:val="0"/>
          <w:numId w:val="2"/>
        </w:numPr>
        <w:spacing w:after="70"/>
      </w:pPr>
      <w:r>
        <w:rPr>
          <w:rFonts w:ascii="Calibri" w:eastAsia="Calibri" w:hAnsi="Calibri" w:cs="Calibri"/>
          <w:b/>
          <w:bCs/>
          <w:sz w:val="24"/>
          <w:szCs w:val="24"/>
        </w:rPr>
        <w:t xml:space="preserve">Three payment models confirmed: </w:t>
      </w:r>
      <w:r>
        <w:rPr>
          <w:rFonts w:ascii="Calibri" w:eastAsia="Calibri" w:hAnsi="Calibri" w:cs="Calibri"/>
          <w:sz w:val="24"/>
          <w:szCs w:val="24"/>
        </w:rPr>
        <w:t>(1) credit limit — a partner sells up to an approved credit ceiling, invoiced periodically (monthly) and settled by cheque or bank transfer; (2) prepayment/advance — a partner pre-funds a wallet-style balance (via bank transfer or online top-up) and draws it down per sale, topping up as needed; and (3) pay-per-transaction by card.</w:t>
      </w:r>
    </w:p>
    <w:p w14:paraId="363BF86C" w14:textId="77777777" w:rsidR="00A45D15" w:rsidRDefault="00000000">
      <w:pPr>
        <w:pStyle w:val="ListParagraph"/>
        <w:numPr>
          <w:ilvl w:val="0"/>
          <w:numId w:val="2"/>
        </w:numPr>
        <w:spacing w:after="70"/>
      </w:pPr>
      <w:r>
        <w:rPr>
          <w:rFonts w:ascii="Calibri" w:eastAsia="Calibri" w:hAnsi="Calibri" w:cs="Calibri"/>
          <w:sz w:val="24"/>
          <w:szCs w:val="24"/>
        </w:rPr>
        <w:t>Commercial/inventory allocation allows a defined quantity of inventory to be reserved specifically for a partner; booking limits cap the maximum tickets per transaction or transactions per day, configurable per partner or overall.</w:t>
      </w:r>
    </w:p>
    <w:p w14:paraId="35B6055A" w14:textId="77777777" w:rsidR="00A45D15" w:rsidRDefault="00000000">
      <w:pPr>
        <w:pStyle w:val="ListParagraph"/>
        <w:numPr>
          <w:ilvl w:val="0"/>
          <w:numId w:val="2"/>
        </w:numPr>
        <w:spacing w:after="70"/>
      </w:pPr>
      <w:r>
        <w:rPr>
          <w:rFonts w:ascii="Calibri" w:eastAsia="Calibri" w:hAnsi="Calibri" w:cs="Calibri"/>
          <w:sz w:val="24"/>
          <w:szCs w:val="24"/>
        </w:rPr>
        <w:t>A consolidated partner overview screen shows profile, agreement, and payment information together in one view.</w:t>
      </w:r>
    </w:p>
    <w:p w14:paraId="22F8176D" w14:textId="77777777" w:rsidR="00A45D15" w:rsidRDefault="00000000">
      <w:pPr>
        <w:spacing w:before="140" w:after="60"/>
      </w:pPr>
      <w:r>
        <w:rPr>
          <w:rFonts w:ascii="Calibri" w:eastAsia="Calibri" w:hAnsi="Calibri" w:cs="Calibri"/>
          <w:b/>
          <w:bCs/>
          <w:color w:val="215E99"/>
          <w:sz w:val="32"/>
          <w:szCs w:val="32"/>
        </w:rPr>
        <w:t>4.5 B2B Day-to-Day Operations &amp; Settlement</w:t>
      </w:r>
    </w:p>
    <w:p w14:paraId="22A78040" w14:textId="77777777" w:rsidR="00A45D15" w:rsidRDefault="00000000">
      <w:pPr>
        <w:pStyle w:val="ListParagraph"/>
        <w:numPr>
          <w:ilvl w:val="0"/>
          <w:numId w:val="2"/>
        </w:numPr>
        <w:spacing w:after="70"/>
      </w:pPr>
      <w:r>
        <w:rPr>
          <w:rFonts w:ascii="Calibri" w:eastAsia="Calibri" w:hAnsi="Calibri" w:cs="Calibri"/>
          <w:sz w:val="24"/>
          <w:szCs w:val="24"/>
        </w:rPr>
        <w:t>An operations dashboard shows each partner's order volume, revenue, reservations, and any tickets on hold (booked but not yet issued).</w:t>
      </w:r>
    </w:p>
    <w:p w14:paraId="0EEFCDF3" w14:textId="77777777" w:rsidR="00A45D15" w:rsidRDefault="00000000">
      <w:pPr>
        <w:pStyle w:val="ListParagraph"/>
        <w:numPr>
          <w:ilvl w:val="0"/>
          <w:numId w:val="2"/>
        </w:numPr>
        <w:spacing w:after="70"/>
      </w:pPr>
      <w:r>
        <w:rPr>
          <w:rFonts w:ascii="Calibri" w:eastAsia="Calibri" w:hAnsi="Calibri" w:cs="Calibri"/>
          <w:sz w:val="24"/>
          <w:szCs w:val="24"/>
        </w:rPr>
        <w:t xml:space="preserve">Partner cancellations and refund requests, partner statement of account (opening/closing balance, transaction activity), and reconciliation/exception management (for manual </w:t>
      </w:r>
      <w:r>
        <w:rPr>
          <w:rFonts w:ascii="Calibri" w:eastAsia="Calibri" w:hAnsi="Calibri" w:cs="Calibri"/>
          <w:sz w:val="24"/>
          <w:szCs w:val="24"/>
        </w:rPr>
        <w:lastRenderedPageBreak/>
        <w:t>postings or unsettled bank transfers) are all tracked from this view, along with dispute handling.</w:t>
      </w:r>
    </w:p>
    <w:p w14:paraId="20BCADAF" w14:textId="77777777" w:rsidR="00A45D15" w:rsidRDefault="00000000">
      <w:pPr>
        <w:pStyle w:val="ListParagraph"/>
        <w:numPr>
          <w:ilvl w:val="0"/>
          <w:numId w:val="2"/>
        </w:numPr>
        <w:spacing w:after="70"/>
      </w:pPr>
      <w:r>
        <w:rPr>
          <w:rFonts w:ascii="Calibri" w:eastAsia="Calibri" w:hAnsi="Calibri" w:cs="Calibri"/>
          <w:sz w:val="24"/>
          <w:szCs w:val="24"/>
        </w:rPr>
        <w:t>An AI-driven partner performance view surfaces trends, risks and opportunities across the partner base to support account management decisions.</w:t>
      </w:r>
    </w:p>
    <w:p w14:paraId="015FD437" w14:textId="77777777" w:rsidR="00A45D15" w:rsidRDefault="00000000">
      <w:pPr>
        <w:spacing w:before="140" w:after="60"/>
      </w:pPr>
      <w:r>
        <w:rPr>
          <w:rFonts w:ascii="Calibri" w:eastAsia="Calibri" w:hAnsi="Calibri" w:cs="Calibri"/>
          <w:b/>
          <w:bCs/>
          <w:color w:val="215E99"/>
          <w:sz w:val="32"/>
          <w:szCs w:val="32"/>
        </w:rPr>
        <w:t>4.6 Communications &amp; Notifications</w:t>
      </w:r>
    </w:p>
    <w:p w14:paraId="545CF9F3" w14:textId="77777777" w:rsidR="00A45D15" w:rsidRDefault="00000000">
      <w:pPr>
        <w:pStyle w:val="ListParagraph"/>
        <w:numPr>
          <w:ilvl w:val="0"/>
          <w:numId w:val="2"/>
        </w:numPr>
        <w:spacing w:after="70"/>
      </w:pPr>
      <w:r>
        <w:rPr>
          <w:rFonts w:ascii="Calibri" w:eastAsia="Calibri" w:hAnsi="Calibri" w:cs="Calibri"/>
          <w:b/>
          <w:bCs/>
          <w:sz w:val="24"/>
          <w:szCs w:val="24"/>
        </w:rPr>
        <w:t xml:space="preserve">Confirmed (Qossai): </w:t>
      </w:r>
      <w:r>
        <w:rPr>
          <w:rFonts w:ascii="Calibri" w:eastAsia="Calibri" w:hAnsi="Calibri" w:cs="Calibri"/>
          <w:sz w:val="24"/>
          <w:szCs w:val="24"/>
        </w:rPr>
        <w:t>communications and notifications will be built as a single centralized module that all other modules plug into, rather than each module building its own notification logic independently.</w:t>
      </w:r>
    </w:p>
    <w:p w14:paraId="0DEDD36C" w14:textId="77777777" w:rsidR="00A45D15" w:rsidRDefault="00000000">
      <w:pPr>
        <w:pStyle w:val="ListParagraph"/>
        <w:numPr>
          <w:ilvl w:val="0"/>
          <w:numId w:val="2"/>
        </w:numPr>
        <w:spacing w:after="70"/>
      </w:pPr>
      <w:r>
        <w:rPr>
          <w:rFonts w:ascii="Calibri" w:eastAsia="Calibri" w:hAnsi="Calibri" w:cs="Calibri"/>
          <w:sz w:val="24"/>
          <w:szCs w:val="24"/>
        </w:rPr>
        <w:t>A dashboard shows communication activity across channels (email, WhatsApp, SMS) — delivered, pending, failed. Channel &amp; provider configuration covers SMTP setup for email, SMS gateway configuration, and WhatsApp provider configuration; sender identity/domain configuration governs the from-address and reply-to address per brand (e.g., no-reply@venue.com, customerservice@venue.com).</w:t>
      </w:r>
    </w:p>
    <w:p w14:paraId="77D483A3" w14:textId="77777777" w:rsidR="00A45D15" w:rsidRDefault="00000000">
      <w:pPr>
        <w:pStyle w:val="ListParagraph"/>
        <w:numPr>
          <w:ilvl w:val="0"/>
          <w:numId w:val="2"/>
        </w:numPr>
        <w:spacing w:after="70"/>
      </w:pPr>
      <w:r>
        <w:rPr>
          <w:rFonts w:ascii="Calibri" w:eastAsia="Calibri" w:hAnsi="Calibri" w:cs="Calibri"/>
          <w:sz w:val="24"/>
          <w:szCs w:val="24"/>
        </w:rPr>
        <w:t>Templates are fully configurable per channel (email, SMS, WhatsApp) — header, logo, footer, and content — for consistent branded communications.</w:t>
      </w:r>
    </w:p>
    <w:p w14:paraId="2ECB0744" w14:textId="77777777" w:rsidR="00A45D15" w:rsidRDefault="00000000">
      <w:pPr>
        <w:pStyle w:val="ListParagraph"/>
        <w:numPr>
          <w:ilvl w:val="0"/>
          <w:numId w:val="2"/>
        </w:numPr>
        <w:spacing w:after="70"/>
      </w:pPr>
      <w:r>
        <w:rPr>
          <w:rFonts w:ascii="Calibri" w:eastAsia="Calibri" w:hAnsi="Calibri" w:cs="Calibri"/>
          <w:b/>
          <w:bCs/>
          <w:sz w:val="24"/>
          <w:szCs w:val="24"/>
        </w:rPr>
        <w:t xml:space="preserve">Business event &amp; notification triggering: </w:t>
      </w:r>
      <w:r>
        <w:rPr>
          <w:rFonts w:ascii="Calibri" w:eastAsia="Calibri" w:hAnsi="Calibri" w:cs="Calibri"/>
          <w:sz w:val="24"/>
          <w:szCs w:val="24"/>
        </w:rPr>
        <w:t>trigger conditions can be based on precise event states rather than the transaction alone — e.g., a post-visit survey should be triggered only when a ticket was actually scanned/used (attended), not simply purchased, whereas a “how was your experience” follow-up can instead be triggered off the sale itself. Routing/fallback rules define an alternate channel if a message fails to deliver.</w:t>
      </w:r>
    </w:p>
    <w:p w14:paraId="3DE289B4" w14:textId="77777777" w:rsidR="00A45D15" w:rsidRDefault="00000000">
      <w:pPr>
        <w:pStyle w:val="ListParagraph"/>
        <w:numPr>
          <w:ilvl w:val="0"/>
          <w:numId w:val="2"/>
        </w:numPr>
        <w:spacing w:after="70"/>
      </w:pPr>
      <w:r>
        <w:rPr>
          <w:rFonts w:ascii="Calibri" w:eastAsia="Calibri" w:hAnsi="Calibri" w:cs="Calibri"/>
          <w:sz w:val="24"/>
          <w:szCs w:val="24"/>
        </w:rPr>
        <w:t>Consent &amp; communication preference tracking records marketing/newsletter opt-in status per customer; the delivery queue tracks failed sends and supports automatic retry until successful delivery.</w:t>
      </w:r>
    </w:p>
    <w:p w14:paraId="36C99B9A" w14:textId="77777777" w:rsidR="00A45D15" w:rsidRDefault="00000000">
      <w:pPr>
        <w:pStyle w:val="ListParagraph"/>
        <w:numPr>
          <w:ilvl w:val="0"/>
          <w:numId w:val="2"/>
        </w:numPr>
        <w:spacing w:after="70"/>
      </w:pPr>
      <w:r>
        <w:rPr>
          <w:rFonts w:ascii="Calibri" w:eastAsia="Calibri" w:hAnsi="Calibri" w:cs="Calibri"/>
          <w:b/>
          <w:bCs/>
          <w:sz w:val="24"/>
          <w:szCs w:val="24"/>
        </w:rPr>
        <w:t xml:space="preserve">Noted (Chinmay): </w:t>
      </w:r>
      <w:r>
        <w:rPr>
          <w:rFonts w:ascii="Calibri" w:eastAsia="Calibri" w:hAnsi="Calibri" w:cs="Calibri"/>
          <w:sz w:val="24"/>
          <w:szCs w:val="24"/>
        </w:rPr>
        <w:t>this reporting could be extended with an AI-generated monthly marketing report, similar to the AI reporting capability discussed for other modules.</w:t>
      </w:r>
    </w:p>
    <w:p w14:paraId="6F633B48" w14:textId="77777777" w:rsidR="00A45D15" w:rsidRDefault="00000000">
      <w:pPr>
        <w:spacing w:before="140" w:after="60"/>
      </w:pPr>
      <w:r>
        <w:rPr>
          <w:rFonts w:ascii="Calibri" w:eastAsia="Calibri" w:hAnsi="Calibri" w:cs="Calibri"/>
          <w:b/>
          <w:bCs/>
          <w:color w:val="215E99"/>
          <w:sz w:val="32"/>
          <w:szCs w:val="32"/>
        </w:rPr>
        <w:t>4.7 Group Sales &amp; Corporate/School Bookings</w:t>
      </w:r>
    </w:p>
    <w:p w14:paraId="4CE63F47" w14:textId="77777777" w:rsidR="00A45D15" w:rsidRDefault="00000000">
      <w:pPr>
        <w:pStyle w:val="ListParagraph"/>
        <w:numPr>
          <w:ilvl w:val="0"/>
          <w:numId w:val="2"/>
        </w:numPr>
        <w:spacing w:after="70"/>
      </w:pPr>
      <w:r>
        <w:rPr>
          <w:rFonts w:ascii="Calibri" w:eastAsia="Calibri" w:hAnsi="Calibri" w:cs="Calibri"/>
          <w:sz w:val="24"/>
          <w:szCs w:val="24"/>
        </w:rPr>
        <w:t>A sales-team dashboard shows group inquiries, opportunities and confirmed bookings, and flags items needing attention. Customer categorization supports individual (B2C/walk-in), group, and school (with subcategories, e.g., by curriculum/nationality) customer types, fully configurable to add further categories as needed.</w:t>
      </w:r>
    </w:p>
    <w:p w14:paraId="38166607" w14:textId="77777777" w:rsidR="00A45D15" w:rsidRDefault="00000000">
      <w:pPr>
        <w:pStyle w:val="ListParagraph"/>
        <w:numPr>
          <w:ilvl w:val="0"/>
          <w:numId w:val="2"/>
        </w:numPr>
        <w:spacing w:after="70"/>
      </w:pPr>
      <w:r>
        <w:rPr>
          <w:rFonts w:ascii="Calibri" w:eastAsia="Calibri" w:hAnsi="Calibri" w:cs="Calibri"/>
          <w:sz w:val="24"/>
          <w:szCs w:val="24"/>
        </w:rPr>
        <w:t>The group/experience package builder lets the sales team assemble a package (admission, meals, workshops, etc.) against real-time inventory/resource availability and generate a quotation; revised quotations are tracked as successive versions if the customer negotiates, with configurable approval workflow for additional discounts.</w:t>
      </w:r>
    </w:p>
    <w:p w14:paraId="4E54EF36" w14:textId="77777777" w:rsidR="00A45D15" w:rsidRDefault="00000000">
      <w:pPr>
        <w:pStyle w:val="ListParagraph"/>
        <w:numPr>
          <w:ilvl w:val="0"/>
          <w:numId w:val="2"/>
        </w:numPr>
        <w:spacing w:after="70"/>
      </w:pPr>
      <w:r>
        <w:rPr>
          <w:rFonts w:ascii="Calibri" w:eastAsia="Calibri" w:hAnsi="Calibri" w:cs="Calibri"/>
          <w:sz w:val="24"/>
          <w:szCs w:val="24"/>
        </w:rPr>
        <w:t>Once agreed, a quotation converts to a confirmed booking in the system — the same flow applies uniformly across groups, schools, and corporate customers.</w:t>
      </w:r>
    </w:p>
    <w:p w14:paraId="2B69CE33" w14:textId="77777777" w:rsidR="00A45D15" w:rsidRDefault="00000000">
      <w:pPr>
        <w:spacing w:before="140" w:after="60"/>
      </w:pPr>
      <w:r>
        <w:rPr>
          <w:rFonts w:ascii="Calibri" w:eastAsia="Calibri" w:hAnsi="Calibri" w:cs="Calibri"/>
          <w:b/>
          <w:bCs/>
          <w:color w:val="215E99"/>
          <w:sz w:val="32"/>
          <w:szCs w:val="32"/>
        </w:rPr>
        <w:t>4.8 Group Operations, Payment Links &amp; Check-In</w:t>
      </w:r>
    </w:p>
    <w:p w14:paraId="15183D5E" w14:textId="77777777" w:rsidR="00A45D15" w:rsidRDefault="00000000">
      <w:pPr>
        <w:pStyle w:val="ListParagraph"/>
        <w:numPr>
          <w:ilvl w:val="0"/>
          <w:numId w:val="2"/>
        </w:numPr>
        <w:spacing w:after="70"/>
      </w:pPr>
      <w:r>
        <w:rPr>
          <w:rFonts w:ascii="Calibri" w:eastAsia="Calibri" w:hAnsi="Calibri" w:cs="Calibri"/>
          <w:sz w:val="24"/>
          <w:szCs w:val="24"/>
        </w:rPr>
        <w:t>An operations view shows upcoming group arrivals for the day/period and flags any deposits still required.</w:t>
      </w:r>
    </w:p>
    <w:p w14:paraId="5DF6F386" w14:textId="77777777" w:rsidR="00A45D15" w:rsidRDefault="00000000">
      <w:pPr>
        <w:pStyle w:val="ListParagraph"/>
        <w:numPr>
          <w:ilvl w:val="0"/>
          <w:numId w:val="2"/>
        </w:numPr>
        <w:spacing w:after="70"/>
      </w:pPr>
      <w:r>
        <w:rPr>
          <w:rFonts w:ascii="Calibri" w:eastAsia="Calibri" w:hAnsi="Calibri" w:cs="Calibri"/>
          <w:sz w:val="24"/>
          <w:szCs w:val="24"/>
        </w:rPr>
        <w:lastRenderedPageBreak/>
        <w:t>Group operational planning &amp; tasks allow staff (e.g., a tour guide or educator) to be assigned to an incoming group ahead of arrival; participant/guest capture records individual group-member details where required.</w:t>
      </w:r>
    </w:p>
    <w:p w14:paraId="65E9343E" w14:textId="77777777" w:rsidR="00A45D15" w:rsidRDefault="00000000">
      <w:pPr>
        <w:pStyle w:val="ListParagraph"/>
        <w:numPr>
          <w:ilvl w:val="0"/>
          <w:numId w:val="2"/>
        </w:numPr>
        <w:spacing w:after="70"/>
      </w:pPr>
      <w:r>
        <w:rPr>
          <w:rFonts w:ascii="Calibri" w:eastAsia="Calibri" w:hAnsi="Calibri" w:cs="Calibri"/>
          <w:b/>
          <w:bCs/>
          <w:sz w:val="24"/>
          <w:szCs w:val="24"/>
        </w:rPr>
        <w:t xml:space="preserve">Send Payment Link: </w:t>
      </w:r>
      <w:r>
        <w:rPr>
          <w:rFonts w:ascii="Calibri" w:eastAsia="Calibri" w:hAnsi="Calibri" w:cs="Calibri"/>
          <w:sz w:val="24"/>
          <w:szCs w:val="24"/>
        </w:rPr>
        <w:t>the sales team can generate a payment link (e.g., for a deposit or full payment) that opens a B2C-style cart-review and checkout page reflecting the booking already created by the sales team. The link carries a configurable expiry (e.g., 24 hours, a week); if payment is not completed before expiry, the booking is automatically cancelled/released. This capability applies to any booking type — B2C, schools, corporates, or groups.</w:t>
      </w:r>
    </w:p>
    <w:p w14:paraId="3E862330" w14:textId="77777777" w:rsidR="00A45D15" w:rsidRDefault="00000000">
      <w:pPr>
        <w:pStyle w:val="ListParagraph"/>
        <w:numPr>
          <w:ilvl w:val="0"/>
          <w:numId w:val="2"/>
        </w:numPr>
        <w:spacing w:after="70"/>
      </w:pPr>
      <w:r>
        <w:rPr>
          <w:rFonts w:ascii="Calibri" w:eastAsia="Calibri" w:hAnsi="Calibri" w:cs="Calibri"/>
          <w:sz w:val="24"/>
          <w:szCs w:val="24"/>
        </w:rPr>
        <w:t>Fulfilment (ticket delivery via email/WhatsApp, reprint/resend options) and group arrival/check-in are tracked separately from ticket scanning — a dedicated group check-in status (arrived/checked-in vs. not yet arrived) helps operations manage dedicated group counters, distinct from the access-control scan that ultimately admits the group.</w:t>
      </w:r>
    </w:p>
    <w:p w14:paraId="3B00BB29" w14:textId="77777777" w:rsidR="00A45D15" w:rsidRDefault="00000000">
      <w:pPr>
        <w:pStyle w:val="ListParagraph"/>
        <w:numPr>
          <w:ilvl w:val="0"/>
          <w:numId w:val="2"/>
        </w:numPr>
        <w:spacing w:after="70"/>
      </w:pPr>
      <w:r>
        <w:rPr>
          <w:rFonts w:ascii="Calibri" w:eastAsia="Calibri" w:hAnsi="Calibri" w:cs="Calibri"/>
          <w:sz w:val="24"/>
          <w:szCs w:val="24"/>
        </w:rPr>
        <w:t>Group tickets support flexible QR configurations — a single QR code valid for a defined headcount, individual QR codes per member, or a single rotating/multi-use QR code.</w:t>
      </w:r>
    </w:p>
    <w:p w14:paraId="2618DBC1" w14:textId="77777777" w:rsidR="00A45D15" w:rsidRDefault="00000000">
      <w:pPr>
        <w:spacing w:before="140" w:after="60"/>
      </w:pPr>
      <w:r>
        <w:rPr>
          <w:rFonts w:ascii="Calibri" w:eastAsia="Calibri" w:hAnsi="Calibri" w:cs="Calibri"/>
          <w:b/>
          <w:bCs/>
          <w:color w:val="215E99"/>
          <w:sz w:val="32"/>
          <w:szCs w:val="32"/>
        </w:rPr>
        <w:t>4.9 Waiver / Consent Form Configuration</w:t>
      </w:r>
    </w:p>
    <w:p w14:paraId="22B33602" w14:textId="77777777" w:rsidR="00A45D15" w:rsidRDefault="00000000">
      <w:pPr>
        <w:pStyle w:val="ListParagraph"/>
        <w:numPr>
          <w:ilvl w:val="0"/>
          <w:numId w:val="2"/>
        </w:numPr>
        <w:spacing w:after="70"/>
      </w:pPr>
      <w:r>
        <w:rPr>
          <w:rFonts w:ascii="Calibri" w:eastAsia="Calibri" w:hAnsi="Calibri" w:cs="Calibri"/>
          <w:sz w:val="24"/>
          <w:szCs w:val="24"/>
        </w:rPr>
        <w:t>A dashboard tracks waiver form templates (published vs. draft) and completion status across customers. Templates can be cloned/duplicated and are built via drag-and-drop field configuration (name, DOB, custom fields, terms-and-conditions checkboxes).</w:t>
      </w:r>
    </w:p>
    <w:p w14:paraId="502BBBB9" w14:textId="77777777" w:rsidR="00A45D15" w:rsidRDefault="00000000">
      <w:pPr>
        <w:pStyle w:val="ListParagraph"/>
        <w:numPr>
          <w:ilvl w:val="0"/>
          <w:numId w:val="2"/>
        </w:numPr>
        <w:spacing w:after="70"/>
      </w:pPr>
      <w:r>
        <w:rPr>
          <w:rFonts w:ascii="Calibri" w:eastAsia="Calibri" w:hAnsi="Calibri" w:cs="Calibri"/>
          <w:b/>
          <w:bCs/>
          <w:sz w:val="24"/>
          <w:szCs w:val="24"/>
        </w:rPr>
        <w:t xml:space="preserve">Clarified: </w:t>
      </w:r>
      <w:r>
        <w:rPr>
          <w:rFonts w:ascii="Calibri" w:eastAsia="Calibri" w:hAnsi="Calibri" w:cs="Calibri"/>
          <w:sz w:val="24"/>
          <w:szCs w:val="24"/>
        </w:rPr>
        <w:t>in response to Chinmay's question on a standard waiver template (akin to website white-</w:t>
      </w:r>
      <w:proofErr w:type="spellStart"/>
      <w:r>
        <w:rPr>
          <w:rFonts w:ascii="Calibri" w:eastAsia="Calibri" w:hAnsi="Calibri" w:cs="Calibri"/>
          <w:sz w:val="24"/>
          <w:szCs w:val="24"/>
        </w:rPr>
        <w:t>labeling</w:t>
      </w:r>
      <w:proofErr w:type="spellEnd"/>
      <w:r>
        <w:rPr>
          <w:rFonts w:ascii="Calibri" w:eastAsia="Calibri" w:hAnsi="Calibri" w:cs="Calibri"/>
          <w:sz w:val="24"/>
          <w:szCs w:val="24"/>
        </w:rPr>
        <w:t>), Allam confirmed there is no single fixed standard — while a default/pre-set template can be offered, each business typically has its own specific waiver requirements, so the builder needs to remain fully configurable.</w:t>
      </w:r>
    </w:p>
    <w:p w14:paraId="38CD8F9C" w14:textId="77777777" w:rsidR="00A45D15" w:rsidRDefault="00000000">
      <w:pPr>
        <w:pStyle w:val="ListParagraph"/>
        <w:numPr>
          <w:ilvl w:val="0"/>
          <w:numId w:val="2"/>
        </w:numPr>
        <w:spacing w:after="70"/>
      </w:pPr>
      <w:r>
        <w:rPr>
          <w:rFonts w:ascii="Calibri" w:eastAsia="Calibri" w:hAnsi="Calibri" w:cs="Calibri"/>
          <w:sz w:val="24"/>
          <w:szCs w:val="24"/>
        </w:rPr>
        <w:t>Dynamic field logic supports conditional questions (e.g., only ask for an Emirates city if the country selected is UAE; ask additional questions only if age is below a threshold). Signatory configuration defines who must sign (the participant or a parent/guardian); waiver-to-product association triggers the relevant waiver automatically when an associated product is purchased.</w:t>
      </w:r>
    </w:p>
    <w:p w14:paraId="410B20A0" w14:textId="77777777" w:rsidR="00A45D15" w:rsidRDefault="00000000">
      <w:pPr>
        <w:pStyle w:val="ListParagraph"/>
        <w:numPr>
          <w:ilvl w:val="0"/>
          <w:numId w:val="2"/>
        </w:numPr>
        <w:spacing w:after="70"/>
      </w:pPr>
      <w:r>
        <w:rPr>
          <w:rFonts w:ascii="Calibri" w:eastAsia="Calibri" w:hAnsi="Calibri" w:cs="Calibri"/>
          <w:b/>
          <w:bCs/>
          <w:sz w:val="24"/>
          <w:szCs w:val="24"/>
        </w:rPr>
        <w:t xml:space="preserve">Confirmed: </w:t>
      </w:r>
      <w:r>
        <w:rPr>
          <w:rFonts w:ascii="Calibri" w:eastAsia="Calibri" w:hAnsi="Calibri" w:cs="Calibri"/>
          <w:sz w:val="24"/>
          <w:szCs w:val="24"/>
        </w:rPr>
        <w:t>waiver trigger timing (at checkout, post-purchase, or on-site before entry) is business-configurable. Qossai noted that where a waiver is required before entry, access control should block entry until the waiver is completed — confirmed as supported (block ticket download, activation, check-in, or access if the waiver is incomplete).</w:t>
      </w:r>
    </w:p>
    <w:p w14:paraId="62EF6281" w14:textId="77777777" w:rsidR="00A45D15" w:rsidRDefault="00000000">
      <w:pPr>
        <w:pStyle w:val="ListParagraph"/>
        <w:numPr>
          <w:ilvl w:val="0"/>
          <w:numId w:val="2"/>
        </w:numPr>
        <w:spacing w:after="70"/>
      </w:pPr>
      <w:r>
        <w:rPr>
          <w:rFonts w:ascii="Calibri" w:eastAsia="Calibri" w:hAnsi="Calibri" w:cs="Calibri"/>
          <w:sz w:val="24"/>
          <w:szCs w:val="24"/>
        </w:rPr>
        <w:t>Waiver versioning tracks template amendments over time; a mobile-optimized waiver view and an approval/testing/publication flow round out setup. Post-launch, a tracking dashboard shows per-participant completion status and delivery channel (email/WhatsApp/SMS), with minor/guardian handling and a verification workspace to check completeness and signatory validity, flagging missing, expired, or invalid waivers. Waivers can also be accessed via a QR code that opens the form directly.</w:t>
      </w:r>
    </w:p>
    <w:p w14:paraId="14A2DA8A" w14:textId="77777777" w:rsidR="00A45D15" w:rsidRDefault="00000000">
      <w:pPr>
        <w:spacing w:before="140" w:after="60"/>
      </w:pPr>
      <w:r>
        <w:rPr>
          <w:rFonts w:ascii="Calibri" w:eastAsia="Calibri" w:hAnsi="Calibri" w:cs="Calibri"/>
          <w:b/>
          <w:bCs/>
          <w:color w:val="215E99"/>
          <w:sz w:val="32"/>
          <w:szCs w:val="32"/>
        </w:rPr>
        <w:t xml:space="preserve">4.10 Product Lifecycle, </w:t>
      </w:r>
      <w:proofErr w:type="spellStart"/>
      <w:r>
        <w:rPr>
          <w:rFonts w:ascii="Calibri" w:eastAsia="Calibri" w:hAnsi="Calibri" w:cs="Calibri"/>
          <w:b/>
          <w:bCs/>
          <w:color w:val="215E99"/>
          <w:sz w:val="32"/>
          <w:szCs w:val="32"/>
        </w:rPr>
        <w:t>Catalog</w:t>
      </w:r>
      <w:proofErr w:type="spellEnd"/>
      <w:r>
        <w:rPr>
          <w:rFonts w:ascii="Calibri" w:eastAsia="Calibri" w:hAnsi="Calibri" w:cs="Calibri"/>
          <w:b/>
          <w:bCs/>
          <w:color w:val="215E99"/>
          <w:sz w:val="32"/>
          <w:szCs w:val="32"/>
        </w:rPr>
        <w:t xml:space="preserve"> &amp; Change Governance</w:t>
      </w:r>
    </w:p>
    <w:p w14:paraId="46A69448" w14:textId="77777777" w:rsidR="00A45D15" w:rsidRDefault="00000000">
      <w:pPr>
        <w:pStyle w:val="ListParagraph"/>
        <w:numPr>
          <w:ilvl w:val="0"/>
          <w:numId w:val="2"/>
        </w:numPr>
        <w:spacing w:after="70"/>
      </w:pPr>
      <w:r>
        <w:rPr>
          <w:rFonts w:ascii="Calibri" w:eastAsia="Calibri" w:hAnsi="Calibri" w:cs="Calibri"/>
          <w:sz w:val="24"/>
          <w:szCs w:val="24"/>
        </w:rPr>
        <w:t xml:space="preserve">The product lifecycle &amp; </w:t>
      </w:r>
      <w:proofErr w:type="spellStart"/>
      <w:r>
        <w:rPr>
          <w:rFonts w:ascii="Calibri" w:eastAsia="Calibri" w:hAnsi="Calibri" w:cs="Calibri"/>
          <w:sz w:val="24"/>
          <w:szCs w:val="24"/>
        </w:rPr>
        <w:t>catalog</w:t>
      </w:r>
      <w:proofErr w:type="spellEnd"/>
      <w:r>
        <w:rPr>
          <w:rFonts w:ascii="Calibri" w:eastAsia="Calibri" w:hAnsi="Calibri" w:cs="Calibri"/>
          <w:sz w:val="24"/>
          <w:szCs w:val="24"/>
        </w:rPr>
        <w:t xml:space="preserve"> module (used by system administrators) tracks products from initial setup through approval to publish, with a dashboard of products by state (draft, </w:t>
      </w:r>
      <w:r>
        <w:rPr>
          <w:rFonts w:ascii="Calibri" w:eastAsia="Calibri" w:hAnsi="Calibri" w:cs="Calibri"/>
          <w:sz w:val="24"/>
          <w:szCs w:val="24"/>
        </w:rPr>
        <w:lastRenderedPageBreak/>
        <w:t>pending approval, published) and a visual workflow (draft → approval → approved → scheduled → active).</w:t>
      </w:r>
    </w:p>
    <w:p w14:paraId="7F93782D" w14:textId="77777777" w:rsidR="00A45D15" w:rsidRDefault="00000000">
      <w:pPr>
        <w:pStyle w:val="ListParagraph"/>
        <w:numPr>
          <w:ilvl w:val="0"/>
          <w:numId w:val="2"/>
        </w:numPr>
        <w:spacing w:after="70"/>
      </w:pPr>
      <w:r>
        <w:rPr>
          <w:rFonts w:ascii="Calibri" w:eastAsia="Calibri" w:hAnsi="Calibri" w:cs="Calibri"/>
          <w:sz w:val="24"/>
          <w:szCs w:val="24"/>
        </w:rPr>
        <w:t>Bulk product creation via template import/export, product ownership/assignment (department or team responsible for a product), channel publication controls, and a publish/activation scheduler (start/stop selling at defined times) were also covered, along with product duplication via a template library.</w:t>
      </w:r>
    </w:p>
    <w:p w14:paraId="57765760" w14:textId="77777777" w:rsidR="00A45D15" w:rsidRDefault="00000000">
      <w:pPr>
        <w:pStyle w:val="ListParagraph"/>
        <w:numPr>
          <w:ilvl w:val="0"/>
          <w:numId w:val="2"/>
        </w:numPr>
        <w:spacing w:after="70"/>
      </w:pPr>
      <w:r>
        <w:rPr>
          <w:rFonts w:ascii="Calibri" w:eastAsia="Calibri" w:hAnsi="Calibri" w:cs="Calibri"/>
          <w:b/>
          <w:bCs/>
          <w:sz w:val="24"/>
          <w:szCs w:val="24"/>
        </w:rPr>
        <w:t xml:space="preserve">Product governance &amp; change control: </w:t>
      </w:r>
      <w:r>
        <w:rPr>
          <w:rFonts w:ascii="Calibri" w:eastAsia="Calibri" w:hAnsi="Calibri" w:cs="Calibri"/>
          <w:sz w:val="24"/>
          <w:szCs w:val="24"/>
        </w:rPr>
        <w:t>tracks all changes made to a published product (pricing, validity, etc.) with an approval workflow, review step, rollback/recovery, and version history.</w:t>
      </w:r>
    </w:p>
    <w:p w14:paraId="7202CF9E" w14:textId="77777777" w:rsidR="00A45D15" w:rsidRDefault="00000000">
      <w:pPr>
        <w:pStyle w:val="ListParagraph"/>
        <w:numPr>
          <w:ilvl w:val="0"/>
          <w:numId w:val="2"/>
        </w:numPr>
        <w:spacing w:after="70"/>
      </w:pPr>
      <w:r>
        <w:rPr>
          <w:rFonts w:ascii="Calibri" w:eastAsia="Calibri" w:hAnsi="Calibri" w:cs="Calibri"/>
          <w:b/>
          <w:bCs/>
          <w:sz w:val="24"/>
          <w:szCs w:val="24"/>
        </w:rPr>
        <w:t xml:space="preserve">Change impact analysis (raised by Chinmay): </w:t>
      </w:r>
      <w:r>
        <w:rPr>
          <w:rFonts w:ascii="Calibri" w:eastAsia="Calibri" w:hAnsi="Calibri" w:cs="Calibri"/>
          <w:sz w:val="24"/>
          <w:szCs w:val="24"/>
        </w:rPr>
        <w:t xml:space="preserve">before a change is applied (e.g., to ticket validity), the system </w:t>
      </w:r>
      <w:proofErr w:type="spellStart"/>
      <w:r>
        <w:rPr>
          <w:rFonts w:ascii="Calibri" w:eastAsia="Calibri" w:hAnsi="Calibri" w:cs="Calibri"/>
          <w:sz w:val="24"/>
          <w:szCs w:val="24"/>
        </w:rPr>
        <w:t>analyzes</w:t>
      </w:r>
      <w:proofErr w:type="spellEnd"/>
      <w:r>
        <w:rPr>
          <w:rFonts w:ascii="Calibri" w:eastAsia="Calibri" w:hAnsi="Calibri" w:cs="Calibri"/>
          <w:sz w:val="24"/>
          <w:szCs w:val="24"/>
        </w:rPr>
        <w:t xml:space="preserve"> and surfaces which existing bookings, reservations, or promotions would be affected, alerting both admin and customer-facing teams before the change is confirmed.</w:t>
      </w:r>
    </w:p>
    <w:p w14:paraId="70E3E71E" w14:textId="77777777" w:rsidR="00A45D15" w:rsidRDefault="00000000">
      <w:pPr>
        <w:pStyle w:val="ListParagraph"/>
        <w:numPr>
          <w:ilvl w:val="0"/>
          <w:numId w:val="2"/>
        </w:numPr>
        <w:spacing w:after="70"/>
      </w:pPr>
      <w:r>
        <w:rPr>
          <w:rFonts w:ascii="Calibri" w:eastAsia="Calibri" w:hAnsi="Calibri" w:cs="Calibri"/>
          <w:b/>
          <w:bCs/>
          <w:sz w:val="24"/>
          <w:szCs w:val="24"/>
        </w:rPr>
        <w:t xml:space="preserve">Discussed (Chinmay): </w:t>
      </w:r>
      <w:r>
        <w:rPr>
          <w:rFonts w:ascii="Calibri" w:eastAsia="Calibri" w:hAnsi="Calibri" w:cs="Calibri"/>
          <w:sz w:val="24"/>
          <w:szCs w:val="24"/>
        </w:rPr>
        <w:t>for higher-risk changes, it should be possible to apply the change only from a chosen future effective date, so the impact analysis and rollout can be managed deliberately rather than immediately — Allam agreed this aligns with how the system should behave.</w:t>
      </w:r>
    </w:p>
    <w:p w14:paraId="72265A83" w14:textId="77777777" w:rsidR="00A45D15" w:rsidRDefault="00000000">
      <w:pPr>
        <w:pStyle w:val="ListParagraph"/>
        <w:numPr>
          <w:ilvl w:val="0"/>
          <w:numId w:val="2"/>
        </w:numPr>
        <w:spacing w:after="70"/>
      </w:pPr>
      <w:r>
        <w:rPr>
          <w:rFonts w:ascii="Calibri" w:eastAsia="Calibri" w:hAnsi="Calibri" w:cs="Calibri"/>
          <w:b/>
          <w:bCs/>
          <w:sz w:val="24"/>
          <w:szCs w:val="24"/>
        </w:rPr>
        <w:t xml:space="preserve">Confirmed: </w:t>
      </w:r>
      <w:r>
        <w:rPr>
          <w:rFonts w:ascii="Calibri" w:eastAsia="Calibri" w:hAnsi="Calibri" w:cs="Calibri"/>
          <w:sz w:val="24"/>
          <w:szCs w:val="24"/>
        </w:rPr>
        <w:t>changes to a product's price or configuration never retroactively affect tickets already purchased under the prior configuration — a guest who already bought at a given price keeps that price and terms regardless of later changes.</w:t>
      </w:r>
    </w:p>
    <w:p w14:paraId="446B5418" w14:textId="77777777" w:rsidR="00A45D15" w:rsidRDefault="00000000">
      <w:pPr>
        <w:spacing w:before="140" w:after="60"/>
      </w:pPr>
      <w:r>
        <w:rPr>
          <w:rFonts w:ascii="Calibri" w:eastAsia="Calibri" w:hAnsi="Calibri" w:cs="Calibri"/>
          <w:b/>
          <w:bCs/>
          <w:color w:val="215E99"/>
          <w:sz w:val="32"/>
          <w:szCs w:val="32"/>
        </w:rPr>
        <w:t>4.11 Sales Channel, Pricing &amp; Inventory Allocation</w:t>
      </w:r>
    </w:p>
    <w:p w14:paraId="6485E3F9" w14:textId="77777777" w:rsidR="00A45D15" w:rsidRDefault="00000000">
      <w:pPr>
        <w:pStyle w:val="ListParagraph"/>
        <w:numPr>
          <w:ilvl w:val="0"/>
          <w:numId w:val="2"/>
        </w:numPr>
        <w:spacing w:after="70"/>
      </w:pPr>
      <w:r>
        <w:rPr>
          <w:rFonts w:ascii="Calibri" w:eastAsia="Calibri" w:hAnsi="Calibri" w:cs="Calibri"/>
          <w:sz w:val="24"/>
          <w:szCs w:val="24"/>
        </w:rPr>
        <w:t>Sales channels (onsite, B2C, B2B, kiosk, etc.) are configured and assigned per venue; products can then be made available on all channels or restricted to specific channels.</w:t>
      </w:r>
    </w:p>
    <w:p w14:paraId="7F87BDB1" w14:textId="77777777" w:rsidR="00A45D15" w:rsidRDefault="00000000">
      <w:pPr>
        <w:pStyle w:val="ListParagraph"/>
        <w:numPr>
          <w:ilvl w:val="0"/>
          <w:numId w:val="2"/>
        </w:numPr>
        <w:spacing w:after="70"/>
      </w:pPr>
      <w:r>
        <w:rPr>
          <w:rFonts w:ascii="Calibri" w:eastAsia="Calibri" w:hAnsi="Calibri" w:cs="Calibri"/>
          <w:b/>
          <w:bCs/>
          <w:sz w:val="24"/>
          <w:szCs w:val="24"/>
        </w:rPr>
        <w:t xml:space="preserve">Confirmed: </w:t>
      </w:r>
      <w:r>
        <w:rPr>
          <w:rFonts w:ascii="Calibri" w:eastAsia="Calibri" w:hAnsi="Calibri" w:cs="Calibri"/>
          <w:sz w:val="24"/>
          <w:szCs w:val="24"/>
        </w:rPr>
        <w:t>channel-specific pricing is required — e.g., online tickets are commonly priced lower than onsite/counter tickets in the region, reflecting reduced staff assistance for online purchases.</w:t>
      </w:r>
    </w:p>
    <w:p w14:paraId="15852145" w14:textId="77777777" w:rsidR="00A45D15" w:rsidRDefault="00000000">
      <w:pPr>
        <w:pStyle w:val="ListParagraph"/>
        <w:numPr>
          <w:ilvl w:val="0"/>
          <w:numId w:val="2"/>
        </w:numPr>
        <w:spacing w:after="70"/>
      </w:pPr>
      <w:r>
        <w:rPr>
          <w:rFonts w:ascii="Calibri" w:eastAsia="Calibri" w:hAnsi="Calibri" w:cs="Calibri"/>
          <w:sz w:val="24"/>
          <w:szCs w:val="24"/>
        </w:rPr>
        <w:t>Inventory can be centralized (shared across all channels) or split by percentage/quantity per channel (e.g., 50% online / 50% onsite).</w:t>
      </w:r>
    </w:p>
    <w:p w14:paraId="2F5A122F" w14:textId="77777777" w:rsidR="00A45D15" w:rsidRDefault="00000000">
      <w:pPr>
        <w:pStyle w:val="ListParagraph"/>
        <w:numPr>
          <w:ilvl w:val="0"/>
          <w:numId w:val="2"/>
        </w:numPr>
        <w:spacing w:after="70"/>
      </w:pPr>
      <w:r>
        <w:rPr>
          <w:rFonts w:ascii="Calibri" w:eastAsia="Calibri" w:hAnsi="Calibri" w:cs="Calibri"/>
          <w:b/>
          <w:bCs/>
          <w:sz w:val="24"/>
          <w:szCs w:val="24"/>
        </w:rPr>
        <w:t xml:space="preserve">Requested (Qossai): </w:t>
      </w:r>
      <w:r>
        <w:rPr>
          <w:rFonts w:ascii="Calibri" w:eastAsia="Calibri" w:hAnsi="Calibri" w:cs="Calibri"/>
          <w:sz w:val="24"/>
          <w:szCs w:val="24"/>
        </w:rPr>
        <w:t>automatic inventory migration rules between channels — e.g., if B2C inventory sells out, the system should be able to automatically pull a configured share (e.g., 20%) from B2B inventory — confirmed this belongs in the same sales-channel/inventory configuration area.</w:t>
      </w:r>
    </w:p>
    <w:p w14:paraId="2D785ECE" w14:textId="77777777" w:rsidR="00A45D15" w:rsidRDefault="00000000">
      <w:pPr>
        <w:pStyle w:val="ListParagraph"/>
        <w:numPr>
          <w:ilvl w:val="0"/>
          <w:numId w:val="2"/>
        </w:numPr>
        <w:spacing w:after="70"/>
      </w:pPr>
      <w:r>
        <w:rPr>
          <w:rFonts w:ascii="Calibri" w:eastAsia="Calibri" w:hAnsi="Calibri" w:cs="Calibri"/>
          <w:sz w:val="24"/>
          <w:szCs w:val="24"/>
        </w:rPr>
        <w:t>Referenced an existing industry example (a competitor's pricing matrix tool) as a strong UX reference for configuring channel-and-variant pricing in a single matrix view (e.g., adult/child × onsite/online/kiosk); Qossai noted the goal is not to copy it exactly but to match or improve on it where a better approach is identified.</w:t>
      </w:r>
    </w:p>
    <w:p w14:paraId="7DD9D47B" w14:textId="77777777" w:rsidR="00A45D15" w:rsidRDefault="00000000">
      <w:pPr>
        <w:pStyle w:val="ListParagraph"/>
        <w:numPr>
          <w:ilvl w:val="0"/>
          <w:numId w:val="2"/>
        </w:numPr>
        <w:spacing w:after="70"/>
      </w:pPr>
      <w:r>
        <w:rPr>
          <w:rFonts w:ascii="Calibri" w:eastAsia="Calibri" w:hAnsi="Calibri" w:cs="Calibri"/>
          <w:b/>
          <w:bCs/>
          <w:sz w:val="24"/>
          <w:szCs w:val="24"/>
        </w:rPr>
        <w:t xml:space="preserve">Sales schedule &amp; validity: </w:t>
      </w:r>
      <w:r>
        <w:rPr>
          <w:rFonts w:ascii="Calibri" w:eastAsia="Calibri" w:hAnsi="Calibri" w:cs="Calibri"/>
          <w:sz w:val="24"/>
          <w:szCs w:val="24"/>
        </w:rPr>
        <w:t>start/stop-sell timing is configurable per channel — e.g., some experiences (like a distant desert-safari tour) disallow same-day online booking (next-day minimum) since the platform can't assume the guest is already near the venue, whereas onsite sales generally remain open up to sell-out or a defined cutoff (e.g., 15 minutes before a timed show starts).</w:t>
      </w:r>
    </w:p>
    <w:p w14:paraId="28B9761C" w14:textId="77777777" w:rsidR="00A45D15" w:rsidRDefault="00000000">
      <w:pPr>
        <w:spacing w:before="140" w:after="60"/>
      </w:pPr>
      <w:r>
        <w:rPr>
          <w:rFonts w:ascii="Calibri" w:eastAsia="Calibri" w:hAnsi="Calibri" w:cs="Calibri"/>
          <w:b/>
          <w:bCs/>
          <w:color w:val="215E99"/>
          <w:sz w:val="32"/>
          <w:szCs w:val="32"/>
        </w:rPr>
        <w:lastRenderedPageBreak/>
        <w:t>4.12 Resale Marketplace</w:t>
      </w:r>
    </w:p>
    <w:p w14:paraId="6DF4DAB9" w14:textId="77777777" w:rsidR="00A45D15" w:rsidRDefault="00000000">
      <w:pPr>
        <w:pStyle w:val="ListParagraph"/>
        <w:numPr>
          <w:ilvl w:val="0"/>
          <w:numId w:val="2"/>
        </w:numPr>
        <w:spacing w:after="70"/>
      </w:pPr>
      <w:r>
        <w:rPr>
          <w:rFonts w:ascii="Calibri" w:eastAsia="Calibri" w:hAnsi="Calibri" w:cs="Calibri"/>
          <w:sz w:val="24"/>
          <w:szCs w:val="24"/>
        </w:rPr>
        <w:t>A resale marketplace concept was introduced, allowing a guest who purchased a ticket to resell it to another customer through a secured channel, with a configurable commission and eligibility rules (e.g., minimum time before the ticket's validity/date, no reselling of expired tickets).</w:t>
      </w:r>
    </w:p>
    <w:p w14:paraId="6577E124" w14:textId="77777777" w:rsidR="00A45D15" w:rsidRDefault="00000000">
      <w:pPr>
        <w:pStyle w:val="ListParagraph"/>
        <w:numPr>
          <w:ilvl w:val="0"/>
          <w:numId w:val="2"/>
        </w:numPr>
        <w:spacing w:after="70"/>
      </w:pPr>
      <w:r>
        <w:rPr>
          <w:rFonts w:ascii="Calibri" w:eastAsia="Calibri" w:hAnsi="Calibri" w:cs="Calibri"/>
          <w:b/>
          <w:bCs/>
          <w:sz w:val="24"/>
          <w:szCs w:val="24"/>
        </w:rPr>
        <w:t xml:space="preserve">Open question raised (Allam/Qossai): </w:t>
      </w:r>
      <w:r>
        <w:rPr>
          <w:rFonts w:ascii="Calibri" w:eastAsia="Calibri" w:hAnsi="Calibri" w:cs="Calibri"/>
          <w:sz w:val="24"/>
          <w:szCs w:val="24"/>
        </w:rPr>
        <w:t>whether this resale channel should be built and owned by TICVAI as a dedicated secure portal, or implemented within each client's own B2C website/app, given that the client (not TICVAI) legally owns and manages the underlying ticket. Qossai noted the motivation is to reduce ticket-resale fraud (e.g., guests copying and reselling the same ticket to multiple buyers) by offering a secure, TICVAI-controlled alternative to third-party resale sites.</w:t>
      </w:r>
    </w:p>
    <w:p w14:paraId="43051EAF" w14:textId="77777777" w:rsidR="00A45D15" w:rsidRDefault="00000000">
      <w:pPr>
        <w:pStyle w:val="ListParagraph"/>
        <w:numPr>
          <w:ilvl w:val="0"/>
          <w:numId w:val="2"/>
        </w:numPr>
        <w:spacing w:after="70"/>
      </w:pPr>
      <w:r>
        <w:rPr>
          <w:rFonts w:ascii="Calibri" w:eastAsia="Calibri" w:hAnsi="Calibri" w:cs="Calibri"/>
          <w:b/>
          <w:bCs/>
          <w:sz w:val="24"/>
          <w:szCs w:val="24"/>
        </w:rPr>
        <w:t xml:space="preserve">Agreed: </w:t>
      </w:r>
      <w:r>
        <w:rPr>
          <w:rFonts w:ascii="Calibri" w:eastAsia="Calibri" w:hAnsi="Calibri" w:cs="Calibri"/>
          <w:sz w:val="24"/>
          <w:szCs w:val="24"/>
        </w:rPr>
        <w:t>Chinmay (together with Dinesh) and Qossai will each separately research how major ticketing platforms handle secure resale and come back with a recommended approach — marked as pending confirmation from both sides.</w:t>
      </w:r>
    </w:p>
    <w:p w14:paraId="3676FC09" w14:textId="77777777" w:rsidR="00A45D15" w:rsidRDefault="00000000">
      <w:pPr>
        <w:spacing w:before="140" w:after="60"/>
      </w:pPr>
      <w:r>
        <w:rPr>
          <w:rFonts w:ascii="Calibri" w:eastAsia="Calibri" w:hAnsi="Calibri" w:cs="Calibri"/>
          <w:b/>
          <w:bCs/>
          <w:color w:val="215E99"/>
          <w:sz w:val="32"/>
          <w:szCs w:val="32"/>
        </w:rPr>
        <w:t>4.13 UX Reference Walkthrough &amp; Payment Gateway Approach</w:t>
      </w:r>
    </w:p>
    <w:p w14:paraId="0DAFC4A8" w14:textId="77777777" w:rsidR="00A45D15" w:rsidRDefault="00000000">
      <w:pPr>
        <w:pStyle w:val="ListParagraph"/>
        <w:numPr>
          <w:ilvl w:val="0"/>
          <w:numId w:val="2"/>
        </w:numPr>
        <w:spacing w:after="70"/>
      </w:pPr>
      <w:r>
        <w:rPr>
          <w:rFonts w:ascii="Calibri" w:eastAsia="Calibri" w:hAnsi="Calibri" w:cs="Calibri"/>
          <w:sz w:val="24"/>
          <w:szCs w:val="24"/>
        </w:rPr>
        <w:t>Allam walked through a live reference website (“Little Explorer,” a Dubai family-entertainment venue) as a UX benchmark: multi-location selector, a horizontal near-term date picker with a full calendar fallback, and tabbed browsing (passes/workshops/packages) all within a single page rather than multiple screens.</w:t>
      </w:r>
    </w:p>
    <w:p w14:paraId="2B181D46" w14:textId="77777777" w:rsidR="00A45D15" w:rsidRDefault="00000000">
      <w:pPr>
        <w:pStyle w:val="ListParagraph"/>
        <w:numPr>
          <w:ilvl w:val="0"/>
          <w:numId w:val="2"/>
        </w:numPr>
        <w:spacing w:after="70"/>
      </w:pPr>
      <w:r>
        <w:rPr>
          <w:rFonts w:ascii="Calibri" w:eastAsia="Calibri" w:hAnsi="Calibri" w:cs="Calibri"/>
          <w:sz w:val="24"/>
          <w:szCs w:val="24"/>
        </w:rPr>
        <w:t xml:space="preserve">Highlighted details included: sibling/multi-buy discount pricing shown transparently with a struck-through original price; workshop add-ons presented </w:t>
      </w:r>
      <w:proofErr w:type="spellStart"/>
      <w:r>
        <w:rPr>
          <w:rFonts w:ascii="Calibri" w:eastAsia="Calibri" w:hAnsi="Calibri" w:cs="Calibri"/>
          <w:sz w:val="24"/>
          <w:szCs w:val="24"/>
        </w:rPr>
        <w:t>inline</w:t>
      </w:r>
      <w:proofErr w:type="spellEnd"/>
      <w:r>
        <w:rPr>
          <w:rFonts w:ascii="Calibri" w:eastAsia="Calibri" w:hAnsi="Calibri" w:cs="Calibri"/>
          <w:sz w:val="24"/>
          <w:szCs w:val="24"/>
        </w:rPr>
        <w:t xml:space="preserve"> with theme/cuisine sub-selection feeding directly into time-slot availability; a package builder for bundled experiences; and a date-change flow that detects conflicts across an existing multi-ticket cart and lets the guest shift the whole booking to a new date in one action.</w:t>
      </w:r>
    </w:p>
    <w:p w14:paraId="5727E1C4" w14:textId="77777777" w:rsidR="00A45D15" w:rsidRDefault="00000000">
      <w:pPr>
        <w:pStyle w:val="ListParagraph"/>
        <w:numPr>
          <w:ilvl w:val="0"/>
          <w:numId w:val="2"/>
        </w:numPr>
        <w:spacing w:after="70"/>
      </w:pPr>
      <w:r>
        <w:rPr>
          <w:rFonts w:ascii="Calibri" w:eastAsia="Calibri" w:hAnsi="Calibri" w:cs="Calibri"/>
          <w:sz w:val="24"/>
          <w:szCs w:val="24"/>
        </w:rPr>
        <w:t>At checkout, guests can sign in, register (with a visible loyalty-points incentive), or continue as guest; terms acceptance is implied by proceeding to payment rather than via a separate checkbox.</w:t>
      </w:r>
    </w:p>
    <w:p w14:paraId="300D0627" w14:textId="77777777" w:rsidR="00A45D15" w:rsidRDefault="00000000">
      <w:pPr>
        <w:pStyle w:val="ListParagraph"/>
        <w:numPr>
          <w:ilvl w:val="0"/>
          <w:numId w:val="2"/>
        </w:numPr>
        <w:spacing w:after="70"/>
      </w:pPr>
      <w:r>
        <w:rPr>
          <w:rFonts w:ascii="Calibri" w:eastAsia="Calibri" w:hAnsi="Calibri" w:cs="Calibri"/>
          <w:b/>
          <w:bCs/>
          <w:sz w:val="24"/>
          <w:szCs w:val="24"/>
        </w:rPr>
        <w:t xml:space="preserve">Payment gateway approach: </w:t>
      </w:r>
      <w:r>
        <w:rPr>
          <w:rFonts w:ascii="Calibri" w:eastAsia="Calibri" w:hAnsi="Calibri" w:cs="Calibri"/>
          <w:sz w:val="24"/>
          <w:szCs w:val="24"/>
        </w:rPr>
        <w:t>the reference site embeds card/Apple Pay/Tabby payment capture directly on its own checkout page rather than redirecting to the payment gateway's hosted page. Allam explained both approaches should be supported — a standard redirect to the gateway's page, or an embedded/</w:t>
      </w:r>
      <w:proofErr w:type="spellStart"/>
      <w:r>
        <w:rPr>
          <w:rFonts w:ascii="Calibri" w:eastAsia="Calibri" w:hAnsi="Calibri" w:cs="Calibri"/>
          <w:sz w:val="24"/>
          <w:szCs w:val="24"/>
        </w:rPr>
        <w:t>iframe</w:t>
      </w:r>
      <w:proofErr w:type="spellEnd"/>
      <w:r>
        <w:rPr>
          <w:rFonts w:ascii="Calibri" w:eastAsia="Calibri" w:hAnsi="Calibri" w:cs="Calibri"/>
          <w:sz w:val="24"/>
          <w:szCs w:val="24"/>
        </w:rPr>
        <w:t>-based capture that preserves the platform's own look and feel — noting that embedded capture requires additional security certification to reassure guests their card details are safely handled, and that this should be available for both Network International and Stripe integrations.</w:t>
      </w:r>
    </w:p>
    <w:p w14:paraId="7EB1D9DC" w14:textId="77777777" w:rsidR="00A45D15" w:rsidRDefault="00000000">
      <w:pPr>
        <w:pStyle w:val="ListParagraph"/>
        <w:numPr>
          <w:ilvl w:val="0"/>
          <w:numId w:val="2"/>
        </w:numPr>
        <w:spacing w:after="70"/>
      </w:pPr>
      <w:r>
        <w:rPr>
          <w:rFonts w:ascii="Calibri" w:eastAsia="Calibri" w:hAnsi="Calibri" w:cs="Calibri"/>
          <w:sz w:val="24"/>
          <w:szCs w:val="24"/>
        </w:rPr>
        <w:t>Allam will share the reference website link with the team for further review.</w:t>
      </w:r>
    </w:p>
    <w:p w14:paraId="07FFC902" w14:textId="77777777" w:rsidR="00A45D15" w:rsidRDefault="00000000">
      <w:pPr>
        <w:spacing w:before="140" w:after="60"/>
      </w:pPr>
      <w:r>
        <w:rPr>
          <w:rFonts w:ascii="Calibri" w:eastAsia="Calibri" w:hAnsi="Calibri" w:cs="Calibri"/>
          <w:b/>
          <w:bCs/>
          <w:color w:val="215E99"/>
          <w:sz w:val="32"/>
          <w:szCs w:val="32"/>
        </w:rPr>
        <w:t>4.14 Planning &amp; Next Steps</w:t>
      </w:r>
    </w:p>
    <w:p w14:paraId="7ACEFD68" w14:textId="77777777" w:rsidR="00A45D15" w:rsidRDefault="00000000">
      <w:pPr>
        <w:pStyle w:val="ListParagraph"/>
        <w:numPr>
          <w:ilvl w:val="0"/>
          <w:numId w:val="2"/>
        </w:numPr>
        <w:spacing w:after="70"/>
      </w:pPr>
      <w:r>
        <w:rPr>
          <w:rFonts w:ascii="Calibri" w:eastAsia="Calibri" w:hAnsi="Calibri" w:cs="Calibri"/>
          <w:sz w:val="24"/>
          <w:szCs w:val="24"/>
        </w:rPr>
        <w:t>Remaining modules still to be covered include access control, promotions, cross-sell, the licensing module, IES, and device manager.</w:t>
      </w:r>
    </w:p>
    <w:p w14:paraId="71DC7B02" w14:textId="77777777" w:rsidR="00A45D15" w:rsidRDefault="00000000">
      <w:pPr>
        <w:pStyle w:val="ListParagraph"/>
        <w:numPr>
          <w:ilvl w:val="0"/>
          <w:numId w:val="2"/>
        </w:numPr>
        <w:spacing w:after="70"/>
      </w:pPr>
      <w:r>
        <w:rPr>
          <w:rFonts w:ascii="Calibri" w:eastAsia="Calibri" w:hAnsi="Calibri" w:cs="Calibri"/>
          <w:b/>
          <w:bCs/>
          <w:sz w:val="24"/>
          <w:szCs w:val="24"/>
        </w:rPr>
        <w:t xml:space="preserve">Agreed: </w:t>
      </w:r>
      <w:r>
        <w:rPr>
          <w:rFonts w:ascii="Calibri" w:eastAsia="Calibri" w:hAnsi="Calibri" w:cs="Calibri"/>
          <w:sz w:val="24"/>
          <w:szCs w:val="24"/>
        </w:rPr>
        <w:t>sessions will continue daily at 8:30 AM (Allam's time) / 10:00 AM (</w:t>
      </w:r>
      <w:proofErr w:type="spellStart"/>
      <w:r>
        <w:rPr>
          <w:rFonts w:ascii="Calibri" w:eastAsia="Calibri" w:hAnsi="Calibri" w:cs="Calibri"/>
          <w:sz w:val="24"/>
          <w:szCs w:val="24"/>
        </w:rPr>
        <w:t>Qossai's</w:t>
      </w:r>
      <w:proofErr w:type="spellEnd"/>
      <w:r>
        <w:rPr>
          <w:rFonts w:ascii="Calibri" w:eastAsia="Calibri" w:hAnsi="Calibri" w:cs="Calibri"/>
          <w:sz w:val="24"/>
          <w:szCs w:val="24"/>
        </w:rPr>
        <w:t xml:space="preserve"> time), with the team aiming to complete all remaining workshop modules within roughly the next two weeks.</w:t>
      </w:r>
    </w:p>
    <w:p w14:paraId="32680239" w14:textId="77777777" w:rsidR="00A45D15" w:rsidRDefault="00000000">
      <w:pPr>
        <w:spacing w:before="180" w:after="100"/>
      </w:pPr>
      <w:r>
        <w:rPr>
          <w:rFonts w:ascii="Calibri" w:eastAsia="Calibri" w:hAnsi="Calibri" w:cs="Calibri"/>
          <w:b/>
          <w:bCs/>
          <w:color w:val="215E99"/>
          <w:sz w:val="32"/>
          <w:szCs w:val="32"/>
        </w:rPr>
        <w:lastRenderedPageBreak/>
        <w:t>5. Key Decisions &amp; Agreements</w:t>
      </w:r>
    </w:p>
    <w:p w14:paraId="5B2A2058" w14:textId="77777777" w:rsidR="00A45D15" w:rsidRDefault="00000000">
      <w:pPr>
        <w:pStyle w:val="ListParagraph"/>
        <w:numPr>
          <w:ilvl w:val="0"/>
          <w:numId w:val="2"/>
        </w:numPr>
        <w:spacing w:after="70"/>
      </w:pPr>
      <w:r>
        <w:rPr>
          <w:rFonts w:ascii="Calibri" w:eastAsia="Calibri" w:hAnsi="Calibri" w:cs="Calibri"/>
          <w:sz w:val="24"/>
          <w:szCs w:val="24"/>
        </w:rPr>
        <w:t>Communications and notifications will be built as a single centralized module shared across all other modules, rather than per-module notification logic.</w:t>
      </w:r>
    </w:p>
    <w:p w14:paraId="7A27AF6D" w14:textId="77777777" w:rsidR="00A45D15" w:rsidRDefault="00000000">
      <w:pPr>
        <w:pStyle w:val="ListParagraph"/>
        <w:numPr>
          <w:ilvl w:val="0"/>
          <w:numId w:val="2"/>
        </w:numPr>
        <w:spacing w:after="70"/>
      </w:pPr>
      <w:r>
        <w:rPr>
          <w:rFonts w:ascii="Calibri" w:eastAsia="Calibri" w:hAnsi="Calibri" w:cs="Calibri"/>
          <w:sz w:val="24"/>
          <w:szCs w:val="24"/>
        </w:rPr>
        <w:t>Notification triggers must key off precise event states (e.g., ticket scanned/used) rather than the transaction alone, where the business intent requires it.</w:t>
      </w:r>
    </w:p>
    <w:p w14:paraId="5F81D22C" w14:textId="77777777" w:rsidR="00A45D15" w:rsidRDefault="00000000">
      <w:pPr>
        <w:pStyle w:val="ListParagraph"/>
        <w:numPr>
          <w:ilvl w:val="0"/>
          <w:numId w:val="2"/>
        </w:numPr>
        <w:spacing w:after="70"/>
      </w:pPr>
      <w:r>
        <w:rPr>
          <w:rFonts w:ascii="Calibri" w:eastAsia="Calibri" w:hAnsi="Calibri" w:cs="Calibri"/>
          <w:sz w:val="24"/>
          <w:szCs w:val="24"/>
        </w:rPr>
        <w:t>Published product/price changes never retroactively affect tickets already purchased under the prior configuration; change impact analysis will show affected bookings/reservations before a change is confirmed, with support for effective-dated changes on higher-risk updates.</w:t>
      </w:r>
    </w:p>
    <w:p w14:paraId="1268B947" w14:textId="77777777" w:rsidR="00A45D15" w:rsidRDefault="00000000">
      <w:pPr>
        <w:pStyle w:val="ListParagraph"/>
        <w:numPr>
          <w:ilvl w:val="0"/>
          <w:numId w:val="2"/>
        </w:numPr>
        <w:spacing w:after="70"/>
      </w:pPr>
      <w:r>
        <w:rPr>
          <w:rFonts w:ascii="Calibri" w:eastAsia="Calibri" w:hAnsi="Calibri" w:cs="Calibri"/>
          <w:sz w:val="24"/>
          <w:szCs w:val="24"/>
        </w:rPr>
        <w:t>The group/school/corporate booking flow (inquiry → package builder → quotation → approval → confirmed booking) is unified across all these customer categories.</w:t>
      </w:r>
    </w:p>
    <w:p w14:paraId="5698A3B8" w14:textId="77777777" w:rsidR="00A45D15" w:rsidRDefault="00000000">
      <w:pPr>
        <w:pStyle w:val="ListParagraph"/>
        <w:numPr>
          <w:ilvl w:val="0"/>
          <w:numId w:val="2"/>
        </w:numPr>
        <w:spacing w:after="70"/>
      </w:pPr>
      <w:r>
        <w:rPr>
          <w:rFonts w:ascii="Calibri" w:eastAsia="Calibri" w:hAnsi="Calibri" w:cs="Calibri"/>
          <w:sz w:val="24"/>
          <w:szCs w:val="24"/>
        </w:rPr>
        <w:t>“Send Payment Link” will be available across booking types (B2C, groups, schools, corporates), with configurable expiry and automatic cancellation of unpaid bookings after expiry.</w:t>
      </w:r>
    </w:p>
    <w:p w14:paraId="38CDBC43" w14:textId="77777777" w:rsidR="00A45D15" w:rsidRDefault="00000000">
      <w:pPr>
        <w:pStyle w:val="ListParagraph"/>
        <w:numPr>
          <w:ilvl w:val="0"/>
          <w:numId w:val="2"/>
        </w:numPr>
        <w:spacing w:after="70"/>
      </w:pPr>
      <w:r>
        <w:rPr>
          <w:rFonts w:ascii="Calibri" w:eastAsia="Calibri" w:hAnsi="Calibri" w:cs="Calibri"/>
          <w:sz w:val="24"/>
          <w:szCs w:val="24"/>
        </w:rPr>
        <w:t>Group check-in will be tracked as a distinct operational status, separate from the access-control ticket scan that admits guests.</w:t>
      </w:r>
    </w:p>
    <w:p w14:paraId="47BC17D4" w14:textId="77777777" w:rsidR="00A45D15" w:rsidRDefault="00000000">
      <w:pPr>
        <w:pStyle w:val="ListParagraph"/>
        <w:numPr>
          <w:ilvl w:val="0"/>
          <w:numId w:val="2"/>
        </w:numPr>
        <w:spacing w:after="70"/>
      </w:pPr>
      <w:r>
        <w:rPr>
          <w:rFonts w:ascii="Calibri" w:eastAsia="Calibri" w:hAnsi="Calibri" w:cs="Calibri"/>
          <w:sz w:val="24"/>
          <w:szCs w:val="24"/>
        </w:rPr>
        <w:t>Waiver forms support fully configurable fields, conditional/dynamic logic, and configurable trigger timing (at purchase vs. on-site before entry), with incomplete waivers able to block ticket download, activation, check-in, or venue access.</w:t>
      </w:r>
    </w:p>
    <w:p w14:paraId="15EAF06B" w14:textId="77777777" w:rsidR="00A45D15" w:rsidRDefault="00000000">
      <w:pPr>
        <w:pStyle w:val="ListParagraph"/>
        <w:numPr>
          <w:ilvl w:val="0"/>
          <w:numId w:val="2"/>
        </w:numPr>
        <w:spacing w:after="70"/>
      </w:pPr>
      <w:r>
        <w:rPr>
          <w:rFonts w:ascii="Calibri" w:eastAsia="Calibri" w:hAnsi="Calibri" w:cs="Calibri"/>
          <w:sz w:val="24"/>
          <w:szCs w:val="24"/>
        </w:rPr>
        <w:t>Products must support channel-specific pricing (onsite, online, B2B, kiosk) and both centralized and split/percentage-based inventory allocation, with automatic overflow/migration rules between channels when one channel sells out.</w:t>
      </w:r>
    </w:p>
    <w:p w14:paraId="7115E886" w14:textId="77777777" w:rsidR="00A45D15" w:rsidRDefault="00000000">
      <w:pPr>
        <w:pStyle w:val="ListParagraph"/>
        <w:numPr>
          <w:ilvl w:val="0"/>
          <w:numId w:val="2"/>
        </w:numPr>
        <w:spacing w:after="70"/>
      </w:pPr>
      <w:r>
        <w:rPr>
          <w:rFonts w:ascii="Calibri" w:eastAsia="Calibri" w:hAnsi="Calibri" w:cs="Calibri"/>
          <w:sz w:val="24"/>
          <w:szCs w:val="24"/>
        </w:rPr>
        <w:t>Both redirect-based and embedded/</w:t>
      </w:r>
      <w:proofErr w:type="spellStart"/>
      <w:r>
        <w:rPr>
          <w:rFonts w:ascii="Calibri" w:eastAsia="Calibri" w:hAnsi="Calibri" w:cs="Calibri"/>
          <w:sz w:val="24"/>
          <w:szCs w:val="24"/>
        </w:rPr>
        <w:t>iframe</w:t>
      </w:r>
      <w:proofErr w:type="spellEnd"/>
      <w:r>
        <w:rPr>
          <w:rFonts w:ascii="Calibri" w:eastAsia="Calibri" w:hAnsi="Calibri" w:cs="Calibri"/>
          <w:sz w:val="24"/>
          <w:szCs w:val="24"/>
        </w:rPr>
        <w:t>-based payment capture will be supported for gateway integrations (Network International, Stripe), subject to the certification required for embedded capture.</w:t>
      </w:r>
    </w:p>
    <w:p w14:paraId="70864A99" w14:textId="77777777" w:rsidR="00A45D15" w:rsidRDefault="00000000">
      <w:pPr>
        <w:spacing w:before="180" w:after="100"/>
      </w:pPr>
      <w:r>
        <w:rPr>
          <w:rFonts w:ascii="Calibri" w:eastAsia="Calibri" w:hAnsi="Calibri" w:cs="Calibri"/>
          <w:b/>
          <w:bCs/>
          <w:color w:val="215E99"/>
          <w:sz w:val="32"/>
          <w:szCs w:val="32"/>
        </w:rPr>
        <w:t>6. Open Items / Questions for Follow-Up</w:t>
      </w:r>
    </w:p>
    <w:p w14:paraId="6AE8BB67" w14:textId="77777777" w:rsidR="00A45D15" w:rsidRDefault="00000000">
      <w:pPr>
        <w:pStyle w:val="ListParagraph"/>
        <w:numPr>
          <w:ilvl w:val="0"/>
          <w:numId w:val="2"/>
        </w:numPr>
        <w:spacing w:after="70"/>
      </w:pPr>
      <w:r>
        <w:rPr>
          <w:rFonts w:ascii="Calibri" w:eastAsia="Calibri" w:hAnsi="Calibri" w:cs="Calibri"/>
          <w:sz w:val="24"/>
          <w:szCs w:val="24"/>
        </w:rPr>
        <w:t>Resale marketplace ownership and approach (TICVAI-native secure portal vs. client-managed B2C channel) — pending research from both Chinmay/Dinesh and Qossai.</w:t>
      </w:r>
    </w:p>
    <w:p w14:paraId="7D6A46F1" w14:textId="77777777" w:rsidR="00A45D15" w:rsidRDefault="00000000">
      <w:pPr>
        <w:pStyle w:val="ListParagraph"/>
        <w:numPr>
          <w:ilvl w:val="0"/>
          <w:numId w:val="2"/>
        </w:numPr>
        <w:spacing w:after="70"/>
      </w:pPr>
      <w:r>
        <w:rPr>
          <w:rFonts w:ascii="Calibri" w:eastAsia="Calibri" w:hAnsi="Calibri" w:cs="Calibri"/>
          <w:sz w:val="24"/>
          <w:szCs w:val="24"/>
        </w:rPr>
        <w:t>Refinement of the effective-dated change-impact-analysis workflow — pending from the Softlabs team.</w:t>
      </w:r>
    </w:p>
    <w:p w14:paraId="6AED6535" w14:textId="77777777" w:rsidR="00A45D15" w:rsidRDefault="00000000">
      <w:pPr>
        <w:pStyle w:val="ListParagraph"/>
        <w:numPr>
          <w:ilvl w:val="0"/>
          <w:numId w:val="2"/>
        </w:numPr>
        <w:spacing w:after="70"/>
      </w:pPr>
      <w:r>
        <w:rPr>
          <w:rFonts w:ascii="Calibri" w:eastAsia="Calibri" w:hAnsi="Calibri" w:cs="Calibri"/>
          <w:sz w:val="24"/>
          <w:szCs w:val="24"/>
        </w:rPr>
        <w:t>Resale marketplace screen/documentation — pending from Allam.</w:t>
      </w:r>
    </w:p>
    <w:p w14:paraId="30509678" w14:textId="77777777" w:rsidR="00A45D15" w:rsidRDefault="00000000">
      <w:pPr>
        <w:spacing w:before="180" w:after="100"/>
      </w:pPr>
      <w:r>
        <w:rPr>
          <w:rFonts w:ascii="Calibri" w:eastAsia="Calibri" w:hAnsi="Calibri" w:cs="Calibri"/>
          <w:b/>
          <w:bCs/>
          <w:color w:val="215E99"/>
          <w:sz w:val="32"/>
          <w:szCs w:val="32"/>
        </w:rPr>
        <w:t>7. Action Items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800"/>
        <w:gridCol w:w="1850"/>
        <w:gridCol w:w="1800"/>
        <w:gridCol w:w="1900"/>
      </w:tblGrid>
      <w:tr w:rsidR="00A45D15" w14:paraId="368D4DA9" w14:textId="77777777">
        <w:tblPrEx>
          <w:tblCellMar>
            <w:top w:w="0" w:type="dxa"/>
            <w:bottom w:w="0" w:type="dxa"/>
          </w:tblCellMar>
        </w:tblPrEx>
        <w:trPr>
          <w:tblHeader/>
        </w:trPr>
        <w:tc>
          <w:tcPr>
            <w:tcW w:w="3800" w:type="dxa"/>
            <w:shd w:val="clear" w:color="auto" w:fill="0B1324"/>
            <w:tcMar>
              <w:top w:w="80" w:type="dxa"/>
              <w:left w:w="120" w:type="dxa"/>
              <w:bottom w:w="80" w:type="dxa"/>
              <w:right w:w="120" w:type="dxa"/>
            </w:tcMar>
            <w:vAlign w:val="center"/>
          </w:tcPr>
          <w:p w14:paraId="1EA948F2" w14:textId="77777777" w:rsidR="00A45D15" w:rsidRDefault="00000000">
            <w:r>
              <w:rPr>
                <w:rFonts w:ascii="Calibri" w:eastAsia="Calibri" w:hAnsi="Calibri" w:cs="Calibri"/>
                <w:b/>
                <w:bCs/>
                <w:color w:val="FFFFFF"/>
                <w:sz w:val="24"/>
                <w:szCs w:val="24"/>
              </w:rPr>
              <w:t>Action Item</w:t>
            </w:r>
          </w:p>
        </w:tc>
        <w:tc>
          <w:tcPr>
            <w:tcW w:w="1850" w:type="dxa"/>
            <w:shd w:val="clear" w:color="auto" w:fill="0B1324"/>
            <w:tcMar>
              <w:top w:w="80" w:type="dxa"/>
              <w:left w:w="120" w:type="dxa"/>
              <w:bottom w:w="80" w:type="dxa"/>
              <w:right w:w="120" w:type="dxa"/>
            </w:tcMar>
            <w:vAlign w:val="center"/>
          </w:tcPr>
          <w:p w14:paraId="5F602D1A" w14:textId="77777777" w:rsidR="00A45D15" w:rsidRDefault="00000000">
            <w:r>
              <w:rPr>
                <w:rFonts w:ascii="Calibri" w:eastAsia="Calibri" w:hAnsi="Calibri" w:cs="Calibri"/>
                <w:b/>
                <w:bCs/>
                <w:color w:val="FFFFFF"/>
                <w:sz w:val="24"/>
                <w:szCs w:val="24"/>
              </w:rPr>
              <w:t>Owner</w:t>
            </w:r>
          </w:p>
        </w:tc>
        <w:tc>
          <w:tcPr>
            <w:tcW w:w="1800" w:type="dxa"/>
            <w:shd w:val="clear" w:color="auto" w:fill="0B1324"/>
            <w:tcMar>
              <w:top w:w="80" w:type="dxa"/>
              <w:left w:w="120" w:type="dxa"/>
              <w:bottom w:w="80" w:type="dxa"/>
              <w:right w:w="120" w:type="dxa"/>
            </w:tcMar>
            <w:vAlign w:val="center"/>
          </w:tcPr>
          <w:p w14:paraId="07AF1956" w14:textId="77777777" w:rsidR="00A45D15" w:rsidRDefault="00000000">
            <w:r>
              <w:rPr>
                <w:rFonts w:ascii="Calibri" w:eastAsia="Calibri" w:hAnsi="Calibri" w:cs="Calibri"/>
                <w:b/>
                <w:bCs/>
                <w:color w:val="FFFFFF"/>
                <w:sz w:val="24"/>
                <w:szCs w:val="24"/>
              </w:rPr>
              <w:t>Due</w:t>
            </w:r>
          </w:p>
        </w:tc>
        <w:tc>
          <w:tcPr>
            <w:tcW w:w="1900" w:type="dxa"/>
            <w:shd w:val="clear" w:color="auto" w:fill="0B1324"/>
            <w:tcMar>
              <w:top w:w="80" w:type="dxa"/>
              <w:left w:w="120" w:type="dxa"/>
              <w:bottom w:w="80" w:type="dxa"/>
              <w:right w:w="120" w:type="dxa"/>
            </w:tcMar>
            <w:vAlign w:val="center"/>
          </w:tcPr>
          <w:p w14:paraId="636BB861" w14:textId="77777777" w:rsidR="00A45D15" w:rsidRDefault="00000000">
            <w:r>
              <w:rPr>
                <w:rFonts w:ascii="Calibri" w:eastAsia="Calibri" w:hAnsi="Calibri" w:cs="Calibri"/>
                <w:b/>
                <w:bCs/>
                <w:color w:val="FFFFFF"/>
                <w:sz w:val="24"/>
                <w:szCs w:val="24"/>
              </w:rPr>
              <w:t>Status</w:t>
            </w:r>
          </w:p>
        </w:tc>
      </w:tr>
      <w:tr w:rsidR="00A45D15" w14:paraId="288F0BD8" w14:textId="77777777">
        <w:tblPrEx>
          <w:tblCellMar>
            <w:top w:w="0" w:type="dxa"/>
            <w:bottom w:w="0" w:type="dxa"/>
          </w:tblCellMar>
        </w:tblPrEx>
        <w:tc>
          <w:tcPr>
            <w:tcW w:w="3800" w:type="dxa"/>
            <w:tcMar>
              <w:top w:w="80" w:type="dxa"/>
              <w:left w:w="120" w:type="dxa"/>
              <w:bottom w:w="80" w:type="dxa"/>
              <w:right w:w="120" w:type="dxa"/>
            </w:tcMar>
          </w:tcPr>
          <w:p w14:paraId="1D1C3382" w14:textId="77777777" w:rsidR="00A45D15" w:rsidRDefault="00000000">
            <w:r>
              <w:rPr>
                <w:rFonts w:ascii="Calibri" w:eastAsia="Calibri" w:hAnsi="Calibri" w:cs="Calibri"/>
                <w:sz w:val="24"/>
                <w:szCs w:val="24"/>
              </w:rPr>
              <w:t>Research industry best-practice approaches to secure ticket-resale marketplaces and propose an approach, in consultation with Dinesh</w:t>
            </w:r>
          </w:p>
        </w:tc>
        <w:tc>
          <w:tcPr>
            <w:tcW w:w="1850" w:type="dxa"/>
            <w:tcMar>
              <w:top w:w="80" w:type="dxa"/>
              <w:left w:w="120" w:type="dxa"/>
              <w:bottom w:w="80" w:type="dxa"/>
              <w:right w:w="120" w:type="dxa"/>
            </w:tcMar>
          </w:tcPr>
          <w:p w14:paraId="5DF0B70D" w14:textId="77777777" w:rsidR="00A45D15" w:rsidRDefault="00000000">
            <w:r>
              <w:rPr>
                <w:rFonts w:ascii="Calibri" w:eastAsia="Calibri" w:hAnsi="Calibri" w:cs="Calibri"/>
                <w:sz w:val="24"/>
                <w:szCs w:val="24"/>
              </w:rPr>
              <w:t>Chinmay Parab</w:t>
            </w:r>
          </w:p>
        </w:tc>
        <w:tc>
          <w:tcPr>
            <w:tcW w:w="1800" w:type="dxa"/>
            <w:tcMar>
              <w:top w:w="80" w:type="dxa"/>
              <w:left w:w="120" w:type="dxa"/>
              <w:bottom w:w="80" w:type="dxa"/>
              <w:right w:w="120" w:type="dxa"/>
            </w:tcMar>
          </w:tcPr>
          <w:p w14:paraId="76AB49BB" w14:textId="77777777" w:rsidR="00A45D15" w:rsidRDefault="00000000">
            <w:r>
              <w:rPr>
                <w:rFonts w:ascii="Calibri" w:eastAsia="Calibri" w:hAnsi="Calibri" w:cs="Calibri"/>
                <w:sz w:val="24"/>
                <w:szCs w:val="24"/>
              </w:rPr>
              <w:t>Next session</w:t>
            </w:r>
          </w:p>
        </w:tc>
        <w:tc>
          <w:tcPr>
            <w:tcW w:w="1900" w:type="dxa"/>
            <w:tcMar>
              <w:top w:w="80" w:type="dxa"/>
              <w:left w:w="120" w:type="dxa"/>
              <w:bottom w:w="80" w:type="dxa"/>
              <w:right w:w="120" w:type="dxa"/>
            </w:tcMar>
          </w:tcPr>
          <w:p w14:paraId="24388D3C" w14:textId="77777777" w:rsidR="00A45D15" w:rsidRDefault="00000000">
            <w:r>
              <w:rPr>
                <w:rFonts w:ascii="Calibri" w:eastAsia="Calibri" w:hAnsi="Calibri" w:cs="Calibri"/>
                <w:sz w:val="24"/>
                <w:szCs w:val="24"/>
              </w:rPr>
              <w:t>Open</w:t>
            </w:r>
          </w:p>
        </w:tc>
      </w:tr>
      <w:tr w:rsidR="00A45D15" w14:paraId="123F55F9" w14:textId="77777777">
        <w:tblPrEx>
          <w:tblCellMar>
            <w:top w:w="0" w:type="dxa"/>
            <w:bottom w:w="0" w:type="dxa"/>
          </w:tblCellMar>
        </w:tblPrEx>
        <w:tc>
          <w:tcPr>
            <w:tcW w:w="3800" w:type="dxa"/>
            <w:tcMar>
              <w:top w:w="80" w:type="dxa"/>
              <w:left w:w="120" w:type="dxa"/>
              <w:bottom w:w="80" w:type="dxa"/>
              <w:right w:w="120" w:type="dxa"/>
            </w:tcMar>
          </w:tcPr>
          <w:p w14:paraId="12C6172B" w14:textId="77777777" w:rsidR="00A45D15" w:rsidRDefault="00000000">
            <w:r>
              <w:rPr>
                <w:rFonts w:ascii="Calibri" w:eastAsia="Calibri" w:hAnsi="Calibri" w:cs="Calibri"/>
                <w:sz w:val="24"/>
                <w:szCs w:val="24"/>
              </w:rPr>
              <w:lastRenderedPageBreak/>
              <w:t>Research and confirm TICVAI's preferred approach to the resale marketplace (native module vs. client-managed B2C channel)</w:t>
            </w:r>
          </w:p>
        </w:tc>
        <w:tc>
          <w:tcPr>
            <w:tcW w:w="1850" w:type="dxa"/>
            <w:tcMar>
              <w:top w:w="80" w:type="dxa"/>
              <w:left w:w="120" w:type="dxa"/>
              <w:bottom w:w="80" w:type="dxa"/>
              <w:right w:w="120" w:type="dxa"/>
            </w:tcMar>
          </w:tcPr>
          <w:p w14:paraId="54737ADA" w14:textId="212FACE6" w:rsidR="00A45D15" w:rsidRDefault="00000000">
            <w:r>
              <w:rPr>
                <w:rFonts w:ascii="Calibri" w:eastAsia="Calibri" w:hAnsi="Calibri" w:cs="Calibri"/>
                <w:sz w:val="24"/>
                <w:szCs w:val="24"/>
              </w:rPr>
              <w:t xml:space="preserve">Qossai </w:t>
            </w:r>
          </w:p>
        </w:tc>
        <w:tc>
          <w:tcPr>
            <w:tcW w:w="1800" w:type="dxa"/>
            <w:tcMar>
              <w:top w:w="80" w:type="dxa"/>
              <w:left w:w="120" w:type="dxa"/>
              <w:bottom w:w="80" w:type="dxa"/>
              <w:right w:w="120" w:type="dxa"/>
            </w:tcMar>
          </w:tcPr>
          <w:p w14:paraId="6D3CD9CE" w14:textId="77777777" w:rsidR="00A45D15" w:rsidRDefault="00000000">
            <w:r>
              <w:rPr>
                <w:rFonts w:ascii="Calibri" w:eastAsia="Calibri" w:hAnsi="Calibri" w:cs="Calibri"/>
                <w:sz w:val="24"/>
                <w:szCs w:val="24"/>
              </w:rPr>
              <w:t>Next session</w:t>
            </w:r>
          </w:p>
        </w:tc>
        <w:tc>
          <w:tcPr>
            <w:tcW w:w="1900" w:type="dxa"/>
            <w:tcMar>
              <w:top w:w="80" w:type="dxa"/>
              <w:left w:w="120" w:type="dxa"/>
              <w:bottom w:w="80" w:type="dxa"/>
              <w:right w:w="120" w:type="dxa"/>
            </w:tcMar>
          </w:tcPr>
          <w:p w14:paraId="527CA128" w14:textId="77777777" w:rsidR="00A45D15" w:rsidRDefault="00000000">
            <w:r>
              <w:rPr>
                <w:rFonts w:ascii="Calibri" w:eastAsia="Calibri" w:hAnsi="Calibri" w:cs="Calibri"/>
                <w:sz w:val="24"/>
                <w:szCs w:val="24"/>
              </w:rPr>
              <w:t>Open</w:t>
            </w:r>
          </w:p>
        </w:tc>
      </w:tr>
      <w:tr w:rsidR="00A45D15" w14:paraId="2D73D935" w14:textId="77777777">
        <w:tblPrEx>
          <w:tblCellMar>
            <w:top w:w="0" w:type="dxa"/>
            <w:bottom w:w="0" w:type="dxa"/>
          </w:tblCellMar>
        </w:tblPrEx>
        <w:tc>
          <w:tcPr>
            <w:tcW w:w="3800" w:type="dxa"/>
            <w:tcMar>
              <w:top w:w="80" w:type="dxa"/>
              <w:left w:w="120" w:type="dxa"/>
              <w:bottom w:w="80" w:type="dxa"/>
              <w:right w:w="120" w:type="dxa"/>
            </w:tcMar>
          </w:tcPr>
          <w:p w14:paraId="22D1EE27" w14:textId="77777777" w:rsidR="00A45D15" w:rsidRDefault="00000000">
            <w:r>
              <w:rPr>
                <w:rFonts w:ascii="Calibri" w:eastAsia="Calibri" w:hAnsi="Calibri" w:cs="Calibri"/>
                <w:sz w:val="24"/>
                <w:szCs w:val="24"/>
              </w:rPr>
              <w:t>Share the resale marketplace screen/documentation for review ahead of the resale-approach discussion</w:t>
            </w:r>
          </w:p>
        </w:tc>
        <w:tc>
          <w:tcPr>
            <w:tcW w:w="1850" w:type="dxa"/>
            <w:tcMar>
              <w:top w:w="80" w:type="dxa"/>
              <w:left w:w="120" w:type="dxa"/>
              <w:bottom w:w="80" w:type="dxa"/>
              <w:right w:w="120" w:type="dxa"/>
            </w:tcMar>
          </w:tcPr>
          <w:p w14:paraId="6AAA0696" w14:textId="77777777" w:rsidR="00A45D15" w:rsidRDefault="00000000">
            <w:r>
              <w:rPr>
                <w:rFonts w:ascii="Calibri" w:eastAsia="Calibri" w:hAnsi="Calibri" w:cs="Calibri"/>
                <w:sz w:val="24"/>
                <w:szCs w:val="24"/>
              </w:rPr>
              <w:t>Allam</w:t>
            </w:r>
          </w:p>
        </w:tc>
        <w:tc>
          <w:tcPr>
            <w:tcW w:w="1800" w:type="dxa"/>
            <w:tcMar>
              <w:top w:w="80" w:type="dxa"/>
              <w:left w:w="120" w:type="dxa"/>
              <w:bottom w:w="80" w:type="dxa"/>
              <w:right w:w="120" w:type="dxa"/>
            </w:tcMar>
          </w:tcPr>
          <w:p w14:paraId="17CBA015" w14:textId="77777777" w:rsidR="00A45D15" w:rsidRDefault="00000000">
            <w:r>
              <w:rPr>
                <w:rFonts w:ascii="Calibri" w:eastAsia="Calibri" w:hAnsi="Calibri" w:cs="Calibri"/>
                <w:sz w:val="24"/>
                <w:szCs w:val="24"/>
              </w:rPr>
              <w:t>After this session</w:t>
            </w:r>
          </w:p>
        </w:tc>
        <w:tc>
          <w:tcPr>
            <w:tcW w:w="1900" w:type="dxa"/>
            <w:tcMar>
              <w:top w:w="80" w:type="dxa"/>
              <w:left w:w="120" w:type="dxa"/>
              <w:bottom w:w="80" w:type="dxa"/>
              <w:right w:w="120" w:type="dxa"/>
            </w:tcMar>
          </w:tcPr>
          <w:p w14:paraId="79C8F535" w14:textId="77777777" w:rsidR="00A45D15" w:rsidRDefault="00000000">
            <w:r>
              <w:rPr>
                <w:rFonts w:ascii="Calibri" w:eastAsia="Calibri" w:hAnsi="Calibri" w:cs="Calibri"/>
                <w:sz w:val="24"/>
                <w:szCs w:val="24"/>
              </w:rPr>
              <w:t>Open</w:t>
            </w:r>
          </w:p>
        </w:tc>
      </w:tr>
      <w:tr w:rsidR="00A45D15" w14:paraId="56EAF296" w14:textId="77777777">
        <w:tblPrEx>
          <w:tblCellMar>
            <w:top w:w="0" w:type="dxa"/>
            <w:bottom w:w="0" w:type="dxa"/>
          </w:tblCellMar>
        </w:tblPrEx>
        <w:tc>
          <w:tcPr>
            <w:tcW w:w="3800" w:type="dxa"/>
            <w:tcMar>
              <w:top w:w="80" w:type="dxa"/>
              <w:left w:w="120" w:type="dxa"/>
              <w:bottom w:w="80" w:type="dxa"/>
              <w:right w:w="120" w:type="dxa"/>
            </w:tcMar>
          </w:tcPr>
          <w:p w14:paraId="50608FE8" w14:textId="77777777" w:rsidR="00A45D15" w:rsidRDefault="00000000">
            <w:r>
              <w:rPr>
                <w:rFonts w:ascii="Calibri" w:eastAsia="Calibri" w:hAnsi="Calibri" w:cs="Calibri"/>
                <w:sz w:val="24"/>
                <w:szCs w:val="24"/>
              </w:rPr>
              <w:t>Refine the product change-impact-analysis workflow to support effective-dated changes (apply changes only from a chosen future date where risk to existing bookings is high)</w:t>
            </w:r>
          </w:p>
        </w:tc>
        <w:tc>
          <w:tcPr>
            <w:tcW w:w="1850" w:type="dxa"/>
            <w:tcMar>
              <w:top w:w="80" w:type="dxa"/>
              <w:left w:w="120" w:type="dxa"/>
              <w:bottom w:w="80" w:type="dxa"/>
              <w:right w:w="120" w:type="dxa"/>
            </w:tcMar>
          </w:tcPr>
          <w:p w14:paraId="237DA654" w14:textId="77777777" w:rsidR="00A45D15" w:rsidRDefault="00000000">
            <w:r>
              <w:rPr>
                <w:rFonts w:ascii="Calibri" w:eastAsia="Calibri" w:hAnsi="Calibri" w:cs="Calibri"/>
                <w:sz w:val="24"/>
                <w:szCs w:val="24"/>
              </w:rPr>
              <w:t>Softlabs Team</w:t>
            </w:r>
          </w:p>
        </w:tc>
        <w:tc>
          <w:tcPr>
            <w:tcW w:w="1800" w:type="dxa"/>
            <w:tcMar>
              <w:top w:w="80" w:type="dxa"/>
              <w:left w:w="120" w:type="dxa"/>
              <w:bottom w:w="80" w:type="dxa"/>
              <w:right w:w="120" w:type="dxa"/>
            </w:tcMar>
          </w:tcPr>
          <w:p w14:paraId="26629F56" w14:textId="77777777" w:rsidR="00A45D15" w:rsidRDefault="00000000">
            <w:r>
              <w:rPr>
                <w:rFonts w:ascii="Calibri" w:eastAsia="Calibri" w:hAnsi="Calibri" w:cs="Calibri"/>
                <w:sz w:val="24"/>
                <w:szCs w:val="24"/>
              </w:rPr>
              <w:t>Ongoing</w:t>
            </w:r>
          </w:p>
        </w:tc>
        <w:tc>
          <w:tcPr>
            <w:tcW w:w="1900" w:type="dxa"/>
            <w:tcMar>
              <w:top w:w="80" w:type="dxa"/>
              <w:left w:w="120" w:type="dxa"/>
              <w:bottom w:w="80" w:type="dxa"/>
              <w:right w:w="120" w:type="dxa"/>
            </w:tcMar>
          </w:tcPr>
          <w:p w14:paraId="30877046" w14:textId="77777777" w:rsidR="00A45D15" w:rsidRDefault="00000000">
            <w:r>
              <w:rPr>
                <w:rFonts w:ascii="Calibri" w:eastAsia="Calibri" w:hAnsi="Calibri" w:cs="Calibri"/>
                <w:sz w:val="24"/>
                <w:szCs w:val="24"/>
              </w:rPr>
              <w:t>Open</w:t>
            </w:r>
          </w:p>
        </w:tc>
      </w:tr>
      <w:tr w:rsidR="00A45D15" w14:paraId="55EE39B4" w14:textId="77777777">
        <w:tblPrEx>
          <w:tblCellMar>
            <w:top w:w="0" w:type="dxa"/>
            <w:bottom w:w="0" w:type="dxa"/>
          </w:tblCellMar>
        </w:tblPrEx>
        <w:tc>
          <w:tcPr>
            <w:tcW w:w="3800" w:type="dxa"/>
            <w:tcMar>
              <w:top w:w="80" w:type="dxa"/>
              <w:left w:w="120" w:type="dxa"/>
              <w:bottom w:w="80" w:type="dxa"/>
              <w:right w:w="120" w:type="dxa"/>
            </w:tcMar>
          </w:tcPr>
          <w:p w14:paraId="0E69576F" w14:textId="77777777" w:rsidR="00A45D15" w:rsidRDefault="00000000">
            <w:r>
              <w:rPr>
                <w:rFonts w:ascii="Calibri" w:eastAsia="Calibri" w:hAnsi="Calibri" w:cs="Calibri"/>
                <w:sz w:val="24"/>
                <w:szCs w:val="24"/>
              </w:rPr>
              <w:t>Continue daily 8:30 AM sessions to cover remaining modules (access control, promotions, cross-sell, licensing, IES, device manager) toward the two-week target</w:t>
            </w:r>
          </w:p>
        </w:tc>
        <w:tc>
          <w:tcPr>
            <w:tcW w:w="1850" w:type="dxa"/>
            <w:tcMar>
              <w:top w:w="80" w:type="dxa"/>
              <w:left w:w="120" w:type="dxa"/>
              <w:bottom w:w="80" w:type="dxa"/>
              <w:right w:w="120" w:type="dxa"/>
            </w:tcMar>
          </w:tcPr>
          <w:p w14:paraId="7A4C0939" w14:textId="77777777" w:rsidR="00A45D15" w:rsidRDefault="00000000">
            <w:r>
              <w:rPr>
                <w:rFonts w:ascii="Calibri" w:eastAsia="Calibri" w:hAnsi="Calibri" w:cs="Calibri"/>
                <w:sz w:val="24"/>
                <w:szCs w:val="24"/>
              </w:rPr>
              <w:t>Allam / Chinmay Parab / Qossai</w:t>
            </w:r>
          </w:p>
        </w:tc>
        <w:tc>
          <w:tcPr>
            <w:tcW w:w="1800" w:type="dxa"/>
            <w:tcMar>
              <w:top w:w="80" w:type="dxa"/>
              <w:left w:w="120" w:type="dxa"/>
              <w:bottom w:w="80" w:type="dxa"/>
              <w:right w:w="120" w:type="dxa"/>
            </w:tcMar>
          </w:tcPr>
          <w:p w14:paraId="520ACFFC" w14:textId="77777777" w:rsidR="00A45D15" w:rsidRDefault="00000000">
            <w:r>
              <w:rPr>
                <w:rFonts w:ascii="Calibri" w:eastAsia="Calibri" w:hAnsi="Calibri" w:cs="Calibri"/>
                <w:sz w:val="24"/>
                <w:szCs w:val="24"/>
              </w:rPr>
              <w:t>Daily, ongoing</w:t>
            </w:r>
          </w:p>
        </w:tc>
        <w:tc>
          <w:tcPr>
            <w:tcW w:w="1900" w:type="dxa"/>
            <w:tcMar>
              <w:top w:w="80" w:type="dxa"/>
              <w:left w:w="120" w:type="dxa"/>
              <w:bottom w:w="80" w:type="dxa"/>
              <w:right w:w="120" w:type="dxa"/>
            </w:tcMar>
          </w:tcPr>
          <w:p w14:paraId="03D9CF31" w14:textId="77777777" w:rsidR="00A45D15" w:rsidRDefault="00000000">
            <w:r>
              <w:rPr>
                <w:rFonts w:ascii="Calibri" w:eastAsia="Calibri" w:hAnsi="Calibri" w:cs="Calibri"/>
                <w:sz w:val="24"/>
                <w:szCs w:val="24"/>
              </w:rPr>
              <w:t>In Progress</w:t>
            </w:r>
          </w:p>
        </w:tc>
      </w:tr>
    </w:tbl>
    <w:p w14:paraId="2F28A35B" w14:textId="77777777" w:rsidR="00A45D15" w:rsidRDefault="00A45D15">
      <w:pPr>
        <w:spacing w:after="160"/>
      </w:pPr>
    </w:p>
    <w:p w14:paraId="450FA24A" w14:textId="77777777" w:rsidR="00A45D15" w:rsidRDefault="00000000">
      <w:pPr>
        <w:spacing w:before="180" w:after="100"/>
      </w:pPr>
      <w:r>
        <w:rPr>
          <w:rFonts w:ascii="Calibri" w:eastAsia="Calibri" w:hAnsi="Calibri" w:cs="Calibri"/>
          <w:b/>
          <w:bCs/>
          <w:color w:val="215E99"/>
          <w:sz w:val="32"/>
          <w:szCs w:val="32"/>
        </w:rPr>
        <w:t>8. Next Steps</w:t>
      </w:r>
    </w:p>
    <w:p w14:paraId="03D1CE9F" w14:textId="77777777" w:rsidR="00A45D15" w:rsidRDefault="00000000">
      <w:pPr>
        <w:pStyle w:val="ListParagraph"/>
        <w:numPr>
          <w:ilvl w:val="0"/>
          <w:numId w:val="2"/>
        </w:numPr>
        <w:spacing w:after="70"/>
      </w:pPr>
      <w:r>
        <w:rPr>
          <w:rFonts w:ascii="Calibri" w:eastAsia="Calibri" w:hAnsi="Calibri" w:cs="Calibri"/>
          <w:sz w:val="24"/>
          <w:szCs w:val="24"/>
        </w:rPr>
        <w:t>Daily sessions to continue at 8:30 AM (Allam's time) / 10:00 AM (</w:t>
      </w:r>
      <w:proofErr w:type="spellStart"/>
      <w:r>
        <w:rPr>
          <w:rFonts w:ascii="Calibri" w:eastAsia="Calibri" w:hAnsi="Calibri" w:cs="Calibri"/>
          <w:sz w:val="24"/>
          <w:szCs w:val="24"/>
        </w:rPr>
        <w:t>Qossai's</w:t>
      </w:r>
      <w:proofErr w:type="spellEnd"/>
      <w:r>
        <w:rPr>
          <w:rFonts w:ascii="Calibri" w:eastAsia="Calibri" w:hAnsi="Calibri" w:cs="Calibri"/>
          <w:sz w:val="24"/>
          <w:szCs w:val="24"/>
        </w:rPr>
        <w:t xml:space="preserve"> time), targeting completion of all remaining modules (access control, promotions, cross-sell, licensing, IES, device manager) within roughly the next two weeks.</w:t>
      </w:r>
    </w:p>
    <w:p w14:paraId="22F06628" w14:textId="77777777" w:rsidR="00A45D15" w:rsidRDefault="00000000">
      <w:pPr>
        <w:pStyle w:val="ListParagraph"/>
        <w:numPr>
          <w:ilvl w:val="0"/>
          <w:numId w:val="2"/>
        </w:numPr>
        <w:spacing w:after="70"/>
      </w:pPr>
      <w:r>
        <w:rPr>
          <w:rFonts w:ascii="Calibri" w:eastAsia="Calibri" w:hAnsi="Calibri" w:cs="Calibri"/>
          <w:sz w:val="24"/>
          <w:szCs w:val="24"/>
        </w:rPr>
        <w:t>Chinmay and Qossai to each research secure resale-marketplace approaches and bring back a recommendation.</w:t>
      </w:r>
    </w:p>
    <w:p w14:paraId="7B8BCF70" w14:textId="77777777" w:rsidR="00A45D15" w:rsidRDefault="00000000">
      <w:pPr>
        <w:pStyle w:val="ListParagraph"/>
        <w:numPr>
          <w:ilvl w:val="0"/>
          <w:numId w:val="2"/>
        </w:numPr>
        <w:spacing w:after="70"/>
      </w:pPr>
      <w:r>
        <w:rPr>
          <w:rFonts w:ascii="Calibri" w:eastAsia="Calibri" w:hAnsi="Calibri" w:cs="Calibri"/>
          <w:sz w:val="24"/>
          <w:szCs w:val="24"/>
        </w:rPr>
        <w:t>Allam to share the Little Explorer reference link and resale marketplace documentation for the team's review.</w:t>
      </w:r>
    </w:p>
    <w:p w14:paraId="3DA203C2" w14:textId="77777777" w:rsidR="00A45D15" w:rsidRDefault="00000000">
      <w:pPr>
        <w:spacing w:before="120"/>
        <w:jc w:val="center"/>
      </w:pPr>
      <w:r>
        <w:rPr>
          <w:rFonts w:ascii="Calibri" w:eastAsia="Calibri" w:hAnsi="Calibri" w:cs="Calibri"/>
          <w:i/>
          <w:iCs/>
          <w:color w:val="595959"/>
          <w:sz w:val="24"/>
          <w:szCs w:val="24"/>
        </w:rPr>
        <w:t>--- End of Minutes ---</w:t>
      </w:r>
    </w:p>
    <w:sectPr w:rsidR="00A45D15">
      <w:headerReference w:type="default" r:id="rId7"/>
      <w:footerReference w:type="default" r:id="rId8"/>
      <w:pgSz w:w="12240" w:h="15840"/>
      <w:pgMar w:top="720" w:right="1440" w:bottom="9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6AEA6" w14:textId="77777777" w:rsidR="00D576FA" w:rsidRDefault="00D576FA">
      <w:r>
        <w:separator/>
      </w:r>
    </w:p>
  </w:endnote>
  <w:endnote w:type="continuationSeparator" w:id="0">
    <w:p w14:paraId="45EBB25C" w14:textId="77777777" w:rsidR="00D576FA" w:rsidRDefault="00D576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D4A38" w14:textId="77777777" w:rsidR="00A45D15" w:rsidRDefault="00000000">
    <w:pPr>
      <w:jc w:val="center"/>
    </w:pPr>
    <w:r>
      <w:rPr>
        <w:rFonts w:ascii="Calibri" w:eastAsia="Calibri" w:hAnsi="Calibri" w:cs="Calibri"/>
        <w:color w:val="595959"/>
        <w:sz w:val="24"/>
        <w:szCs w:val="24"/>
      </w:rPr>
      <w:t xml:space="preserve">Page </w:t>
    </w:r>
    <w:r>
      <w:rPr>
        <w:rFonts w:ascii="Calibri" w:eastAsia="Calibri" w:hAnsi="Calibri" w:cs="Calibri"/>
        <w:color w:val="595959"/>
        <w:sz w:val="24"/>
        <w:szCs w:val="24"/>
      </w:rPr>
      <w:fldChar w:fldCharType="begin"/>
    </w:r>
    <w:r>
      <w:rPr>
        <w:rFonts w:ascii="Calibri" w:eastAsia="Calibri" w:hAnsi="Calibri" w:cs="Calibri"/>
        <w:color w:val="595959"/>
        <w:sz w:val="24"/>
        <w:szCs w:val="24"/>
      </w:rPr>
      <w:instrText>PAGE</w:instrText>
    </w:r>
    <w:r>
      <w:rPr>
        <w:rFonts w:ascii="Calibri" w:eastAsia="Calibri" w:hAnsi="Calibri" w:cs="Calibri"/>
        <w:color w:val="595959"/>
        <w:sz w:val="24"/>
        <w:szCs w:val="24"/>
      </w:rPr>
      <w:fldChar w:fldCharType="separate"/>
    </w:r>
    <w:r w:rsidR="006D0B7B">
      <w:rPr>
        <w:rFonts w:ascii="Calibri" w:eastAsia="Calibri" w:hAnsi="Calibri" w:cs="Calibri"/>
        <w:noProof/>
        <w:color w:val="595959"/>
        <w:sz w:val="24"/>
        <w:szCs w:val="24"/>
      </w:rPr>
      <w:t>1</w:t>
    </w:r>
    <w:r>
      <w:rPr>
        <w:rFonts w:ascii="Calibri" w:eastAsia="Calibri" w:hAnsi="Calibri" w:cs="Calibri"/>
        <w:color w:val="595959"/>
        <w:sz w:val="24"/>
        <w:szCs w:val="24"/>
      </w:rPr>
      <w:fldChar w:fldCharType="end"/>
    </w:r>
    <w:r>
      <w:rPr>
        <w:rFonts w:ascii="Calibri" w:eastAsia="Calibri" w:hAnsi="Calibri" w:cs="Calibri"/>
        <w:color w:val="595959"/>
        <w:sz w:val="24"/>
        <w:szCs w:val="24"/>
      </w:rPr>
      <w:t xml:space="preserve"> of </w:t>
    </w:r>
    <w:r>
      <w:rPr>
        <w:rFonts w:ascii="Calibri" w:eastAsia="Calibri" w:hAnsi="Calibri" w:cs="Calibri"/>
        <w:color w:val="595959"/>
        <w:sz w:val="24"/>
        <w:szCs w:val="24"/>
      </w:rPr>
      <w:fldChar w:fldCharType="begin"/>
    </w:r>
    <w:r>
      <w:rPr>
        <w:rFonts w:ascii="Calibri" w:eastAsia="Calibri" w:hAnsi="Calibri" w:cs="Calibri"/>
        <w:color w:val="595959"/>
        <w:sz w:val="24"/>
        <w:szCs w:val="24"/>
      </w:rPr>
      <w:instrText>NUMPAGES</w:instrText>
    </w:r>
    <w:r>
      <w:rPr>
        <w:rFonts w:ascii="Calibri" w:eastAsia="Calibri" w:hAnsi="Calibri" w:cs="Calibri"/>
        <w:color w:val="595959"/>
        <w:sz w:val="24"/>
        <w:szCs w:val="24"/>
      </w:rPr>
      <w:fldChar w:fldCharType="separate"/>
    </w:r>
    <w:r w:rsidR="006D0B7B">
      <w:rPr>
        <w:rFonts w:ascii="Calibri" w:eastAsia="Calibri" w:hAnsi="Calibri" w:cs="Calibri"/>
        <w:noProof/>
        <w:color w:val="595959"/>
        <w:sz w:val="24"/>
        <w:szCs w:val="24"/>
      </w:rPr>
      <w:t>2</w:t>
    </w:r>
    <w:r>
      <w:rPr>
        <w:rFonts w:ascii="Calibri" w:eastAsia="Calibri" w:hAnsi="Calibri" w:cs="Calibri"/>
        <w:color w:val="595959"/>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515AE" w14:textId="77777777" w:rsidR="00D576FA" w:rsidRDefault="00D576FA">
      <w:r>
        <w:separator/>
      </w:r>
    </w:p>
  </w:footnote>
  <w:footnote w:type="continuationSeparator" w:id="0">
    <w:p w14:paraId="3A480029" w14:textId="77777777" w:rsidR="00D576FA" w:rsidRDefault="00D576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75"/>
      <w:gridCol w:w="4675"/>
    </w:tblGrid>
    <w:tr w:rsidR="00A45D15" w14:paraId="2F1BEF31" w14:textId="77777777">
      <w:tblPrEx>
        <w:tblCellMar>
          <w:top w:w="0" w:type="dxa"/>
          <w:bottom w:w="0" w:type="dxa"/>
        </w:tblCellMar>
      </w:tblPrEx>
      <w:tc>
        <w:tcPr>
          <w:tcW w:w="4675" w:type="dxa"/>
          <w:tcMar>
            <w:bottom w:w="80" w:type="dxa"/>
          </w:tcMar>
          <w:vAlign w:val="center"/>
        </w:tcPr>
        <w:p w14:paraId="00B14928" w14:textId="77777777" w:rsidR="00A45D15" w:rsidRDefault="00A45D15"/>
      </w:tc>
      <w:tc>
        <w:tcPr>
          <w:tcW w:w="4675" w:type="dxa"/>
          <w:tcMar>
            <w:bottom w:w="80" w:type="dxa"/>
          </w:tcMar>
          <w:vAlign w:val="center"/>
        </w:tcPr>
        <w:p w14:paraId="2C502E9E" w14:textId="77777777" w:rsidR="00A45D15" w:rsidRDefault="00000000">
          <w:pPr>
            <w:spacing w:after="20"/>
            <w:jc w:val="right"/>
          </w:pPr>
          <w:r>
            <w:rPr>
              <w:noProof/>
            </w:rPr>
            <w:drawing>
              <wp:inline distT="0" distB="0" distL="0" distR="0" wp14:anchorId="5A16FA44" wp14:editId="3E8BE323">
                <wp:extent cx="1238250" cy="228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38250" cy="228600"/>
                        </a:xfrm>
                        <a:prstGeom prst="rect">
                          <a:avLst/>
                        </a:prstGeom>
                      </pic:spPr>
                    </pic:pic>
                  </a:graphicData>
                </a:graphic>
              </wp:inline>
            </w:drawing>
          </w:r>
        </w:p>
        <w:p w14:paraId="1B1927E3" w14:textId="77777777" w:rsidR="00A45D15" w:rsidRDefault="00000000">
          <w:pPr>
            <w:jc w:val="right"/>
          </w:pPr>
          <w:r>
            <w:rPr>
              <w:noProof/>
            </w:rPr>
            <w:drawing>
              <wp:inline distT="0" distB="0" distL="0" distR="0" wp14:anchorId="179586CA" wp14:editId="5E60BB63">
                <wp:extent cx="933450" cy="190500"/>
                <wp:effectExtent l="0" t="0" r="0" b="0"/>
                <wp:docPr id="559369137" name="Picture 559369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933450" cy="19050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EF03B6"/>
    <w:multiLevelType w:val="hybridMultilevel"/>
    <w:tmpl w:val="2E2E1942"/>
    <w:lvl w:ilvl="0" w:tplc="7C1CDBDC">
      <w:start w:val="1"/>
      <w:numFmt w:val="bullet"/>
      <w:lvlText w:val="•"/>
      <w:lvlJc w:val="left"/>
      <w:pPr>
        <w:ind w:left="360" w:hanging="260"/>
      </w:pPr>
    </w:lvl>
    <w:lvl w:ilvl="1" w:tplc="40E05804">
      <w:start w:val="1"/>
      <w:numFmt w:val="bullet"/>
      <w:lvlText w:val="◦"/>
      <w:lvlJc w:val="left"/>
      <w:pPr>
        <w:ind w:left="720" w:hanging="260"/>
      </w:pPr>
    </w:lvl>
    <w:lvl w:ilvl="2" w:tplc="FB988508">
      <w:numFmt w:val="decimal"/>
      <w:lvlText w:val=""/>
      <w:lvlJc w:val="left"/>
    </w:lvl>
    <w:lvl w:ilvl="3" w:tplc="247275E8">
      <w:numFmt w:val="decimal"/>
      <w:lvlText w:val=""/>
      <w:lvlJc w:val="left"/>
    </w:lvl>
    <w:lvl w:ilvl="4" w:tplc="E6B2D9F4">
      <w:numFmt w:val="decimal"/>
      <w:lvlText w:val=""/>
      <w:lvlJc w:val="left"/>
    </w:lvl>
    <w:lvl w:ilvl="5" w:tplc="E6865F6E">
      <w:numFmt w:val="decimal"/>
      <w:lvlText w:val=""/>
      <w:lvlJc w:val="left"/>
    </w:lvl>
    <w:lvl w:ilvl="6" w:tplc="76CE2158">
      <w:numFmt w:val="decimal"/>
      <w:lvlText w:val=""/>
      <w:lvlJc w:val="left"/>
    </w:lvl>
    <w:lvl w:ilvl="7" w:tplc="A1D857A6">
      <w:numFmt w:val="decimal"/>
      <w:lvlText w:val=""/>
      <w:lvlJc w:val="left"/>
    </w:lvl>
    <w:lvl w:ilvl="8" w:tplc="F7843DFA">
      <w:numFmt w:val="decimal"/>
      <w:lvlText w:val=""/>
      <w:lvlJc w:val="left"/>
    </w:lvl>
  </w:abstractNum>
  <w:abstractNum w:abstractNumId="1" w15:restartNumberingAfterBreak="0">
    <w:nsid w:val="6204027F"/>
    <w:multiLevelType w:val="hybridMultilevel"/>
    <w:tmpl w:val="BEECE0AC"/>
    <w:lvl w:ilvl="0" w:tplc="B1442F30">
      <w:start w:val="1"/>
      <w:numFmt w:val="bullet"/>
      <w:lvlText w:val="●"/>
      <w:lvlJc w:val="left"/>
      <w:pPr>
        <w:ind w:left="720" w:hanging="360"/>
      </w:pPr>
    </w:lvl>
    <w:lvl w:ilvl="1" w:tplc="BF8C00A0">
      <w:start w:val="1"/>
      <w:numFmt w:val="bullet"/>
      <w:lvlText w:val="○"/>
      <w:lvlJc w:val="left"/>
      <w:pPr>
        <w:ind w:left="1440" w:hanging="360"/>
      </w:pPr>
    </w:lvl>
    <w:lvl w:ilvl="2" w:tplc="361E6EBA">
      <w:start w:val="1"/>
      <w:numFmt w:val="bullet"/>
      <w:lvlText w:val="■"/>
      <w:lvlJc w:val="left"/>
      <w:pPr>
        <w:ind w:left="2160" w:hanging="360"/>
      </w:pPr>
    </w:lvl>
    <w:lvl w:ilvl="3" w:tplc="5598271A">
      <w:start w:val="1"/>
      <w:numFmt w:val="bullet"/>
      <w:lvlText w:val="●"/>
      <w:lvlJc w:val="left"/>
      <w:pPr>
        <w:ind w:left="2880" w:hanging="360"/>
      </w:pPr>
    </w:lvl>
    <w:lvl w:ilvl="4" w:tplc="7EC4B956">
      <w:start w:val="1"/>
      <w:numFmt w:val="bullet"/>
      <w:lvlText w:val="○"/>
      <w:lvlJc w:val="left"/>
      <w:pPr>
        <w:ind w:left="3600" w:hanging="360"/>
      </w:pPr>
    </w:lvl>
    <w:lvl w:ilvl="5" w:tplc="A3826466">
      <w:start w:val="1"/>
      <w:numFmt w:val="bullet"/>
      <w:lvlText w:val="■"/>
      <w:lvlJc w:val="left"/>
      <w:pPr>
        <w:ind w:left="4320" w:hanging="360"/>
      </w:pPr>
    </w:lvl>
    <w:lvl w:ilvl="6" w:tplc="3C666EBA">
      <w:start w:val="1"/>
      <w:numFmt w:val="bullet"/>
      <w:lvlText w:val="●"/>
      <w:lvlJc w:val="left"/>
      <w:pPr>
        <w:ind w:left="5040" w:hanging="360"/>
      </w:pPr>
    </w:lvl>
    <w:lvl w:ilvl="7" w:tplc="6FC20756">
      <w:start w:val="1"/>
      <w:numFmt w:val="bullet"/>
      <w:lvlText w:val="●"/>
      <w:lvlJc w:val="left"/>
      <w:pPr>
        <w:ind w:left="5760" w:hanging="360"/>
      </w:pPr>
    </w:lvl>
    <w:lvl w:ilvl="8" w:tplc="D16EFABE">
      <w:start w:val="1"/>
      <w:numFmt w:val="bullet"/>
      <w:lvlText w:val="●"/>
      <w:lvlJc w:val="left"/>
      <w:pPr>
        <w:ind w:left="6480" w:hanging="360"/>
      </w:pPr>
    </w:lvl>
  </w:abstractNum>
  <w:num w:numId="1" w16cid:durableId="700861615">
    <w:abstractNumId w:val="1"/>
    <w:lvlOverride w:ilvl="0">
      <w:startOverride w:val="1"/>
    </w:lvlOverride>
  </w:num>
  <w:num w:numId="2" w16cid:durableId="6062308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D15"/>
    <w:rsid w:val="002F4EF9"/>
    <w:rsid w:val="006C228D"/>
    <w:rsid w:val="006D0B7B"/>
    <w:rsid w:val="00A45D15"/>
    <w:rsid w:val="00A72F34"/>
    <w:rsid w:val="00D576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58F6A"/>
  <w15:docId w15:val="{F8F0BCB4-E845-4142-8616-89D93E052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3439</Words>
  <Characters>19604</Characters>
  <Application>Microsoft Office Word</Application>
  <DocSecurity>0</DocSecurity>
  <Lines>163</Lines>
  <Paragraphs>45</Paragraphs>
  <ScaleCrop>false</ScaleCrop>
  <Company/>
  <LinksUpToDate>false</LinksUpToDate>
  <CharactersWithSpaces>22998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Chitrangi Mestry</cp:lastModifiedBy>
  <cp:revision>4</cp:revision>
  <dcterms:created xsi:type="dcterms:W3CDTF">2026-08-31T09:27:00Z</dcterms:created>
  <dcterms:modified xsi:type="dcterms:W3CDTF">2026-08-31T09:30:00Z</dcterms:modified>
</cp:coreProperties>
</file>