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3FF22" w14:textId="77777777" w:rsidR="00DC1F3C" w:rsidRDefault="00643EB7">
      <w:pPr>
        <w:spacing w:after="60"/>
        <w:jc w:val="center"/>
      </w:pPr>
      <w:r>
        <w:rPr>
          <w:rFonts w:ascii="Calibri" w:eastAsia="Calibri" w:hAnsi="Calibri" w:cs="Calibri"/>
          <w:b/>
          <w:bCs/>
          <w:color w:val="215E99"/>
          <w:sz w:val="44"/>
          <w:szCs w:val="44"/>
        </w:rPr>
        <w:t>Minutes of Meeting</w:t>
      </w:r>
    </w:p>
    <w:p w14:paraId="20EF9950" w14:textId="77777777" w:rsidR="00DC1F3C" w:rsidRDefault="00643EB7">
      <w:pPr>
        <w:pBdr>
          <w:bottom w:val="single" w:sz="6" w:space="8" w:color="0D6EFD"/>
        </w:pBdr>
        <w:spacing w:after="160"/>
        <w:jc w:val="center"/>
      </w:pPr>
      <w:r>
        <w:rPr>
          <w:rFonts w:ascii="Calibri" w:eastAsia="Calibri" w:hAnsi="Calibri" w:cs="Calibri"/>
          <w:i/>
          <w:iCs/>
          <w:color w:val="0B1324"/>
          <w:sz w:val="24"/>
          <w:szCs w:val="24"/>
        </w:rPr>
        <w:t>Workshop — Licensing &amp; Subscription Model (Onboarding, VSI Tiering, Commercial Models &amp; Provisioning)</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3125"/>
        <w:gridCol w:w="1700"/>
        <w:gridCol w:w="2825"/>
      </w:tblGrid>
      <w:tr w:rsidR="00DC1F3C" w14:paraId="32FF6F39" w14:textId="77777777">
        <w:tc>
          <w:tcPr>
            <w:tcW w:w="1700" w:type="dxa"/>
            <w:shd w:val="clear" w:color="auto" w:fill="E7EEFB"/>
            <w:tcMar>
              <w:top w:w="80" w:type="dxa"/>
              <w:left w:w="120" w:type="dxa"/>
              <w:bottom w:w="80" w:type="dxa"/>
              <w:right w:w="120" w:type="dxa"/>
            </w:tcMar>
            <w:vAlign w:val="center"/>
          </w:tcPr>
          <w:p w14:paraId="22D9635D" w14:textId="77777777" w:rsidR="00DC1F3C" w:rsidRDefault="00643EB7">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08C59D56" w14:textId="77777777" w:rsidR="00DC1F3C" w:rsidRDefault="00643EB7">
            <w:r>
              <w:rPr>
                <w:rFonts w:ascii="Calibri" w:eastAsia="Calibri" w:hAnsi="Calibri" w:cs="Calibri"/>
                <w:sz w:val="24"/>
                <w:szCs w:val="24"/>
              </w:rPr>
              <w:t>10-September-2026</w:t>
            </w:r>
          </w:p>
        </w:tc>
        <w:tc>
          <w:tcPr>
            <w:tcW w:w="1700" w:type="dxa"/>
            <w:shd w:val="clear" w:color="auto" w:fill="E7EEFB"/>
            <w:tcMar>
              <w:top w:w="80" w:type="dxa"/>
              <w:left w:w="120" w:type="dxa"/>
              <w:bottom w:w="80" w:type="dxa"/>
              <w:right w:w="120" w:type="dxa"/>
            </w:tcMar>
            <w:vAlign w:val="center"/>
          </w:tcPr>
          <w:p w14:paraId="2031A8B6" w14:textId="77777777" w:rsidR="00DC1F3C" w:rsidRDefault="00643EB7">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2C2217FF" w14:textId="77777777" w:rsidR="00DC1F3C" w:rsidRDefault="00643EB7">
            <w:r>
              <w:rPr>
                <w:rFonts w:ascii="Calibri" w:eastAsia="Calibri" w:hAnsi="Calibri" w:cs="Calibri"/>
                <w:sz w:val="24"/>
                <w:szCs w:val="24"/>
              </w:rPr>
              <w:t>TICVAI</w:t>
            </w:r>
          </w:p>
        </w:tc>
      </w:tr>
      <w:tr w:rsidR="00DC1F3C" w14:paraId="51A51E45" w14:textId="77777777">
        <w:tc>
          <w:tcPr>
            <w:tcW w:w="1700" w:type="dxa"/>
            <w:shd w:val="clear" w:color="auto" w:fill="E7EEFB"/>
            <w:tcMar>
              <w:top w:w="80" w:type="dxa"/>
              <w:left w:w="120" w:type="dxa"/>
              <w:bottom w:w="80" w:type="dxa"/>
              <w:right w:w="120" w:type="dxa"/>
            </w:tcMar>
            <w:vAlign w:val="center"/>
          </w:tcPr>
          <w:p w14:paraId="0C5AB288" w14:textId="77777777" w:rsidR="00DC1F3C" w:rsidRDefault="00643EB7">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0E7FB033" w14:textId="77777777" w:rsidR="00DC1F3C" w:rsidRDefault="00643EB7">
            <w:r>
              <w:rPr>
                <w:rFonts w:ascii="Calibri" w:eastAsia="Calibri" w:hAnsi="Calibri" w:cs="Calibri"/>
                <w:sz w:val="24"/>
                <w:szCs w:val="24"/>
              </w:rPr>
              <w:t>Product Workshop — Licensing &amp; Subscription Model</w:t>
            </w:r>
          </w:p>
        </w:tc>
        <w:tc>
          <w:tcPr>
            <w:tcW w:w="1700" w:type="dxa"/>
            <w:shd w:val="clear" w:color="auto" w:fill="E7EEFB"/>
            <w:tcMar>
              <w:top w:w="80" w:type="dxa"/>
              <w:left w:w="120" w:type="dxa"/>
              <w:bottom w:w="80" w:type="dxa"/>
              <w:right w:w="120" w:type="dxa"/>
            </w:tcMar>
            <w:vAlign w:val="center"/>
          </w:tcPr>
          <w:p w14:paraId="53974F1F" w14:textId="77777777" w:rsidR="00DC1F3C" w:rsidRDefault="00643EB7">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6EC333BF" w14:textId="77777777" w:rsidR="00DC1F3C" w:rsidRDefault="00643EB7">
            <w:r>
              <w:rPr>
                <w:rFonts w:ascii="Calibri" w:eastAsia="Calibri" w:hAnsi="Calibri" w:cs="Calibri"/>
                <w:sz w:val="24"/>
                <w:szCs w:val="24"/>
              </w:rPr>
              <w:t>Chitrangi Mestry</w:t>
            </w:r>
          </w:p>
        </w:tc>
      </w:tr>
    </w:tbl>
    <w:p w14:paraId="46872EE2" w14:textId="77777777" w:rsidR="00DC1F3C" w:rsidRDefault="00DC1F3C">
      <w:pPr>
        <w:spacing w:after="160"/>
      </w:pPr>
    </w:p>
    <w:p w14:paraId="4B1E6A92" w14:textId="77777777" w:rsidR="00DC1F3C" w:rsidRDefault="00643EB7">
      <w:pPr>
        <w:spacing w:before="180" w:after="100"/>
      </w:pPr>
      <w:r>
        <w:rPr>
          <w:rFonts w:ascii="Calibri" w:eastAsia="Calibri" w:hAnsi="Calibri" w:cs="Calibri"/>
          <w:b/>
          <w:bCs/>
          <w:color w:val="215E99"/>
          <w:sz w:val="32"/>
          <w:szCs w:val="32"/>
        </w:rPr>
        <w:t>Primary Objective</w:t>
      </w:r>
    </w:p>
    <w:p w14:paraId="68EB2E0A" w14:textId="77777777" w:rsidR="00DC1F3C" w:rsidRDefault="00643EB7">
      <w:pPr>
        <w:spacing w:after="120"/>
      </w:pPr>
      <w:r>
        <w:rPr>
          <w:rFonts w:ascii="Calibri" w:eastAsia="Calibri" w:hAnsi="Calibri" w:cs="Calibri"/>
          <w:color w:val="000000"/>
          <w:sz w:val="24"/>
          <w:szCs w:val="24"/>
        </w:rPr>
        <w:t>To walk through the licensing and subscription module in full — prospective-client onboarding and self-assessment, the Venue Size Index (VSI) tiering model, the range of commercial/pricing models supported, the package builder and module marketplace, customer portal access and verification, tenant provisioning and go-live, and ongoing usage tracking, billing and renewal — as a single, focused session ahead of moving to the remaining smaller modules.</w:t>
      </w:r>
    </w:p>
    <w:p w14:paraId="21522F05" w14:textId="77777777" w:rsidR="00DC1F3C" w:rsidRDefault="00643EB7">
      <w:pPr>
        <w:spacing w:before="180" w:after="100"/>
      </w:pPr>
      <w:r>
        <w:rPr>
          <w:rFonts w:ascii="Calibri" w:eastAsia="Calibri" w:hAnsi="Calibri" w:cs="Calibri"/>
          <w:b/>
          <w:bCs/>
          <w:color w:val="215E99"/>
          <w:sz w:val="32"/>
          <w:szCs w:val="32"/>
        </w:rPr>
        <w:t>Participants</w:t>
      </w:r>
    </w:p>
    <w:p w14:paraId="68E2902E" w14:textId="6A073732" w:rsidR="00DC1F3C" w:rsidRDefault="00643EB7">
      <w:pPr>
        <w:pStyle w:val="ListParagraph"/>
        <w:numPr>
          <w:ilvl w:val="0"/>
          <w:numId w:val="2"/>
        </w:numPr>
        <w:spacing w:after="70"/>
      </w:pPr>
      <w:r>
        <w:rPr>
          <w:rFonts w:ascii="Calibri" w:eastAsia="Calibri" w:hAnsi="Calibri" w:cs="Calibri"/>
          <w:sz w:val="24"/>
          <w:szCs w:val="24"/>
        </w:rPr>
        <w:t xml:space="preserve">TICVAI Team </w:t>
      </w:r>
    </w:p>
    <w:p w14:paraId="56C22BD9" w14:textId="6F327589" w:rsidR="00DC1F3C" w:rsidRDefault="00643EB7">
      <w:pPr>
        <w:pStyle w:val="ListParagraph"/>
        <w:numPr>
          <w:ilvl w:val="0"/>
          <w:numId w:val="2"/>
        </w:numPr>
        <w:spacing w:after="70"/>
      </w:pPr>
      <w:r>
        <w:rPr>
          <w:rFonts w:ascii="Calibri" w:eastAsia="Calibri" w:hAnsi="Calibri" w:cs="Calibri"/>
          <w:sz w:val="24"/>
          <w:szCs w:val="24"/>
        </w:rPr>
        <w:t xml:space="preserve">Softlabs Team </w:t>
      </w:r>
    </w:p>
    <w:p w14:paraId="7218F653" w14:textId="77777777" w:rsidR="00DC1F3C" w:rsidRDefault="00643EB7">
      <w:pPr>
        <w:spacing w:before="180" w:after="100"/>
      </w:pPr>
      <w:r>
        <w:rPr>
          <w:rFonts w:ascii="Calibri" w:eastAsia="Calibri" w:hAnsi="Calibri" w:cs="Calibri"/>
          <w:b/>
          <w:bCs/>
          <w:color w:val="215E99"/>
          <w:sz w:val="32"/>
          <w:szCs w:val="32"/>
        </w:rPr>
        <w:t>Agenda</w:t>
      </w:r>
    </w:p>
    <w:p w14:paraId="42AECDD5" w14:textId="77777777" w:rsidR="00DC1F3C" w:rsidRDefault="00643EB7">
      <w:pPr>
        <w:pStyle w:val="ListParagraph"/>
        <w:numPr>
          <w:ilvl w:val="0"/>
          <w:numId w:val="2"/>
        </w:numPr>
        <w:spacing w:after="70"/>
      </w:pPr>
      <w:r>
        <w:rPr>
          <w:rFonts w:ascii="Calibri" w:eastAsia="Calibri" w:hAnsi="Calibri" w:cs="Calibri"/>
          <w:sz w:val="24"/>
          <w:szCs w:val="24"/>
        </w:rPr>
        <w:t>Customer onboarding and self-assessment</w:t>
      </w:r>
    </w:p>
    <w:p w14:paraId="471B2BA3" w14:textId="77777777" w:rsidR="00DC1F3C" w:rsidRDefault="00643EB7">
      <w:pPr>
        <w:pStyle w:val="ListParagraph"/>
        <w:numPr>
          <w:ilvl w:val="0"/>
          <w:numId w:val="2"/>
        </w:numPr>
        <w:spacing w:after="70"/>
      </w:pPr>
      <w:r>
        <w:rPr>
          <w:rFonts w:ascii="Calibri" w:eastAsia="Calibri" w:hAnsi="Calibri" w:cs="Calibri"/>
          <w:sz w:val="24"/>
          <w:szCs w:val="24"/>
        </w:rPr>
        <w:t>Venue Size Index (VSI) model and tier threshold configuration</w:t>
      </w:r>
    </w:p>
    <w:p w14:paraId="7865DC16" w14:textId="77777777" w:rsidR="00DC1F3C" w:rsidRDefault="00643EB7">
      <w:pPr>
        <w:pStyle w:val="ListParagraph"/>
        <w:numPr>
          <w:ilvl w:val="0"/>
          <w:numId w:val="2"/>
        </w:numPr>
        <w:spacing w:after="70"/>
      </w:pPr>
      <w:r>
        <w:rPr>
          <w:rFonts w:ascii="Calibri" w:eastAsia="Calibri" w:hAnsi="Calibri" w:cs="Calibri"/>
          <w:sz w:val="24"/>
          <w:szCs w:val="24"/>
        </w:rPr>
        <w:t>Subscription tiers, allowances and usage thresholds</w:t>
      </w:r>
    </w:p>
    <w:p w14:paraId="76B929F5" w14:textId="77777777" w:rsidR="00DC1F3C" w:rsidRDefault="00643EB7">
      <w:pPr>
        <w:pStyle w:val="ListParagraph"/>
        <w:numPr>
          <w:ilvl w:val="0"/>
          <w:numId w:val="2"/>
        </w:numPr>
        <w:spacing w:after="70"/>
      </w:pPr>
      <w:r>
        <w:rPr>
          <w:rFonts w:ascii="Calibri" w:eastAsia="Calibri" w:hAnsi="Calibri" w:cs="Calibri"/>
          <w:sz w:val="24"/>
          <w:szCs w:val="24"/>
        </w:rPr>
        <w:t>Commercial and licensing pricing models</w:t>
      </w:r>
    </w:p>
    <w:p w14:paraId="388B807C" w14:textId="77777777" w:rsidR="00DC1F3C" w:rsidRDefault="00643EB7">
      <w:pPr>
        <w:pStyle w:val="ListParagraph"/>
        <w:numPr>
          <w:ilvl w:val="0"/>
          <w:numId w:val="2"/>
        </w:numPr>
        <w:spacing w:after="70"/>
      </w:pPr>
      <w:r>
        <w:rPr>
          <w:rFonts w:ascii="Calibri" w:eastAsia="Calibri" w:hAnsi="Calibri" w:cs="Calibri"/>
          <w:sz w:val="24"/>
          <w:szCs w:val="24"/>
        </w:rPr>
        <w:t>Per-ticket billing for self-hosted/offline clients</w:t>
      </w:r>
    </w:p>
    <w:p w14:paraId="5ACCDEDA" w14:textId="77777777" w:rsidR="00DC1F3C" w:rsidRDefault="00643EB7">
      <w:pPr>
        <w:pStyle w:val="ListParagraph"/>
        <w:numPr>
          <w:ilvl w:val="0"/>
          <w:numId w:val="2"/>
        </w:numPr>
        <w:spacing w:after="70"/>
      </w:pPr>
      <w:r>
        <w:rPr>
          <w:rFonts w:ascii="Calibri" w:eastAsia="Calibri" w:hAnsi="Calibri" w:cs="Calibri"/>
          <w:sz w:val="24"/>
          <w:szCs w:val="24"/>
        </w:rPr>
        <w:t>Minimum guarantee rationale</w:t>
      </w:r>
    </w:p>
    <w:p w14:paraId="008E27D1" w14:textId="77777777" w:rsidR="00DC1F3C" w:rsidRDefault="00643EB7">
      <w:pPr>
        <w:pStyle w:val="ListParagraph"/>
        <w:numPr>
          <w:ilvl w:val="0"/>
          <w:numId w:val="2"/>
        </w:numPr>
        <w:spacing w:after="70"/>
      </w:pPr>
      <w:r>
        <w:rPr>
          <w:rFonts w:ascii="Calibri" w:eastAsia="Calibri" w:hAnsi="Calibri" w:cs="Calibri"/>
          <w:sz w:val="24"/>
          <w:szCs w:val="24"/>
        </w:rPr>
        <w:t>Package builder and module marketplace</w:t>
      </w:r>
    </w:p>
    <w:p w14:paraId="689A2F80" w14:textId="77777777" w:rsidR="00DC1F3C" w:rsidRDefault="00643EB7">
      <w:pPr>
        <w:pStyle w:val="ListParagraph"/>
        <w:numPr>
          <w:ilvl w:val="0"/>
          <w:numId w:val="2"/>
        </w:numPr>
        <w:spacing w:after="70"/>
      </w:pPr>
      <w:r>
        <w:rPr>
          <w:rFonts w:ascii="Calibri" w:eastAsia="Calibri" w:hAnsi="Calibri" w:cs="Calibri"/>
          <w:sz w:val="24"/>
          <w:szCs w:val="24"/>
        </w:rPr>
        <w:t>Customer portal access, authentication and verification</w:t>
      </w:r>
    </w:p>
    <w:p w14:paraId="7E1D32A4" w14:textId="77777777" w:rsidR="00DC1F3C" w:rsidRDefault="00643EB7">
      <w:pPr>
        <w:pStyle w:val="ListParagraph"/>
        <w:numPr>
          <w:ilvl w:val="0"/>
          <w:numId w:val="2"/>
        </w:numPr>
        <w:spacing w:after="70"/>
      </w:pPr>
      <w:r>
        <w:rPr>
          <w:rFonts w:ascii="Calibri" w:eastAsia="Calibri" w:hAnsi="Calibri" w:cs="Calibri"/>
          <w:sz w:val="24"/>
          <w:szCs w:val="24"/>
        </w:rPr>
        <w:t>Sales-assisted vs. self-service segmentation philosophy</w:t>
      </w:r>
    </w:p>
    <w:p w14:paraId="412CAD85" w14:textId="77777777" w:rsidR="00DC1F3C" w:rsidRDefault="00643EB7">
      <w:pPr>
        <w:pStyle w:val="ListParagraph"/>
        <w:numPr>
          <w:ilvl w:val="0"/>
          <w:numId w:val="2"/>
        </w:numPr>
        <w:spacing w:after="70"/>
      </w:pPr>
      <w:r>
        <w:rPr>
          <w:rFonts w:ascii="Calibri" w:eastAsia="Calibri" w:hAnsi="Calibri" w:cs="Calibri"/>
          <w:sz w:val="24"/>
          <w:szCs w:val="24"/>
        </w:rPr>
        <w:t>Purchase agreement, billing terms and trial/demo environment</w:t>
      </w:r>
    </w:p>
    <w:p w14:paraId="6A09AF8A" w14:textId="77777777" w:rsidR="00DC1F3C" w:rsidRDefault="00643EB7">
      <w:pPr>
        <w:pStyle w:val="ListParagraph"/>
        <w:numPr>
          <w:ilvl w:val="0"/>
          <w:numId w:val="2"/>
        </w:numPr>
        <w:spacing w:after="70"/>
      </w:pPr>
      <w:r>
        <w:rPr>
          <w:rFonts w:ascii="Calibri" w:eastAsia="Calibri" w:hAnsi="Calibri" w:cs="Calibri"/>
          <w:sz w:val="24"/>
          <w:szCs w:val="24"/>
        </w:rPr>
        <w:t>Demo environment scope</w:t>
      </w:r>
    </w:p>
    <w:p w14:paraId="10A03460" w14:textId="77777777" w:rsidR="00DC1F3C" w:rsidRDefault="00643EB7">
      <w:pPr>
        <w:pStyle w:val="ListParagraph"/>
        <w:numPr>
          <w:ilvl w:val="0"/>
          <w:numId w:val="2"/>
        </w:numPr>
        <w:spacing w:after="70"/>
      </w:pPr>
      <w:r>
        <w:rPr>
          <w:rFonts w:ascii="Calibri" w:eastAsia="Calibri" w:hAnsi="Calibri" w:cs="Calibri"/>
          <w:sz w:val="24"/>
          <w:szCs w:val="24"/>
        </w:rPr>
        <w:t>Tenant provisioning and go-live setup</w:t>
      </w:r>
    </w:p>
    <w:p w14:paraId="6D060849" w14:textId="77777777" w:rsidR="00DC1F3C" w:rsidRDefault="00643EB7">
      <w:pPr>
        <w:pStyle w:val="ListParagraph"/>
        <w:numPr>
          <w:ilvl w:val="0"/>
          <w:numId w:val="2"/>
        </w:numPr>
        <w:spacing w:after="70"/>
      </w:pPr>
      <w:r>
        <w:rPr>
          <w:rFonts w:ascii="Calibri" w:eastAsia="Calibri" w:hAnsi="Calibri" w:cs="Calibri"/>
          <w:sz w:val="24"/>
          <w:szCs w:val="24"/>
        </w:rPr>
        <w:t>Pre-production to production configuration promotion</w:t>
      </w:r>
    </w:p>
    <w:p w14:paraId="1B78C851" w14:textId="77777777" w:rsidR="00DC1F3C" w:rsidRDefault="00643EB7">
      <w:pPr>
        <w:pStyle w:val="ListParagraph"/>
        <w:numPr>
          <w:ilvl w:val="0"/>
          <w:numId w:val="2"/>
        </w:numPr>
        <w:spacing w:after="70"/>
      </w:pPr>
      <w:r>
        <w:rPr>
          <w:rFonts w:ascii="Calibri" w:eastAsia="Calibri" w:hAnsi="Calibri" w:cs="Calibri"/>
          <w:sz w:val="24"/>
          <w:szCs w:val="24"/>
        </w:rPr>
        <w:t>Go-live readiness validation</w:t>
      </w:r>
    </w:p>
    <w:p w14:paraId="03A97F35" w14:textId="77777777" w:rsidR="00DC1F3C" w:rsidRDefault="00643EB7">
      <w:pPr>
        <w:pStyle w:val="ListParagraph"/>
        <w:numPr>
          <w:ilvl w:val="0"/>
          <w:numId w:val="2"/>
        </w:numPr>
        <w:spacing w:after="70"/>
      </w:pPr>
      <w:r>
        <w:rPr>
          <w:rFonts w:ascii="Calibri" w:eastAsia="Calibri" w:hAnsi="Calibri" w:cs="Calibri"/>
          <w:sz w:val="24"/>
          <w:szCs w:val="24"/>
        </w:rPr>
        <w:t>Usage and commercial consumption tracking</w:t>
      </w:r>
    </w:p>
    <w:p w14:paraId="1881B513" w14:textId="77777777" w:rsidR="00DC1F3C" w:rsidRDefault="00643EB7">
      <w:pPr>
        <w:pStyle w:val="ListParagraph"/>
        <w:numPr>
          <w:ilvl w:val="0"/>
          <w:numId w:val="2"/>
        </w:numPr>
        <w:spacing w:after="70"/>
      </w:pPr>
      <w:r>
        <w:rPr>
          <w:rFonts w:ascii="Calibri" w:eastAsia="Calibri" w:hAnsi="Calibri" w:cs="Calibri"/>
          <w:sz w:val="24"/>
          <w:szCs w:val="24"/>
        </w:rPr>
        <w:t>Billing, reconciliation and renewal</w:t>
      </w:r>
    </w:p>
    <w:p w14:paraId="430C62CF" w14:textId="77777777" w:rsidR="00DC1F3C" w:rsidRDefault="00643EB7">
      <w:pPr>
        <w:pStyle w:val="ListParagraph"/>
        <w:numPr>
          <w:ilvl w:val="0"/>
          <w:numId w:val="2"/>
        </w:numPr>
        <w:spacing w:after="70"/>
      </w:pPr>
      <w:r>
        <w:rPr>
          <w:rFonts w:ascii="Calibri" w:eastAsia="Calibri" w:hAnsi="Calibri" w:cs="Calibri"/>
          <w:sz w:val="24"/>
          <w:szCs w:val="24"/>
        </w:rPr>
        <w:t>Licensing command center overview</w:t>
      </w:r>
    </w:p>
    <w:p w14:paraId="4D376EEC" w14:textId="77777777" w:rsidR="00DC1F3C" w:rsidRDefault="00643EB7">
      <w:pPr>
        <w:pStyle w:val="ListParagraph"/>
        <w:numPr>
          <w:ilvl w:val="0"/>
          <w:numId w:val="2"/>
        </w:numPr>
        <w:spacing w:after="70"/>
      </w:pPr>
      <w:r>
        <w:rPr>
          <w:rFonts w:ascii="Calibri" w:eastAsia="Calibri" w:hAnsi="Calibri" w:cs="Calibri"/>
          <w:sz w:val="24"/>
          <w:szCs w:val="24"/>
        </w:rPr>
        <w:t>Other discussion — AI billing, infrastructure monitoring scope, and POS feedback</w:t>
      </w:r>
    </w:p>
    <w:p w14:paraId="62A737C3" w14:textId="77777777" w:rsidR="00DC1F3C" w:rsidRDefault="00643EB7">
      <w:pPr>
        <w:pStyle w:val="ListParagraph"/>
        <w:numPr>
          <w:ilvl w:val="0"/>
          <w:numId w:val="2"/>
        </w:numPr>
        <w:spacing w:after="70"/>
      </w:pPr>
      <w:r>
        <w:rPr>
          <w:rFonts w:ascii="Calibri" w:eastAsia="Calibri" w:hAnsi="Calibri" w:cs="Calibri"/>
          <w:sz w:val="24"/>
          <w:szCs w:val="24"/>
        </w:rPr>
        <w:t>Planning for upcoming sessions</w:t>
      </w:r>
    </w:p>
    <w:p w14:paraId="4413207C" w14:textId="77777777" w:rsidR="00DC1F3C" w:rsidRDefault="00643EB7">
      <w:pPr>
        <w:spacing w:before="180" w:after="100"/>
      </w:pPr>
      <w:r>
        <w:rPr>
          <w:rFonts w:ascii="Calibri" w:eastAsia="Calibri" w:hAnsi="Calibri" w:cs="Calibri"/>
          <w:b/>
          <w:bCs/>
          <w:color w:val="215E99"/>
          <w:sz w:val="32"/>
          <w:szCs w:val="32"/>
        </w:rPr>
        <w:t>4. Detailed Discussion</w:t>
      </w:r>
    </w:p>
    <w:p w14:paraId="2CD21D6C" w14:textId="77777777" w:rsidR="00DC1F3C" w:rsidRDefault="00643EB7">
      <w:pPr>
        <w:spacing w:before="140" w:after="60"/>
      </w:pPr>
      <w:r>
        <w:rPr>
          <w:rFonts w:ascii="Calibri" w:eastAsia="Calibri" w:hAnsi="Calibri" w:cs="Calibri"/>
          <w:b/>
          <w:bCs/>
          <w:color w:val="215E99"/>
          <w:sz w:val="32"/>
          <w:szCs w:val="32"/>
        </w:rPr>
        <w:t>4.1 Customer Onboarding &amp; Self-Assessment</w:t>
      </w:r>
    </w:p>
    <w:p w14:paraId="13BF930D" w14:textId="77777777" w:rsidR="00DC1F3C" w:rsidRDefault="00643EB7">
      <w:pPr>
        <w:pStyle w:val="ListParagraph"/>
        <w:numPr>
          <w:ilvl w:val="0"/>
          <w:numId w:val="2"/>
        </w:numPr>
        <w:spacing w:after="70"/>
      </w:pPr>
      <w:r>
        <w:rPr>
          <w:rFonts w:ascii="Calibri" w:eastAsia="Calibri" w:hAnsi="Calibri" w:cs="Calibri"/>
          <w:sz w:val="24"/>
          <w:szCs w:val="24"/>
        </w:rPr>
        <w:t>Allam explained the module would be walked through starting from customer onboarding rather than the overview board, since the overview board would be difficult to understand without first seeing how a prospective client's data is captured.</w:t>
      </w:r>
    </w:p>
    <w:p w14:paraId="377912E5" w14:textId="77777777" w:rsidR="00DC1F3C" w:rsidRDefault="00643EB7">
      <w:pPr>
        <w:pStyle w:val="ListParagraph"/>
        <w:numPr>
          <w:ilvl w:val="0"/>
          <w:numId w:val="2"/>
        </w:numPr>
        <w:spacing w:after="70"/>
      </w:pPr>
      <w:r>
        <w:rPr>
          <w:rFonts w:ascii="Calibri" w:eastAsia="Calibri" w:hAnsi="Calibri" w:cs="Calibri"/>
          <w:sz w:val="24"/>
          <w:szCs w:val="24"/>
        </w:rPr>
        <w:t>A prospective client starts via a link on the TICVAI website, entering an onboarding flow that asks a structured set of questions to assess their needs: organization details (venue name, industry, attraction type, currency, region/country, contact details, business type — private, semi-government, non-profit), operating model (attraction, museum, park, event, etc.), visitor capacity and operational scale (expected annual/monthly visitors, venue capacity, entrances/exits, number of POS and access-control points, user count, estimated transaction volume, growth forecast), sales channels of interest (online, on-site, B2C, B2B/OTA, with associated volume estimates), product/module types they plan to sell (general admission, seat-based, resource management, events, memberships, wallet, etc.), guest access/validation methods, additional modules needed (F&amp;B, retail, membership/CRM, etc.), and any specific payment gateway/device integration requirements (selecting from a supported list or specifying an unlisted provider).</w:t>
      </w:r>
    </w:p>
    <w:p w14:paraId="3AD6A55F" w14:textId="77777777" w:rsidR="00DC1F3C" w:rsidRDefault="00643EB7">
      <w:pPr>
        <w:pStyle w:val="ListParagraph"/>
        <w:numPr>
          <w:ilvl w:val="0"/>
          <w:numId w:val="2"/>
        </w:numPr>
        <w:spacing w:after="70"/>
      </w:pPr>
      <w:r>
        <w:rPr>
          <w:rFonts w:ascii="Calibri" w:eastAsia="Calibri" w:hAnsi="Calibri" w:cs="Calibri"/>
          <w:sz w:val="24"/>
          <w:szCs w:val="24"/>
        </w:rPr>
        <w:t>Once reviewed, the prospect submits the assessment, which becomes the basis for the system's proposed commercial/licensing model.</w:t>
      </w:r>
    </w:p>
    <w:p w14:paraId="5793009B" w14:textId="77777777" w:rsidR="00DC1F3C" w:rsidRDefault="00643EB7">
      <w:pPr>
        <w:spacing w:before="140" w:after="60"/>
      </w:pPr>
      <w:r>
        <w:rPr>
          <w:rFonts w:ascii="Calibri" w:eastAsia="Calibri" w:hAnsi="Calibri" w:cs="Calibri"/>
          <w:b/>
          <w:bCs/>
          <w:color w:val="215E99"/>
          <w:sz w:val="32"/>
          <w:szCs w:val="32"/>
        </w:rPr>
        <w:t>4.2 Venue Size Index (VSI) Model &amp; Tier Threshold Configuration</w:t>
      </w:r>
    </w:p>
    <w:p w14:paraId="3D8B2502" w14:textId="77777777" w:rsidR="00DC1F3C" w:rsidRDefault="00643EB7">
      <w:pPr>
        <w:pStyle w:val="ListParagraph"/>
        <w:numPr>
          <w:ilvl w:val="0"/>
          <w:numId w:val="2"/>
        </w:numPr>
        <w:spacing w:after="70"/>
      </w:pPr>
      <w:r>
        <w:rPr>
          <w:rFonts w:ascii="Calibri" w:eastAsia="Calibri" w:hAnsi="Calibri" w:cs="Calibri"/>
          <w:b/>
          <w:bCs/>
          <w:sz w:val="24"/>
          <w:szCs w:val="24"/>
        </w:rPr>
        <w:t xml:space="preserve">VSI (Venue Size Index): </w:t>
      </w:r>
      <w:r>
        <w:rPr>
          <w:rFonts w:ascii="Calibri" w:eastAsia="Calibri" w:hAnsi="Calibri" w:cs="Calibri"/>
          <w:sz w:val="24"/>
          <w:szCs w:val="24"/>
        </w:rPr>
        <w:t>a composite score built from weighted factors captured during onboarding — annual attendance (illustrated at roughly 30% weight), number of POS terminals, number of access-control devices, number of venues, user count, and annual transaction volume — each factor configurable as mandatory or optional in the backend.</w:t>
      </w:r>
    </w:p>
    <w:p w14:paraId="1E178A61" w14:textId="77777777" w:rsidR="00DC1F3C" w:rsidRDefault="00643EB7">
      <w:pPr>
        <w:pStyle w:val="ListParagraph"/>
        <w:numPr>
          <w:ilvl w:val="0"/>
          <w:numId w:val="2"/>
        </w:numPr>
        <w:spacing w:after="70"/>
      </w:pPr>
      <w:r>
        <w:rPr>
          <w:rFonts w:ascii="Calibri" w:eastAsia="Calibri" w:hAnsi="Calibri" w:cs="Calibri"/>
          <w:sz w:val="24"/>
          <w:szCs w:val="24"/>
        </w:rPr>
        <w:t>Tier threshold configuration maps VSI score ranges to tiers — illustrated as 0–30 Essential, 31–60 Professional, 61–80 Enterprise, 81–100 Enterprise Plus — with sub-thresholds also configurable per factor (e.g., annual attendance of 100–100,000 scores 10 points, 100,000–500,000 scores 40, and so on). Based on the prospect's submitted data, the system calculates a VSI score and recommends the corresponding tier automatically.</w:t>
      </w:r>
    </w:p>
    <w:p w14:paraId="08247E1D" w14:textId="77777777" w:rsidR="00DC1F3C" w:rsidRDefault="00643EB7">
      <w:pPr>
        <w:spacing w:before="140" w:after="60"/>
      </w:pPr>
      <w:r>
        <w:rPr>
          <w:rFonts w:ascii="Calibri" w:eastAsia="Calibri" w:hAnsi="Calibri" w:cs="Calibri"/>
          <w:b/>
          <w:bCs/>
          <w:color w:val="215E99"/>
          <w:sz w:val="32"/>
          <w:szCs w:val="32"/>
        </w:rPr>
        <w:t>4.3 Subscription Tiers, Allowances &amp; Usage Thresholds</w:t>
      </w:r>
    </w:p>
    <w:p w14:paraId="7B06CDF6" w14:textId="77777777" w:rsidR="00DC1F3C" w:rsidRDefault="00643EB7">
      <w:pPr>
        <w:pStyle w:val="ListParagraph"/>
        <w:numPr>
          <w:ilvl w:val="0"/>
          <w:numId w:val="2"/>
        </w:numPr>
        <w:spacing w:after="70"/>
      </w:pPr>
      <w:r>
        <w:rPr>
          <w:rFonts w:ascii="Calibri" w:eastAsia="Calibri" w:hAnsi="Calibri" w:cs="Calibri"/>
          <w:sz w:val="24"/>
          <w:szCs w:val="24"/>
        </w:rPr>
        <w:t>Each tier carries its own pricing, payable monthly, annually, or in advance (cheque/bank transfer), with a configurable trial period.</w:t>
      </w:r>
    </w:p>
    <w:p w14:paraId="4F1855BF" w14:textId="77777777" w:rsidR="00DC1F3C" w:rsidRDefault="00643EB7">
      <w:pPr>
        <w:pStyle w:val="ListParagraph"/>
        <w:numPr>
          <w:ilvl w:val="0"/>
          <w:numId w:val="2"/>
        </w:numPr>
        <w:spacing w:after="70"/>
      </w:pPr>
      <w:r>
        <w:rPr>
          <w:rFonts w:ascii="Calibri" w:eastAsia="Calibri" w:hAnsi="Calibri" w:cs="Calibri"/>
          <w:sz w:val="24"/>
          <w:szCs w:val="24"/>
        </w:rPr>
        <w:t>Tier-included allowances define usage ranges included at no extra cost — e.g., a Professional tier might include up to 10 POS devices and 20 users; the price stays the same whether the client uses 5 or 10 devices within that included range.</w:t>
      </w:r>
    </w:p>
    <w:p w14:paraId="739E5221" w14:textId="77777777" w:rsidR="00DC1F3C" w:rsidRDefault="00643EB7">
      <w:pPr>
        <w:pStyle w:val="ListParagraph"/>
        <w:numPr>
          <w:ilvl w:val="0"/>
          <w:numId w:val="2"/>
        </w:numPr>
        <w:spacing w:after="70"/>
      </w:pPr>
      <w:r>
        <w:rPr>
          <w:rFonts w:ascii="Calibri" w:eastAsia="Calibri" w:hAnsi="Calibri" w:cs="Calibri"/>
          <w:sz w:val="24"/>
          <w:szCs w:val="24"/>
        </w:rPr>
        <w:t>A configurable warning threshold (e.g., 80% of an included allowance) triggers a notification to both the customer and TICVAI, ahead of a client exceeding their included usage.</w:t>
      </w:r>
    </w:p>
    <w:p w14:paraId="1BC1C2B6" w14:textId="77777777" w:rsidR="00DC1F3C" w:rsidRDefault="00643EB7">
      <w:pPr>
        <w:spacing w:before="140" w:after="60"/>
      </w:pPr>
      <w:r>
        <w:rPr>
          <w:rFonts w:ascii="Calibri" w:eastAsia="Calibri" w:hAnsi="Calibri" w:cs="Calibri"/>
          <w:b/>
          <w:bCs/>
          <w:color w:val="215E99"/>
          <w:sz w:val="32"/>
          <w:szCs w:val="32"/>
        </w:rPr>
        <w:t>4.4 Commercial &amp; Licensing Pricing Models</w:t>
      </w:r>
    </w:p>
    <w:p w14:paraId="73578A5E" w14:textId="77777777" w:rsidR="00DC1F3C" w:rsidRDefault="00643EB7">
      <w:pPr>
        <w:pStyle w:val="ListParagraph"/>
        <w:numPr>
          <w:ilvl w:val="0"/>
          <w:numId w:val="2"/>
        </w:numPr>
        <w:spacing w:after="70"/>
      </w:pPr>
      <w:r>
        <w:rPr>
          <w:rFonts w:ascii="Calibri" w:eastAsia="Calibri" w:hAnsi="Calibri" w:cs="Calibri"/>
          <w:b/>
          <w:bCs/>
          <w:sz w:val="24"/>
          <w:szCs w:val="24"/>
        </w:rPr>
        <w:t xml:space="preserve">Multiple commercial models are supported, and can be combined (hybrid): </w:t>
      </w:r>
      <w:r>
        <w:rPr>
          <w:rFonts w:ascii="Calibri" w:eastAsia="Calibri" w:hAnsi="Calibri" w:cs="Calibri"/>
          <w:sz w:val="24"/>
          <w:szCs w:val="24"/>
        </w:rPr>
        <w:t>(1) tier-based — a flat fee for the assigned tier regardless of actual usage; (2) tier plus usage — a base tier subscription plus additional charges if usage (e.g., transactions or tickets sold) exceeds the tier's included allowance; (3) per-ticket — an agreed rate charged per ticket sold, with configurable inclusion/exclusion rules (e.g., complimentary tickets, voided tickets, and refunds excluded from the billable count); (4) per-transaction — a flat rate charged per completed transaction regardless of how many items it contains; (5) percentage-based — a revenue-share percentage of the client's transaction value; (6) minimum guarantee — a floor payment owed regardless of actual sales performance; (7) hybrid — any combination of the above; and (8) fixed contract — a fixed total fee agreed for a multi-year term (e.g., a set amount over three years).</w:t>
      </w:r>
    </w:p>
    <w:p w14:paraId="00643894" w14:textId="77777777" w:rsidR="00DC1F3C" w:rsidRDefault="00643EB7">
      <w:pPr>
        <w:pStyle w:val="ListParagraph"/>
        <w:numPr>
          <w:ilvl w:val="0"/>
          <w:numId w:val="2"/>
        </w:numPr>
        <w:spacing w:after="70"/>
      </w:pPr>
      <w:r>
        <w:rPr>
          <w:rFonts w:ascii="Calibri" w:eastAsia="Calibri" w:hAnsi="Calibri" w:cs="Calibri"/>
          <w:sz w:val="24"/>
          <w:szCs w:val="24"/>
        </w:rPr>
        <w:t>Billable/excludable ticket rules and minimum-guarantee enforcement are configured together with overage pricing (the rate charged once a client exceeds their included usage); a commercial model simulator lets a proposed model be tested and validated before being assigned to a specific customer.</w:t>
      </w:r>
    </w:p>
    <w:p w14:paraId="1FDB4622" w14:textId="77777777" w:rsidR="00DC1F3C" w:rsidRDefault="00643EB7">
      <w:pPr>
        <w:spacing w:before="140" w:after="60"/>
      </w:pPr>
      <w:r>
        <w:rPr>
          <w:rFonts w:ascii="Calibri" w:eastAsia="Calibri" w:hAnsi="Calibri" w:cs="Calibri"/>
          <w:b/>
          <w:bCs/>
          <w:color w:val="215E99"/>
          <w:sz w:val="32"/>
          <w:szCs w:val="32"/>
        </w:rPr>
        <w:t>4.5 Per-Ticket Billing for Self-Hosted/Offline Clients</w:t>
      </w:r>
    </w:p>
    <w:p w14:paraId="3A1E3AF4" w14:textId="77777777" w:rsidR="00DC1F3C" w:rsidRDefault="00643EB7">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whether per-ticket billing remains viable for a client running the solution entirely on their own private infrastructure/offline, where TICVAI cannot directly meter live usage.</w:t>
      </w:r>
    </w:p>
    <w:p w14:paraId="34C87823" w14:textId="77777777" w:rsidR="00DC1F3C" w:rsidRDefault="00643EB7">
      <w:pPr>
        <w:pStyle w:val="ListParagraph"/>
        <w:numPr>
          <w:ilvl w:val="0"/>
          <w:numId w:val="2"/>
        </w:numPr>
        <w:spacing w:after="70"/>
      </w:pPr>
      <w:r>
        <w:rPr>
          <w:rFonts w:ascii="Calibri" w:eastAsia="Calibri" w:hAnsi="Calibri" w:cs="Calibri"/>
          <w:b/>
          <w:bCs/>
          <w:sz w:val="24"/>
          <w:szCs w:val="24"/>
        </w:rPr>
        <w:t xml:space="preserve">Confirmed (Qossai): </w:t>
      </w:r>
      <w:r>
        <w:rPr>
          <w:rFonts w:ascii="Calibri" w:eastAsia="Calibri" w:hAnsi="Calibri" w:cs="Calibri"/>
          <w:sz w:val="24"/>
          <w:szCs w:val="24"/>
        </w:rPr>
        <w:t>yes — handled contractually via monthly usage reporting rather than live metering. Where TICVAI's team has ongoing support access to the client's environment, usage reports can be generated directly (manually or automatically); otherwise, the client submits monthly sales reports themselves, and TICVAI invoices based on those figures. Qossai confirmed this is an established practice already used with several existing self-hosted clients.</w:t>
      </w:r>
    </w:p>
    <w:p w14:paraId="09B593DC" w14:textId="77777777" w:rsidR="00DC1F3C" w:rsidRDefault="00643EB7">
      <w:pPr>
        <w:spacing w:before="140" w:after="60"/>
      </w:pPr>
      <w:r>
        <w:rPr>
          <w:rFonts w:ascii="Calibri" w:eastAsia="Calibri" w:hAnsi="Calibri" w:cs="Calibri"/>
          <w:b/>
          <w:bCs/>
          <w:color w:val="215E99"/>
          <w:sz w:val="32"/>
          <w:szCs w:val="32"/>
        </w:rPr>
        <w:t>4.6 Minimum Guarantee Rationale</w:t>
      </w:r>
    </w:p>
    <w:p w14:paraId="15F61ACB" w14:textId="77777777" w:rsidR="00DC1F3C" w:rsidRDefault="00643EB7">
      <w:pPr>
        <w:pStyle w:val="ListParagraph"/>
        <w:numPr>
          <w:ilvl w:val="0"/>
          <w:numId w:val="2"/>
        </w:numPr>
        <w:spacing w:after="70"/>
      </w:pPr>
      <w:r>
        <w:rPr>
          <w:rFonts w:ascii="Calibri" w:eastAsia="Calibri" w:hAnsi="Calibri" w:cs="Calibri"/>
          <w:b/>
          <w:bCs/>
          <w:sz w:val="24"/>
          <w:szCs w:val="24"/>
        </w:rPr>
        <w:t xml:space="preserve">Explained (Qossai): </w:t>
      </w:r>
      <w:r>
        <w:rPr>
          <w:rFonts w:ascii="Calibri" w:eastAsia="Calibri" w:hAnsi="Calibri" w:cs="Calibri"/>
          <w:sz w:val="24"/>
          <w:szCs w:val="24"/>
        </w:rPr>
        <w:t>the minimum guarantee exists primarily to cover TICVAI's own upfront costs on a deal — e.g., providing POS hardware, handheld devices, or on-site scanning resources for a client — ensuring TICVAI at least recovers its cost even if the client's actual sales fall short of expectations.</w:t>
      </w:r>
    </w:p>
    <w:p w14:paraId="1D6E963F" w14:textId="77777777" w:rsidR="00DC1F3C" w:rsidRDefault="00643EB7">
      <w:pPr>
        <w:pStyle w:val="ListParagraph"/>
        <w:numPr>
          <w:ilvl w:val="0"/>
          <w:numId w:val="2"/>
        </w:numPr>
        <w:spacing w:after="70"/>
      </w:pPr>
      <w:r>
        <w:rPr>
          <w:rFonts w:ascii="Calibri" w:eastAsia="Calibri" w:hAnsi="Calibri" w:cs="Calibri"/>
          <w:b/>
          <w:bCs/>
          <w:sz w:val="24"/>
          <w:szCs w:val="24"/>
        </w:rPr>
        <w:t xml:space="preserve">Added (Allam): </w:t>
      </w:r>
      <w:r>
        <w:rPr>
          <w:rFonts w:ascii="Calibri" w:eastAsia="Calibri" w:hAnsi="Calibri" w:cs="Calibri"/>
          <w:sz w:val="24"/>
          <w:szCs w:val="24"/>
        </w:rPr>
        <w:t>reinforced this covers both hardware cost and the risk of a client's business performing below expectations under a pure per-ticket/per-transaction model; a minimum guarantee is typically agreed for a fixed term (e.g., one or two years) as part of the contract.</w:t>
      </w:r>
    </w:p>
    <w:p w14:paraId="3686A0B7" w14:textId="77777777" w:rsidR="00DC1F3C" w:rsidRDefault="00643EB7">
      <w:pPr>
        <w:spacing w:before="140" w:after="60"/>
      </w:pPr>
      <w:r>
        <w:rPr>
          <w:rFonts w:ascii="Calibri" w:eastAsia="Calibri" w:hAnsi="Calibri" w:cs="Calibri"/>
          <w:b/>
          <w:bCs/>
          <w:color w:val="215E99"/>
          <w:sz w:val="32"/>
          <w:szCs w:val="32"/>
        </w:rPr>
        <w:t>4.7 Package Builder &amp; Module Marketplace</w:t>
      </w:r>
    </w:p>
    <w:p w14:paraId="65D05E4D" w14:textId="77777777" w:rsidR="00DC1F3C" w:rsidRDefault="00643EB7">
      <w:pPr>
        <w:pStyle w:val="ListParagraph"/>
        <w:numPr>
          <w:ilvl w:val="0"/>
          <w:numId w:val="2"/>
        </w:numPr>
        <w:spacing w:after="70"/>
      </w:pPr>
      <w:r>
        <w:rPr>
          <w:rFonts w:ascii="Calibri" w:eastAsia="Calibri" w:hAnsi="Calibri" w:cs="Calibri"/>
          <w:sz w:val="24"/>
          <w:szCs w:val="24"/>
        </w:rPr>
        <w:t>Based on the onboarding data, the system proposes a recommended commercial model and tier package (illustrated with an example: a museum recommended for a per-ticket-plus-minimum-guarantee model).</w:t>
      </w:r>
    </w:p>
    <w:p w14:paraId="05BE974D" w14:textId="77777777" w:rsidR="00DC1F3C" w:rsidRDefault="00643EB7">
      <w:pPr>
        <w:pStyle w:val="ListParagraph"/>
        <w:numPr>
          <w:ilvl w:val="0"/>
          <w:numId w:val="2"/>
        </w:numPr>
        <w:spacing w:after="70"/>
      </w:pPr>
      <w:r>
        <w:rPr>
          <w:rFonts w:ascii="Calibri" w:eastAsia="Calibri" w:hAnsi="Calibri" w:cs="Calibri"/>
          <w:sz w:val="24"/>
          <w:szCs w:val="24"/>
        </w:rPr>
        <w:t>A module marketplace lists optional add-on modules (B2C, B2B, mobile app, virtual queue, CRM, seat management, etc.), with AI-driven recommendations based on the client's stated needs (e.g., recommending virtual queue if queue management was flagged as a requirement).</w:t>
      </w:r>
    </w:p>
    <w:p w14:paraId="7BBF2AF4" w14:textId="77777777" w:rsidR="00DC1F3C" w:rsidRDefault="00643EB7">
      <w:pPr>
        <w:pStyle w:val="ListParagraph"/>
        <w:numPr>
          <w:ilvl w:val="0"/>
          <w:numId w:val="2"/>
        </w:numPr>
        <w:spacing w:after="70"/>
      </w:pPr>
      <w:r>
        <w:rPr>
          <w:rFonts w:ascii="Calibri" w:eastAsia="Calibri" w:hAnsi="Calibri" w:cs="Calibri"/>
          <w:b/>
          <w:bCs/>
          <w:sz w:val="24"/>
          <w:szCs w:val="24"/>
        </w:rPr>
        <w:t xml:space="preserve">Module dependency logic: </w:t>
      </w:r>
      <w:r>
        <w:rPr>
          <w:rFonts w:ascii="Calibri" w:eastAsia="Calibri" w:hAnsi="Calibri" w:cs="Calibri"/>
          <w:sz w:val="24"/>
          <w:szCs w:val="24"/>
        </w:rPr>
        <w:t>the system checks compatibility between selected modules before allowing certain combinations — e.g., flagging that an online/B2C module should be included before enabling virtual queue, since virtual queue depends on it.</w:t>
      </w:r>
    </w:p>
    <w:p w14:paraId="6FDFC581" w14:textId="77777777" w:rsidR="00DC1F3C" w:rsidRDefault="00643EB7">
      <w:pPr>
        <w:pStyle w:val="ListParagraph"/>
        <w:numPr>
          <w:ilvl w:val="0"/>
          <w:numId w:val="2"/>
        </w:numPr>
        <w:spacing w:after="70"/>
      </w:pPr>
      <w:r>
        <w:rPr>
          <w:rFonts w:ascii="Calibri" w:eastAsia="Calibri" w:hAnsi="Calibri" w:cs="Calibri"/>
          <w:b/>
          <w:bCs/>
          <w:sz w:val="24"/>
          <w:szCs w:val="24"/>
        </w:rPr>
        <w:t xml:space="preserve">Gap noted (Allam): </w:t>
      </w:r>
      <w:r>
        <w:rPr>
          <w:rFonts w:ascii="Calibri" w:eastAsia="Calibri" w:hAnsi="Calibri" w:cs="Calibri"/>
          <w:sz w:val="24"/>
          <w:szCs w:val="24"/>
        </w:rPr>
        <w:t>flagged that the reviewed screens don't yet show how a prospective customer would log into a secure portal to view their proposed package — confirmed this requires creating account credentials (user ID and password) once onboarding is submitted, so the prospect can securely access and track their proposal.</w:t>
      </w:r>
    </w:p>
    <w:p w14:paraId="76A8D13C" w14:textId="77777777" w:rsidR="00DC1F3C" w:rsidRDefault="00643EB7">
      <w:pPr>
        <w:spacing w:before="140" w:after="60"/>
      </w:pPr>
      <w:r>
        <w:rPr>
          <w:rFonts w:ascii="Calibri" w:eastAsia="Calibri" w:hAnsi="Calibri" w:cs="Calibri"/>
          <w:b/>
          <w:bCs/>
          <w:color w:val="215E99"/>
          <w:sz w:val="32"/>
          <w:szCs w:val="32"/>
        </w:rPr>
        <w:t>4.8 Customer Portal Access, Authentication &amp; Verification</w:t>
      </w:r>
    </w:p>
    <w:p w14:paraId="456FCFE0" w14:textId="77777777" w:rsidR="00DC1F3C" w:rsidRDefault="00643EB7">
      <w:pPr>
        <w:pStyle w:val="ListParagraph"/>
        <w:numPr>
          <w:ilvl w:val="0"/>
          <w:numId w:val="2"/>
        </w:numPr>
        <w:spacing w:after="70"/>
      </w:pPr>
      <w:r>
        <w:rPr>
          <w:rFonts w:ascii="Calibri" w:eastAsia="Calibri" w:hAnsi="Calibri" w:cs="Calibri"/>
          <w:b/>
          <w:bCs/>
          <w:sz w:val="24"/>
          <w:szCs w:val="24"/>
        </w:rPr>
        <w:t xml:space="preserve">Raised (Qossai): </w:t>
      </w:r>
      <w:r>
        <w:rPr>
          <w:rFonts w:ascii="Calibri" w:eastAsia="Calibri" w:hAnsi="Calibri" w:cs="Calibri"/>
          <w:sz w:val="24"/>
          <w:szCs w:val="24"/>
        </w:rPr>
        <w:t>since portal access exposes TICVAI's commercial pricing model, it should not be open to just anyone — proposed that prospects submit contact details and a trade license as proof they genuinely represent a real venue, subject to TICVAI review and approval before portal access is granted.</w:t>
      </w:r>
    </w:p>
    <w:p w14:paraId="6D869F8F" w14:textId="77777777" w:rsidR="00DC1F3C" w:rsidRDefault="00643EB7">
      <w:pPr>
        <w:pStyle w:val="ListParagraph"/>
        <w:numPr>
          <w:ilvl w:val="0"/>
          <w:numId w:val="2"/>
        </w:numPr>
        <w:spacing w:after="70"/>
      </w:pPr>
      <w:r>
        <w:rPr>
          <w:rFonts w:ascii="Calibri" w:eastAsia="Calibri" w:hAnsi="Calibri" w:cs="Calibri"/>
          <w:b/>
          <w:bCs/>
          <w:sz w:val="24"/>
          <w:szCs w:val="24"/>
        </w:rPr>
        <w:t xml:space="preserve">Agreed (Allam): </w:t>
      </w:r>
      <w:r>
        <w:rPr>
          <w:rFonts w:ascii="Calibri" w:eastAsia="Calibri" w:hAnsi="Calibri" w:cs="Calibri"/>
          <w:sz w:val="24"/>
          <w:szCs w:val="24"/>
        </w:rPr>
        <w:t>confirmed submitted documents must be validated — TICVAI does not want a competitor or unrelated party accessing its pricing strategy under a false pretext.</w:t>
      </w:r>
    </w:p>
    <w:p w14:paraId="60A43353" w14:textId="77777777" w:rsidR="00DC1F3C" w:rsidRDefault="00643EB7">
      <w:pPr>
        <w:pStyle w:val="ListParagraph"/>
        <w:numPr>
          <w:ilvl w:val="0"/>
          <w:numId w:val="2"/>
        </w:numPr>
        <w:spacing w:after="70"/>
      </w:pPr>
      <w:r>
        <w:rPr>
          <w:rFonts w:ascii="Calibri" w:eastAsia="Calibri" w:hAnsi="Calibri" w:cs="Calibri"/>
          <w:b/>
          <w:bCs/>
          <w:sz w:val="24"/>
          <w:szCs w:val="24"/>
        </w:rPr>
        <w:t xml:space="preserve">Extended discussion (Chinmay) — verification robustness: </w:t>
      </w:r>
      <w:r>
        <w:rPr>
          <w:rFonts w:ascii="Calibri" w:eastAsia="Calibri" w:hAnsi="Calibri" w:cs="Calibri"/>
          <w:sz w:val="24"/>
          <w:szCs w:val="24"/>
        </w:rPr>
        <w:t>drew a parallel to India's Aadhaar national ID system, where sensitive credential use requires 2FA/OTP confirmation rather than trusting a submitted document alone, and asked whether a similar safeguard was needed here in case a trade license is leaked or misused by someone other than its rightful owner.</w:t>
      </w:r>
    </w:p>
    <w:p w14:paraId="1651D318" w14:textId="77777777" w:rsidR="00DC1F3C" w:rsidRDefault="00643EB7">
      <w:pPr>
        <w:pStyle w:val="ListParagraph"/>
        <w:numPr>
          <w:ilvl w:val="0"/>
          <w:numId w:val="2"/>
        </w:numPr>
        <w:spacing w:after="70"/>
      </w:pPr>
      <w:r>
        <w:rPr>
          <w:rFonts w:ascii="Calibri" w:eastAsia="Calibri" w:hAnsi="Calibri" w:cs="Calibri"/>
          <w:b/>
          <w:bCs/>
          <w:sz w:val="24"/>
          <w:szCs w:val="24"/>
        </w:rPr>
        <w:t xml:space="preserve">Resolved (Qossai): </w:t>
      </w:r>
      <w:r>
        <w:rPr>
          <w:rFonts w:ascii="Calibri" w:eastAsia="Calibri" w:hAnsi="Calibri" w:cs="Calibri"/>
          <w:sz w:val="24"/>
          <w:szCs w:val="24"/>
        </w:rPr>
        <w:t>agreed to add an email-based verification/confirmation step (analogous to 2FA) — since correspondence happens via the domain/email address provided at submission, requiring the applicant to confirm access to that email (e.g., via a confirmation link or OTP) before granting portal access, on top of the trade-license and contact-detail review.</w:t>
      </w:r>
    </w:p>
    <w:p w14:paraId="5C1BEE53" w14:textId="77777777" w:rsidR="00DC1F3C" w:rsidRDefault="00643EB7">
      <w:pPr>
        <w:spacing w:before="140" w:after="60"/>
      </w:pPr>
      <w:r>
        <w:rPr>
          <w:rFonts w:ascii="Calibri" w:eastAsia="Calibri" w:hAnsi="Calibri" w:cs="Calibri"/>
          <w:b/>
          <w:bCs/>
          <w:color w:val="215E99"/>
          <w:sz w:val="32"/>
          <w:szCs w:val="32"/>
        </w:rPr>
        <w:t>4.9 Sales-Assisted vs. Self-Service Segmentation Philosophy</w:t>
      </w:r>
    </w:p>
    <w:p w14:paraId="3692BF3E" w14:textId="77777777" w:rsidR="00DC1F3C" w:rsidRDefault="00643EB7">
      <w:pPr>
        <w:pStyle w:val="ListParagraph"/>
        <w:numPr>
          <w:ilvl w:val="0"/>
          <w:numId w:val="2"/>
        </w:numPr>
        <w:spacing w:after="70"/>
      </w:pPr>
      <w:r>
        <w:rPr>
          <w:rFonts w:ascii="Calibri" w:eastAsia="Calibri" w:hAnsi="Calibri" w:cs="Calibri"/>
          <w:b/>
          <w:bCs/>
          <w:sz w:val="24"/>
          <w:szCs w:val="24"/>
        </w:rPr>
        <w:t xml:space="preserve">Vision articulated (Qossai): </w:t>
      </w:r>
      <w:r>
        <w:rPr>
          <w:rFonts w:ascii="Calibri" w:eastAsia="Calibri" w:hAnsi="Calibri" w:cs="Calibri"/>
          <w:sz w:val="24"/>
          <w:szCs w:val="24"/>
        </w:rPr>
        <w:t>explained the core purpose of the entire licensing module is to reduce sales overhead for small and medium clients — a small venue with straightforward needs (e.g., 2 POS terminals, 2 access-control points, a basic B2C website) should be able to see pricing, subscribe, and begin configuring directly through the system within a few days, without requiring TICVAI's sales team to get involved. Large, complex prospects (e.g., a major theme park) remain sales-assisted — TICVAI proactively engages, runs a demo, and scopes the more complex enterprise requirements consultatively rather than exposing enterprise-tier pricing directly through self-service.</w:t>
      </w:r>
    </w:p>
    <w:p w14:paraId="36BF863D" w14:textId="77777777" w:rsidR="00DC1F3C" w:rsidRDefault="00643EB7">
      <w:pPr>
        <w:spacing w:before="140" w:after="60"/>
      </w:pPr>
      <w:r>
        <w:rPr>
          <w:rFonts w:ascii="Calibri" w:eastAsia="Calibri" w:hAnsi="Calibri" w:cs="Calibri"/>
          <w:b/>
          <w:bCs/>
          <w:color w:val="215E99"/>
          <w:sz w:val="32"/>
          <w:szCs w:val="32"/>
        </w:rPr>
        <w:t>4.10 Purchase Agreement, Billing Terms &amp; Trial/Demo Environment</w:t>
      </w:r>
    </w:p>
    <w:p w14:paraId="6C8DAE65" w14:textId="77777777" w:rsidR="00DC1F3C" w:rsidRDefault="00643EB7">
      <w:pPr>
        <w:pStyle w:val="ListParagraph"/>
        <w:numPr>
          <w:ilvl w:val="0"/>
          <w:numId w:val="2"/>
        </w:numPr>
        <w:spacing w:after="70"/>
      </w:pPr>
      <w:r>
        <w:rPr>
          <w:rFonts w:ascii="Calibri" w:eastAsia="Calibri" w:hAnsi="Calibri" w:cs="Calibri"/>
          <w:sz w:val="24"/>
          <w:szCs w:val="24"/>
        </w:rPr>
        <w:t>Once a customer reviews and accepts (or negotiates and re-proposes) a commercial model, the system moves to the purchase agreement stage — billing cycle, contract period, invoicing frequency (monthly/annually), legal entity information, and payment method (bank transfer, card, etc.).</w:t>
      </w:r>
    </w:p>
    <w:p w14:paraId="12684989" w14:textId="77777777" w:rsidR="00DC1F3C" w:rsidRDefault="00643EB7">
      <w:pPr>
        <w:pStyle w:val="ListParagraph"/>
        <w:numPr>
          <w:ilvl w:val="0"/>
          <w:numId w:val="2"/>
        </w:numPr>
        <w:spacing w:after="70"/>
      </w:pPr>
      <w:r>
        <w:rPr>
          <w:rFonts w:ascii="Calibri" w:eastAsia="Calibri" w:hAnsi="Calibri" w:cs="Calibri"/>
          <w:b/>
          <w:bCs/>
          <w:sz w:val="24"/>
          <w:szCs w:val="24"/>
        </w:rPr>
        <w:t xml:space="preserve">Trial/demo access (Allam): </w:t>
      </w:r>
      <w:r>
        <w:rPr>
          <w:rFonts w:ascii="Calibri" w:eastAsia="Calibri" w:hAnsi="Calibri" w:cs="Calibri"/>
          <w:sz w:val="24"/>
          <w:szCs w:val="24"/>
        </w:rPr>
        <w:t>raised that interested prospects should be able to try a pre-configured demo environment — sample products, a working sales flow (cash/card checkout, performance-based tickets, resource management), and reporting — to see how the platform actually operates before committing.</w:t>
      </w:r>
    </w:p>
    <w:p w14:paraId="45D9D586" w14:textId="77777777" w:rsidR="00DC1F3C" w:rsidRDefault="00643EB7">
      <w:pPr>
        <w:spacing w:before="140" w:after="60"/>
      </w:pPr>
      <w:r>
        <w:rPr>
          <w:rFonts w:ascii="Calibri" w:eastAsia="Calibri" w:hAnsi="Calibri" w:cs="Calibri"/>
          <w:b/>
          <w:bCs/>
          <w:color w:val="215E99"/>
          <w:sz w:val="32"/>
          <w:szCs w:val="32"/>
        </w:rPr>
        <w:t>4.11 Demo Environment Scope</w:t>
      </w:r>
    </w:p>
    <w:p w14:paraId="50E15DD4" w14:textId="77777777" w:rsidR="00DC1F3C" w:rsidRDefault="00643EB7">
      <w:pPr>
        <w:pStyle w:val="ListParagraph"/>
        <w:numPr>
          <w:ilvl w:val="0"/>
          <w:numId w:val="2"/>
        </w:numPr>
        <w:spacing w:after="70"/>
      </w:pPr>
      <w:r>
        <w:rPr>
          <w:rFonts w:ascii="Calibri" w:eastAsia="Calibri" w:hAnsi="Calibri" w:cs="Calibri"/>
          <w:b/>
          <w:bCs/>
          <w:sz w:val="24"/>
          <w:szCs w:val="24"/>
        </w:rPr>
        <w:t xml:space="preserve">Clarified (Qossai/Allam): </w:t>
      </w:r>
      <w:r>
        <w:rPr>
          <w:rFonts w:ascii="Calibri" w:eastAsia="Calibri" w:hAnsi="Calibri" w:cs="Calibri"/>
          <w:sz w:val="24"/>
          <w:szCs w:val="24"/>
        </w:rPr>
        <w:t>this is explicitly a demo, not a working trial account — prospects cannot use it to sell real tickets to real customers. Allam demonstrated a reference example from a prior F&amp;B system: a single, shared, pre-built demo environment (pre-populated with sample products and a working POS/admin flow) that any prospect can log into with shared credentials to explore functionality and look-and-feel.</w:t>
      </w:r>
    </w:p>
    <w:p w14:paraId="70D97A49" w14:textId="77777777" w:rsidR="00DC1F3C" w:rsidRDefault="00643EB7">
      <w:pPr>
        <w:pStyle w:val="ListParagraph"/>
        <w:numPr>
          <w:ilvl w:val="0"/>
          <w:numId w:val="2"/>
        </w:numPr>
        <w:spacing w:after="70"/>
      </w:pPr>
      <w:r>
        <w:rPr>
          <w:rFonts w:ascii="Calibri" w:eastAsia="Calibri" w:hAnsi="Calibri" w:cs="Calibri"/>
          <w:b/>
          <w:bCs/>
          <w:sz w:val="24"/>
          <w:szCs w:val="24"/>
        </w:rPr>
        <w:t xml:space="preserve">Cost rationale (Qossai): </w:t>
      </w:r>
      <w:r>
        <w:rPr>
          <w:rFonts w:ascii="Calibri" w:eastAsia="Calibri" w:hAnsi="Calibri" w:cs="Calibri"/>
          <w:sz w:val="24"/>
          <w:szCs w:val="24"/>
        </w:rPr>
        <w:t>explained that creating an individual, fully-provisioned trial database per prospect would be costly at scale (e.g., 100 prospects each requiring their own database); a single standard shared demo avoids this, while still giving prospects a genuine feel for the platform.</w:t>
      </w:r>
    </w:p>
    <w:p w14:paraId="62352E6A" w14:textId="77777777" w:rsidR="00DC1F3C" w:rsidRDefault="00643EB7">
      <w:pPr>
        <w:pStyle w:val="ListParagraph"/>
        <w:numPr>
          <w:ilvl w:val="0"/>
          <w:numId w:val="2"/>
        </w:numPr>
        <w:spacing w:after="70"/>
      </w:pPr>
      <w:r>
        <w:rPr>
          <w:rFonts w:ascii="Calibri" w:eastAsia="Calibri" w:hAnsi="Calibri" w:cs="Calibri"/>
          <w:b/>
          <w:bCs/>
          <w:sz w:val="24"/>
          <w:szCs w:val="24"/>
        </w:rPr>
        <w:t xml:space="preserve">Confirmed (Chinmay's question): </w:t>
      </w:r>
      <w:r>
        <w:rPr>
          <w:rFonts w:ascii="Calibri" w:eastAsia="Calibri" w:hAnsi="Calibri" w:cs="Calibri"/>
          <w:sz w:val="24"/>
          <w:szCs w:val="24"/>
        </w:rPr>
        <w:t>the shared demo is purely illustrative (not usable for a prospect's real business) — back-end/configuration access can optionally be included in the demo for more qualified/interested prospects, at TICVAI's discretion, but it remains a demo environment rather than a live provisioned tenant.</w:t>
      </w:r>
    </w:p>
    <w:p w14:paraId="2D4287ED" w14:textId="77777777" w:rsidR="00DC1F3C" w:rsidRDefault="00643EB7">
      <w:pPr>
        <w:pStyle w:val="ListParagraph"/>
        <w:numPr>
          <w:ilvl w:val="0"/>
          <w:numId w:val="2"/>
        </w:numPr>
        <w:spacing w:after="70"/>
      </w:pPr>
      <w:r>
        <w:rPr>
          <w:rFonts w:ascii="Calibri" w:eastAsia="Calibri" w:hAnsi="Calibri" w:cs="Calibri"/>
          <w:b/>
          <w:bCs/>
          <w:sz w:val="24"/>
          <w:szCs w:val="24"/>
        </w:rPr>
        <w:t xml:space="preserve">Access control: </w:t>
      </w:r>
      <w:r>
        <w:rPr>
          <w:rFonts w:ascii="Calibri" w:eastAsia="Calibri" w:hAnsi="Calibri" w:cs="Calibri"/>
          <w:sz w:val="24"/>
          <w:szCs w:val="24"/>
        </w:rPr>
        <w:t>credentials for the demo (and, where offered, back-end configuration visibility) can be scoped and time-limited — e.g., automatically expiring after a defined evaluation period.</w:t>
      </w:r>
    </w:p>
    <w:p w14:paraId="6C656CC1" w14:textId="77777777" w:rsidR="00DC1F3C" w:rsidRDefault="00643EB7">
      <w:pPr>
        <w:spacing w:before="140" w:after="60"/>
      </w:pPr>
      <w:r>
        <w:rPr>
          <w:rFonts w:ascii="Calibri" w:eastAsia="Calibri" w:hAnsi="Calibri" w:cs="Calibri"/>
          <w:b/>
          <w:bCs/>
          <w:color w:val="215E99"/>
          <w:sz w:val="32"/>
          <w:szCs w:val="32"/>
        </w:rPr>
        <w:t>4.12 Tenant Provisioning &amp; Go-Live Setup</w:t>
      </w:r>
    </w:p>
    <w:p w14:paraId="0A0A2A44" w14:textId="77777777" w:rsidR="00DC1F3C" w:rsidRDefault="00643EB7">
      <w:pPr>
        <w:pStyle w:val="ListParagraph"/>
        <w:numPr>
          <w:ilvl w:val="0"/>
          <w:numId w:val="2"/>
        </w:numPr>
        <w:spacing w:after="70"/>
      </w:pPr>
      <w:r>
        <w:rPr>
          <w:rFonts w:ascii="Calibri" w:eastAsia="Calibri" w:hAnsi="Calibri" w:cs="Calibri"/>
          <w:sz w:val="24"/>
          <w:szCs w:val="24"/>
        </w:rPr>
        <w:t>Once contractual terms are finalized, TICVAI activates licensing and provisions the tenant — including dedicated infrastructure where the client requires an isolated environment — and performs a basic setup reflecting the agreed subscription tier and licensed modules (e.g., enabling mobile app, B2C, B2B as contracted) before handing the environment over to the client to begin their own configuration.</w:t>
      </w:r>
    </w:p>
    <w:p w14:paraId="430439CF" w14:textId="77777777" w:rsidR="00DC1F3C" w:rsidRDefault="00643EB7">
      <w:pPr>
        <w:pStyle w:val="ListParagraph"/>
        <w:numPr>
          <w:ilvl w:val="0"/>
          <w:numId w:val="2"/>
        </w:numPr>
        <w:spacing w:after="70"/>
      </w:pPr>
      <w:r>
        <w:rPr>
          <w:rFonts w:ascii="Calibri" w:eastAsia="Calibri" w:hAnsi="Calibri" w:cs="Calibri"/>
          <w:sz w:val="24"/>
          <w:szCs w:val="24"/>
        </w:rPr>
        <w:t>AI assistance can support the client through initial product/event/ticketing setup, following the same configuration process whether done manually or AI-assisted.</w:t>
      </w:r>
    </w:p>
    <w:p w14:paraId="142AA281" w14:textId="77777777" w:rsidR="00DC1F3C" w:rsidRDefault="00643EB7">
      <w:pPr>
        <w:spacing w:before="140" w:after="60"/>
      </w:pPr>
      <w:r>
        <w:rPr>
          <w:rFonts w:ascii="Calibri" w:eastAsia="Calibri" w:hAnsi="Calibri" w:cs="Calibri"/>
          <w:b/>
          <w:bCs/>
          <w:color w:val="215E99"/>
          <w:sz w:val="32"/>
          <w:szCs w:val="32"/>
        </w:rPr>
        <w:t>4.13 Pre-Production to Production Configuration Promotion</w:t>
      </w:r>
    </w:p>
    <w:p w14:paraId="42A8DC58" w14:textId="77777777" w:rsidR="00DC1F3C" w:rsidRDefault="00643EB7">
      <w:pPr>
        <w:pStyle w:val="ListParagraph"/>
        <w:numPr>
          <w:ilvl w:val="0"/>
          <w:numId w:val="2"/>
        </w:numPr>
        <w:spacing w:after="70"/>
      </w:pPr>
      <w:r>
        <w:rPr>
          <w:rFonts w:ascii="Calibri" w:eastAsia="Calibri" w:hAnsi="Calibri" w:cs="Calibri"/>
          <w:b/>
          <w:bCs/>
          <w:sz w:val="24"/>
          <w:szCs w:val="24"/>
        </w:rPr>
        <w:t xml:space="preserve">Raised (Allam): </w:t>
      </w:r>
      <w:r>
        <w:rPr>
          <w:rFonts w:ascii="Calibri" w:eastAsia="Calibri" w:hAnsi="Calibri" w:cs="Calibri"/>
          <w:sz w:val="24"/>
          <w:szCs w:val="24"/>
        </w:rPr>
        <w:t>described the standard initial go-live process — configuration is built and tested in a pre-production/staging environment, then the database backup is restored to production and cleared of test/transaction data before go-live — but asked whether there's a better approach for post-go-live changes, since restoring a full backup would overwrite live transactional data once the tenant is operating. He wants a way to push only configuration changes (e.g., a new product or package tested in staging) to production, without touching live transactional data.</w:t>
      </w:r>
    </w:p>
    <w:p w14:paraId="6319FF9F" w14:textId="77777777" w:rsidR="00DC1F3C" w:rsidRDefault="00643EB7">
      <w:pPr>
        <w:pStyle w:val="ListParagraph"/>
        <w:numPr>
          <w:ilvl w:val="0"/>
          <w:numId w:val="2"/>
        </w:numPr>
        <w:spacing w:after="70"/>
      </w:pPr>
      <w:r>
        <w:rPr>
          <w:rFonts w:ascii="Calibri" w:eastAsia="Calibri" w:hAnsi="Calibri" w:cs="Calibri"/>
          <w:b/>
          <w:bCs/>
          <w:sz w:val="24"/>
          <w:szCs w:val="24"/>
        </w:rPr>
        <w:t xml:space="preserve">Response (Chinmay): </w:t>
      </w:r>
      <w:r>
        <w:rPr>
          <w:rFonts w:ascii="Calibri" w:eastAsia="Calibri" w:hAnsi="Calibri" w:cs="Calibri"/>
          <w:sz w:val="24"/>
          <w:szCs w:val="24"/>
        </w:rPr>
        <w:t>agreed this is fundamentally a CI/CD question requiring input from the infrastructure/CI-CD engineer, but offered a preliminary framing: (1) changes that only affect configuration (no underlying schema/table changes) could potentially sync without a full data migration; (2) changes involving schema/relationship changes (relevant given the microservices architecture) would likely require a proper migration of the specific affected database(s) rather than the whole environment. He proposed validating any pre-production changes against synced replica tables before promoting to production, to catch schema mismatches ahead of time, and confirmed he would check with the team's infrastructure engineer on feasibility.</w:t>
      </w:r>
    </w:p>
    <w:p w14:paraId="777066ED" w14:textId="77777777" w:rsidR="00DC1F3C" w:rsidRDefault="00643EB7">
      <w:pPr>
        <w:pStyle w:val="ListParagraph"/>
        <w:numPr>
          <w:ilvl w:val="0"/>
          <w:numId w:val="2"/>
        </w:numPr>
        <w:spacing w:after="70"/>
      </w:pPr>
      <w:r>
        <w:rPr>
          <w:rFonts w:ascii="Calibri" w:eastAsia="Calibri" w:hAnsi="Calibri" w:cs="Calibri"/>
          <w:b/>
          <w:bCs/>
          <w:sz w:val="24"/>
          <w:szCs w:val="24"/>
        </w:rPr>
        <w:t xml:space="preserve">Confirmed intent (Allam/Chinmay): </w:t>
      </w:r>
      <w:r>
        <w:rPr>
          <w:rFonts w:ascii="Calibri" w:eastAsia="Calibri" w:hAnsi="Calibri" w:cs="Calibri"/>
          <w:sz w:val="24"/>
          <w:szCs w:val="24"/>
        </w:rPr>
        <w:t>the goal is to push only updated configuration state from staging to production — not transactional data — so a client's tested changes go live automatically without needing to be manually redone in production (avoiding duplicated effort and the risk of human error between environments).</w:t>
      </w:r>
    </w:p>
    <w:p w14:paraId="2E298F14" w14:textId="77777777" w:rsidR="00DC1F3C" w:rsidRDefault="00643EB7">
      <w:pPr>
        <w:spacing w:before="140" w:after="60"/>
      </w:pPr>
      <w:r>
        <w:rPr>
          <w:rFonts w:ascii="Calibri" w:eastAsia="Calibri" w:hAnsi="Calibri" w:cs="Calibri"/>
          <w:b/>
          <w:bCs/>
          <w:color w:val="215E99"/>
          <w:sz w:val="32"/>
          <w:szCs w:val="32"/>
        </w:rPr>
        <w:t>4.14 Go-Live Readiness Validation</w:t>
      </w:r>
    </w:p>
    <w:p w14:paraId="0B62CB36" w14:textId="77777777" w:rsidR="00DC1F3C" w:rsidRDefault="00643EB7">
      <w:pPr>
        <w:pStyle w:val="ListParagraph"/>
        <w:numPr>
          <w:ilvl w:val="0"/>
          <w:numId w:val="2"/>
        </w:numPr>
        <w:spacing w:after="70"/>
      </w:pPr>
      <w:r>
        <w:rPr>
          <w:rFonts w:ascii="Calibri" w:eastAsia="Calibri" w:hAnsi="Calibri" w:cs="Calibri"/>
          <w:sz w:val="24"/>
          <w:szCs w:val="24"/>
        </w:rPr>
        <w:t>Before go-live, configuration is validated end-to-end — confirming products are set up correctly, pricing displays correctly, and a full test transaction flow completes successfully in the target environment.</w:t>
      </w:r>
    </w:p>
    <w:p w14:paraId="681A7B08" w14:textId="77777777" w:rsidR="00DC1F3C" w:rsidRDefault="00643EB7">
      <w:pPr>
        <w:spacing w:before="140" w:after="60"/>
      </w:pPr>
      <w:r>
        <w:rPr>
          <w:rFonts w:ascii="Calibri" w:eastAsia="Calibri" w:hAnsi="Calibri" w:cs="Calibri"/>
          <w:b/>
          <w:bCs/>
          <w:color w:val="215E99"/>
          <w:sz w:val="32"/>
          <w:szCs w:val="32"/>
        </w:rPr>
        <w:t>4.15 Usage &amp; Commercial Consumption Tracking</w:t>
      </w:r>
    </w:p>
    <w:p w14:paraId="5AEEC662" w14:textId="77777777" w:rsidR="00DC1F3C" w:rsidRDefault="00643EB7">
      <w:pPr>
        <w:pStyle w:val="ListParagraph"/>
        <w:numPr>
          <w:ilvl w:val="0"/>
          <w:numId w:val="2"/>
        </w:numPr>
        <w:spacing w:after="70"/>
      </w:pPr>
      <w:r>
        <w:rPr>
          <w:rFonts w:ascii="Calibri" w:eastAsia="Calibri" w:hAnsi="Calibri" w:cs="Calibri"/>
          <w:sz w:val="24"/>
          <w:szCs w:val="24"/>
        </w:rPr>
        <w:t>Once live, the system tracks actual usage against the subscribed tier/model — tickets sold, entitlement/license inventory consumption (e.g., 8 of 10 licensed POS terminals actively in use), and any overage requiring additional billing — giving visibility into whether a client may need a tier upgrade or additional charges.</w:t>
      </w:r>
    </w:p>
    <w:p w14:paraId="153D8DB2" w14:textId="77777777" w:rsidR="00DC1F3C" w:rsidRDefault="00643EB7">
      <w:pPr>
        <w:spacing w:before="140" w:after="60"/>
      </w:pPr>
      <w:r>
        <w:rPr>
          <w:rFonts w:ascii="Calibri" w:eastAsia="Calibri" w:hAnsi="Calibri" w:cs="Calibri"/>
          <w:b/>
          <w:bCs/>
          <w:color w:val="215E99"/>
          <w:sz w:val="32"/>
          <w:szCs w:val="32"/>
        </w:rPr>
        <w:t>4.16 Billing, Reconciliation &amp; Renewal</w:t>
      </w:r>
    </w:p>
    <w:p w14:paraId="7571B54F" w14:textId="77777777" w:rsidR="00DC1F3C" w:rsidRDefault="00643EB7">
      <w:pPr>
        <w:pStyle w:val="ListParagraph"/>
        <w:numPr>
          <w:ilvl w:val="0"/>
          <w:numId w:val="2"/>
        </w:numPr>
        <w:spacing w:after="70"/>
      </w:pPr>
      <w:r>
        <w:rPr>
          <w:rFonts w:ascii="Calibri" w:eastAsia="Calibri" w:hAnsi="Calibri" w:cs="Calibri"/>
          <w:sz w:val="24"/>
          <w:szCs w:val="24"/>
        </w:rPr>
        <w:t>Billing consolidates consumption data per client's billing cycle (e.g., monthly) into an invoice reflecting their subscription tier and any applicable usage/overage charges, sent for payment via the client's agreed method.</w:t>
      </w:r>
    </w:p>
    <w:p w14:paraId="26459B20" w14:textId="77777777" w:rsidR="00DC1F3C" w:rsidRDefault="00643EB7">
      <w:pPr>
        <w:pStyle w:val="ListParagraph"/>
        <w:numPr>
          <w:ilvl w:val="0"/>
          <w:numId w:val="2"/>
        </w:numPr>
        <w:spacing w:after="70"/>
      </w:pPr>
      <w:r>
        <w:rPr>
          <w:rFonts w:ascii="Calibri" w:eastAsia="Calibri" w:hAnsi="Calibri" w:cs="Calibri"/>
          <w:sz w:val="24"/>
          <w:szCs w:val="24"/>
        </w:rPr>
        <w:t>Renewal processing supports automatic renewal (monthly/annual) or a manual renewal/contract-review process, depending on the agreed terms.</w:t>
      </w:r>
    </w:p>
    <w:p w14:paraId="575CE52D" w14:textId="77777777" w:rsidR="00DC1F3C" w:rsidRDefault="00643EB7">
      <w:pPr>
        <w:spacing w:before="140" w:after="60"/>
      </w:pPr>
      <w:r>
        <w:rPr>
          <w:rFonts w:ascii="Calibri" w:eastAsia="Calibri" w:hAnsi="Calibri" w:cs="Calibri"/>
          <w:b/>
          <w:bCs/>
          <w:color w:val="215E99"/>
          <w:sz w:val="32"/>
          <w:szCs w:val="32"/>
        </w:rPr>
        <w:t>4.17 Licensing Command Center Overview</w:t>
      </w:r>
    </w:p>
    <w:p w14:paraId="21D0E549" w14:textId="77777777" w:rsidR="00DC1F3C" w:rsidRDefault="00643EB7">
      <w:pPr>
        <w:pStyle w:val="ListParagraph"/>
        <w:numPr>
          <w:ilvl w:val="0"/>
          <w:numId w:val="2"/>
        </w:numPr>
        <w:spacing w:after="70"/>
      </w:pPr>
      <w:r>
        <w:rPr>
          <w:rFonts w:ascii="Calibri" w:eastAsia="Calibri" w:hAnsi="Calibri" w:cs="Calibri"/>
          <w:sz w:val="24"/>
          <w:szCs w:val="24"/>
        </w:rPr>
        <w:t>Allam closed by returning to the overview board (shown last, by design, since it summarizes everything covered): total customers, active subscriptions/tiers, and monthly recurring revenue broken down by pricing model (tier-based, tier-plus-usage, per-ticket, per-transaction, hybrid, fixed, custom).</w:t>
      </w:r>
    </w:p>
    <w:p w14:paraId="65F8F79C" w14:textId="77777777" w:rsidR="00DC1F3C" w:rsidRDefault="00643EB7">
      <w:pPr>
        <w:pStyle w:val="ListParagraph"/>
        <w:numPr>
          <w:ilvl w:val="0"/>
          <w:numId w:val="2"/>
        </w:numPr>
        <w:spacing w:after="70"/>
      </w:pPr>
      <w:r>
        <w:rPr>
          <w:rFonts w:ascii="Calibri" w:eastAsia="Calibri" w:hAnsi="Calibri" w:cs="Calibri"/>
          <w:sz w:val="24"/>
          <w:szCs w:val="24"/>
        </w:rPr>
        <w:t>A per-customer billing view shows minimum billable volume (month-to-date) and variable/overage revenue; a customer profile view consolidates full commercial and licensing information per client.</w:t>
      </w:r>
    </w:p>
    <w:p w14:paraId="1B401090" w14:textId="77777777" w:rsidR="00DC1F3C" w:rsidRDefault="00643EB7">
      <w:pPr>
        <w:pStyle w:val="ListParagraph"/>
        <w:numPr>
          <w:ilvl w:val="0"/>
          <w:numId w:val="2"/>
        </w:numPr>
        <w:spacing w:after="70"/>
      </w:pPr>
      <w:r>
        <w:rPr>
          <w:rFonts w:ascii="Calibri" w:eastAsia="Calibri" w:hAnsi="Calibri" w:cs="Calibri"/>
          <w:sz w:val="24"/>
          <w:szCs w:val="24"/>
        </w:rPr>
        <w:t>Further views include tier distribution (customer count per tier), subscription revenue by tier, tier/conversion trends, and a renewal &amp; retention center flagging upcoming renewals, at-risk accounts, and commercial optimization opportunities.</w:t>
      </w:r>
    </w:p>
    <w:p w14:paraId="03C82594" w14:textId="77777777" w:rsidR="00DC1F3C" w:rsidRDefault="00643EB7">
      <w:pPr>
        <w:spacing w:before="140" w:after="60"/>
      </w:pPr>
      <w:r>
        <w:rPr>
          <w:rFonts w:ascii="Calibri" w:eastAsia="Calibri" w:hAnsi="Calibri" w:cs="Calibri"/>
          <w:b/>
          <w:bCs/>
          <w:color w:val="215E99"/>
          <w:sz w:val="32"/>
          <w:szCs w:val="32"/>
        </w:rPr>
        <w:t>4.18 Other Discussion</w:t>
      </w:r>
    </w:p>
    <w:p w14:paraId="30565A43" w14:textId="77777777" w:rsidR="00DC1F3C" w:rsidRDefault="00643EB7">
      <w:pPr>
        <w:pStyle w:val="ListParagraph"/>
        <w:numPr>
          <w:ilvl w:val="0"/>
          <w:numId w:val="2"/>
        </w:numPr>
        <w:spacing w:after="70"/>
      </w:pPr>
      <w:r>
        <w:rPr>
          <w:rFonts w:ascii="Calibri" w:eastAsia="Calibri" w:hAnsi="Calibri" w:cs="Calibri"/>
          <w:b/>
          <w:bCs/>
          <w:sz w:val="24"/>
          <w:szCs w:val="24"/>
        </w:rPr>
        <w:t xml:space="preserve">AI billing model (Chinmay): </w:t>
      </w:r>
      <w:r>
        <w:rPr>
          <w:rFonts w:ascii="Calibri" w:eastAsia="Calibri" w:hAnsi="Calibri" w:cs="Calibri"/>
          <w:sz w:val="24"/>
          <w:szCs w:val="24"/>
        </w:rPr>
        <w:t>raised AI usage billing as a topic better suited to next week's dedicated AI sessions, floating a preliminary “bring your own API key” model as one option worth considering, where a client supplies and is billed directly for their own AI provider usage rather than TICVAI reselling AI consumption.</w:t>
      </w:r>
    </w:p>
    <w:p w14:paraId="7BD1785B" w14:textId="77777777" w:rsidR="00DC1F3C" w:rsidRDefault="00643EB7">
      <w:pPr>
        <w:pStyle w:val="ListParagraph"/>
        <w:numPr>
          <w:ilvl w:val="0"/>
          <w:numId w:val="2"/>
        </w:numPr>
        <w:spacing w:after="70"/>
      </w:pPr>
      <w:r>
        <w:rPr>
          <w:rFonts w:ascii="Calibri" w:eastAsia="Calibri" w:hAnsi="Calibri" w:cs="Calibri"/>
          <w:b/>
          <w:bCs/>
          <w:sz w:val="24"/>
          <w:szCs w:val="24"/>
        </w:rPr>
        <w:t xml:space="preserve">Infrastructure monitoring/management scope (Chinmay): </w:t>
      </w:r>
      <w:r>
        <w:rPr>
          <w:rFonts w:ascii="Calibri" w:eastAsia="Calibri" w:hAnsi="Calibri" w:cs="Calibri"/>
          <w:sz w:val="24"/>
          <w:szCs w:val="24"/>
        </w:rPr>
        <w:t>asked whether server/infrastructure monitoring and management should be a dedicated module within the TICVAI platform, or remain entirely with Softlabs' own infrastructure tooling (e.g., Terraform) outside the product — flagged as worth discussing further, with input needed from a colleague (Tejesh) not present on the call.</w:t>
      </w:r>
    </w:p>
    <w:p w14:paraId="2E0327DB" w14:textId="77777777" w:rsidR="00DC1F3C" w:rsidRDefault="00643EB7">
      <w:pPr>
        <w:pStyle w:val="ListParagraph"/>
        <w:numPr>
          <w:ilvl w:val="0"/>
          <w:numId w:val="2"/>
        </w:numPr>
        <w:spacing w:after="70"/>
      </w:pPr>
      <w:r>
        <w:rPr>
          <w:rFonts w:ascii="Calibri" w:eastAsia="Calibri" w:hAnsi="Calibri" w:cs="Calibri"/>
          <w:b/>
          <w:bCs/>
          <w:sz w:val="24"/>
          <w:szCs w:val="24"/>
        </w:rPr>
        <w:t xml:space="preserve">POS feedback follow-up (Allam): </w:t>
      </w:r>
      <w:r>
        <w:rPr>
          <w:rFonts w:ascii="Calibri" w:eastAsia="Calibri" w:hAnsi="Calibri" w:cs="Calibri"/>
          <w:sz w:val="24"/>
          <w:szCs w:val="24"/>
        </w:rPr>
        <w:t>confirmed a written feedback document summarizing the prior day's POS UI/UX review has been prepared and will be shared by email, for Chinmay's team to review and raise any clarification questions ahead of a further POS-focused session.</w:t>
      </w:r>
    </w:p>
    <w:p w14:paraId="4A1CCC82" w14:textId="77777777" w:rsidR="00DC1F3C" w:rsidRDefault="00643EB7">
      <w:pPr>
        <w:spacing w:before="140" w:after="60"/>
      </w:pPr>
      <w:r>
        <w:rPr>
          <w:rFonts w:ascii="Calibri" w:eastAsia="Calibri" w:hAnsi="Calibri" w:cs="Calibri"/>
          <w:b/>
          <w:bCs/>
          <w:color w:val="215E99"/>
          <w:sz w:val="32"/>
          <w:szCs w:val="32"/>
        </w:rPr>
        <w:t>4.19 Planning &amp; Next Steps</w:t>
      </w:r>
    </w:p>
    <w:p w14:paraId="4DDE69CC" w14:textId="77777777" w:rsidR="00DC1F3C" w:rsidRDefault="00643EB7">
      <w:pPr>
        <w:pStyle w:val="ListParagraph"/>
        <w:numPr>
          <w:ilvl w:val="0"/>
          <w:numId w:val="2"/>
        </w:numPr>
        <w:spacing w:after="70"/>
      </w:pPr>
      <w:r>
        <w:rPr>
          <w:rFonts w:ascii="Calibri" w:eastAsia="Calibri" w:hAnsi="Calibri" w:cs="Calibri"/>
          <w:b/>
          <w:bCs/>
          <w:sz w:val="24"/>
          <w:szCs w:val="24"/>
        </w:rPr>
        <w:t xml:space="preserve">Tomorrow's plan (Qossai): </w:t>
      </w:r>
      <w:r>
        <w:rPr>
          <w:rFonts w:ascii="Calibri" w:eastAsia="Calibri" w:hAnsi="Calibri" w:cs="Calibri"/>
          <w:sz w:val="24"/>
          <w:szCs w:val="24"/>
        </w:rPr>
        <w:t>proposed covering two items — game/rewards payment redemption integration (reader/points integration) and device manager &amp; maintenance/safety management — aiming to complete both tomorrow and, if needed, spill over to Friday, along with the small remaining digital asset management item.</w:t>
      </w:r>
    </w:p>
    <w:p w14:paraId="688D9764" w14:textId="77777777" w:rsidR="00DC1F3C" w:rsidRDefault="00643EB7">
      <w:pPr>
        <w:pStyle w:val="ListParagraph"/>
        <w:numPr>
          <w:ilvl w:val="0"/>
          <w:numId w:val="2"/>
        </w:numPr>
        <w:spacing w:after="70"/>
      </w:pPr>
      <w:r>
        <w:rPr>
          <w:rFonts w:ascii="Calibri" w:eastAsia="Calibri" w:hAnsi="Calibri" w:cs="Calibri"/>
          <w:sz w:val="24"/>
          <w:szCs w:val="24"/>
        </w:rPr>
        <w:t>This would complete all remaining core/conventional modules except AI development and the developer sandbox/dev environment, which are deliberately deferred to next week's dedicated AI-focused sessions.</w:t>
      </w:r>
    </w:p>
    <w:p w14:paraId="1AF5C0D4" w14:textId="77777777" w:rsidR="00DC1F3C" w:rsidRDefault="00643EB7">
      <w:pPr>
        <w:spacing w:before="180" w:after="100"/>
      </w:pPr>
      <w:r>
        <w:rPr>
          <w:rFonts w:ascii="Calibri" w:eastAsia="Calibri" w:hAnsi="Calibri" w:cs="Calibri"/>
          <w:b/>
          <w:bCs/>
          <w:color w:val="215E99"/>
          <w:sz w:val="32"/>
          <w:szCs w:val="32"/>
        </w:rPr>
        <w:t>5. Key Decisions &amp; Agreements</w:t>
      </w:r>
    </w:p>
    <w:p w14:paraId="60F35543" w14:textId="77777777" w:rsidR="00DC1F3C" w:rsidRDefault="00643EB7">
      <w:pPr>
        <w:pStyle w:val="ListParagraph"/>
        <w:numPr>
          <w:ilvl w:val="0"/>
          <w:numId w:val="2"/>
        </w:numPr>
        <w:spacing w:after="70"/>
      </w:pPr>
      <w:r>
        <w:rPr>
          <w:rFonts w:ascii="Calibri" w:eastAsia="Calibri" w:hAnsi="Calibri" w:cs="Calibri"/>
          <w:sz w:val="24"/>
          <w:szCs w:val="24"/>
        </w:rPr>
        <w:t>The licensing model is built on a computed Venue Size Index (VSI) score, derived from weighted onboarding inputs (attendance, POS/access-control counts, venue count, users, transaction volume), mapped to configurable tier thresholds (Essential, Professional, Enterprise, Enterprise Plus).</w:t>
      </w:r>
    </w:p>
    <w:p w14:paraId="721AD9C8" w14:textId="77777777" w:rsidR="00DC1F3C" w:rsidRDefault="00643EB7">
      <w:pPr>
        <w:pStyle w:val="ListParagraph"/>
        <w:numPr>
          <w:ilvl w:val="0"/>
          <w:numId w:val="2"/>
        </w:numPr>
        <w:spacing w:after="70"/>
      </w:pPr>
      <w:r>
        <w:rPr>
          <w:rFonts w:ascii="Calibri" w:eastAsia="Calibri" w:hAnsi="Calibri" w:cs="Calibri"/>
          <w:sz w:val="24"/>
          <w:szCs w:val="24"/>
        </w:rPr>
        <w:t>Multiple commercial/pricing models (tier-based, tier+usage, per-ticket, per-transaction, percentage-based, minimum guarantee, hybrid, fixed contract) will be supported and can be combined per client.</w:t>
      </w:r>
    </w:p>
    <w:p w14:paraId="0B21C3D2" w14:textId="77777777" w:rsidR="00DC1F3C" w:rsidRDefault="00643EB7">
      <w:pPr>
        <w:pStyle w:val="ListParagraph"/>
        <w:numPr>
          <w:ilvl w:val="0"/>
          <w:numId w:val="2"/>
        </w:numPr>
        <w:spacing w:after="70"/>
      </w:pPr>
      <w:r>
        <w:rPr>
          <w:rFonts w:ascii="Calibri" w:eastAsia="Calibri" w:hAnsi="Calibri" w:cs="Calibri"/>
          <w:sz w:val="24"/>
          <w:szCs w:val="24"/>
        </w:rPr>
        <w:t>Per-ticket/per-transaction billing remains available to self-hosted/offline clients via monthly usage reporting rather than live metering.</w:t>
      </w:r>
    </w:p>
    <w:p w14:paraId="29621400" w14:textId="77777777" w:rsidR="00DC1F3C" w:rsidRDefault="00643EB7">
      <w:pPr>
        <w:pStyle w:val="ListParagraph"/>
        <w:numPr>
          <w:ilvl w:val="0"/>
          <w:numId w:val="2"/>
        </w:numPr>
        <w:spacing w:after="70"/>
      </w:pPr>
      <w:r>
        <w:rPr>
          <w:rFonts w:ascii="Calibri" w:eastAsia="Calibri" w:hAnsi="Calibri" w:cs="Calibri"/>
          <w:sz w:val="24"/>
          <w:szCs w:val="24"/>
        </w:rPr>
        <w:t>Portal access for prospective clients requires identity/legitimacy verification — trade license submission plus email-based confirmation (2FA-style) — before TICVAI's pricing model is exposed.</w:t>
      </w:r>
    </w:p>
    <w:p w14:paraId="32A60D22" w14:textId="77777777" w:rsidR="00DC1F3C" w:rsidRDefault="00643EB7">
      <w:pPr>
        <w:pStyle w:val="ListParagraph"/>
        <w:numPr>
          <w:ilvl w:val="0"/>
          <w:numId w:val="2"/>
        </w:numPr>
        <w:spacing w:after="70"/>
      </w:pPr>
      <w:r>
        <w:rPr>
          <w:rFonts w:ascii="Calibri" w:eastAsia="Calibri" w:hAnsi="Calibri" w:cs="Calibri"/>
          <w:sz w:val="24"/>
          <w:szCs w:val="24"/>
        </w:rPr>
        <w:t>The core business rationale for this module is segmentation: small/medium clients should be able to self-serve (see pricing, subscribe, and configure directly) while large/enterprise clients remain sales-assisted and consultative.</w:t>
      </w:r>
    </w:p>
    <w:p w14:paraId="27528F9E" w14:textId="77777777" w:rsidR="00DC1F3C" w:rsidRDefault="00643EB7">
      <w:pPr>
        <w:pStyle w:val="ListParagraph"/>
        <w:numPr>
          <w:ilvl w:val="0"/>
          <w:numId w:val="2"/>
        </w:numPr>
        <w:spacing w:after="70"/>
      </w:pPr>
      <w:r>
        <w:rPr>
          <w:rFonts w:ascii="Calibri" w:eastAsia="Calibri" w:hAnsi="Calibri" w:cs="Calibri"/>
          <w:sz w:val="24"/>
          <w:szCs w:val="24"/>
        </w:rPr>
        <w:t>The trial/demo environment will be a single, shared, pre-configured standard demo (not a dedicated database per prospect) to control cost, explicitly for evaluation only and not usable to sell real tickets; back-end configuration visibility can optionally be included for more qualified prospects.</w:t>
      </w:r>
    </w:p>
    <w:p w14:paraId="255C7811" w14:textId="77777777" w:rsidR="00DC1F3C" w:rsidRDefault="00643EB7">
      <w:pPr>
        <w:pStyle w:val="ListParagraph"/>
        <w:numPr>
          <w:ilvl w:val="0"/>
          <w:numId w:val="2"/>
        </w:numPr>
        <w:spacing w:after="70"/>
      </w:pPr>
      <w:r>
        <w:rPr>
          <w:rFonts w:ascii="Calibri" w:eastAsia="Calibri" w:hAnsi="Calibri" w:cs="Calibri"/>
          <w:sz w:val="24"/>
          <w:szCs w:val="24"/>
        </w:rPr>
        <w:t>Post-go-live, only configuration changes (not transactional data) should be promotable from pre-production to production, pending confirmation of technical feasibility from the infrastructure/CI-CD team — avoiding full database-restore-based promotion once a tenant is live.</w:t>
      </w:r>
    </w:p>
    <w:p w14:paraId="6776EB95" w14:textId="77777777" w:rsidR="00DC1F3C" w:rsidRDefault="00643EB7">
      <w:pPr>
        <w:spacing w:before="180" w:after="100"/>
      </w:pPr>
      <w:r>
        <w:rPr>
          <w:rFonts w:ascii="Calibri" w:eastAsia="Calibri" w:hAnsi="Calibri" w:cs="Calibri"/>
          <w:b/>
          <w:bCs/>
          <w:color w:val="215E99"/>
          <w:sz w:val="32"/>
          <w:szCs w:val="32"/>
        </w:rPr>
        <w:t>6. Open Items / Questions for Follow-Up</w:t>
      </w:r>
    </w:p>
    <w:p w14:paraId="583890F0" w14:textId="77777777" w:rsidR="00DC1F3C" w:rsidRDefault="00643EB7">
      <w:pPr>
        <w:pStyle w:val="ListParagraph"/>
        <w:numPr>
          <w:ilvl w:val="0"/>
          <w:numId w:val="2"/>
        </w:numPr>
        <w:spacing w:after="70"/>
      </w:pPr>
      <w:r>
        <w:rPr>
          <w:rFonts w:ascii="Calibri" w:eastAsia="Calibri" w:hAnsi="Calibri" w:cs="Calibri"/>
          <w:sz w:val="24"/>
          <w:szCs w:val="24"/>
        </w:rPr>
        <w:t>Technical feasibility of promoting only configuration changes from pre-production to production post-go-live — pending confirmation from Chinmay's infrastructure/CI-CD engineer.</w:t>
      </w:r>
    </w:p>
    <w:p w14:paraId="0D1D30EA" w14:textId="77777777" w:rsidR="00DC1F3C" w:rsidRDefault="00643EB7">
      <w:pPr>
        <w:pStyle w:val="ListParagraph"/>
        <w:numPr>
          <w:ilvl w:val="0"/>
          <w:numId w:val="2"/>
        </w:numPr>
        <w:spacing w:after="70"/>
      </w:pPr>
      <w:r>
        <w:rPr>
          <w:rFonts w:ascii="Calibri" w:eastAsia="Calibri" w:hAnsi="Calibri" w:cs="Calibri"/>
          <w:sz w:val="24"/>
          <w:szCs w:val="24"/>
        </w:rPr>
        <w:t>AI billing model (bring-your-own-key or otherwise) — to be discussed in next week's dedicated AI sessions.</w:t>
      </w:r>
    </w:p>
    <w:p w14:paraId="33EA3FCC" w14:textId="77777777" w:rsidR="00DC1F3C" w:rsidRDefault="00643EB7">
      <w:pPr>
        <w:pStyle w:val="ListParagraph"/>
        <w:numPr>
          <w:ilvl w:val="0"/>
          <w:numId w:val="2"/>
        </w:numPr>
        <w:spacing w:after="70"/>
      </w:pPr>
      <w:r>
        <w:rPr>
          <w:rFonts w:ascii="Calibri" w:eastAsia="Calibri" w:hAnsi="Calibri" w:cs="Calibri"/>
          <w:sz w:val="24"/>
          <w:szCs w:val="24"/>
        </w:rPr>
        <w:t>Whether infrastructure monitoring/management should be a dedicated platform module or remain with Softlabs' own tooling — pending further discussion, including input from Tejesh.</w:t>
      </w:r>
    </w:p>
    <w:p w14:paraId="3C9E5731" w14:textId="77777777" w:rsidR="00DC1F3C" w:rsidRDefault="00643EB7">
      <w:pPr>
        <w:pStyle w:val="ListParagraph"/>
        <w:numPr>
          <w:ilvl w:val="0"/>
          <w:numId w:val="2"/>
        </w:numPr>
        <w:spacing w:after="70"/>
      </w:pPr>
      <w:r>
        <w:rPr>
          <w:rFonts w:ascii="Calibri" w:eastAsia="Calibri" w:hAnsi="Calibri" w:cs="Calibri"/>
          <w:sz w:val="24"/>
          <w:szCs w:val="24"/>
        </w:rPr>
        <w:t>POS UI/UX feedback document — pending distribution from Allam, with a further POS follow-up session to be scheduled once reviewed.</w:t>
      </w:r>
    </w:p>
    <w:p w14:paraId="2183C3BA" w14:textId="77777777" w:rsidR="00DC1F3C" w:rsidRDefault="00643EB7">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1850"/>
        <w:gridCol w:w="1800"/>
        <w:gridCol w:w="1900"/>
      </w:tblGrid>
      <w:tr w:rsidR="00DC1F3C" w14:paraId="4297BEF7" w14:textId="77777777">
        <w:trPr>
          <w:tblHeader/>
        </w:trPr>
        <w:tc>
          <w:tcPr>
            <w:tcW w:w="3800" w:type="dxa"/>
            <w:shd w:val="clear" w:color="auto" w:fill="0B1324"/>
            <w:tcMar>
              <w:top w:w="80" w:type="dxa"/>
              <w:left w:w="120" w:type="dxa"/>
              <w:bottom w:w="80" w:type="dxa"/>
              <w:right w:w="120" w:type="dxa"/>
            </w:tcMar>
            <w:vAlign w:val="center"/>
          </w:tcPr>
          <w:p w14:paraId="56F870A3" w14:textId="77777777" w:rsidR="00DC1F3C" w:rsidRDefault="00643EB7">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140614A7" w14:textId="77777777" w:rsidR="00DC1F3C" w:rsidRDefault="00643EB7">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485312AD" w14:textId="77777777" w:rsidR="00DC1F3C" w:rsidRDefault="00643EB7">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36003FAE" w14:textId="77777777" w:rsidR="00DC1F3C" w:rsidRDefault="00643EB7">
            <w:r>
              <w:rPr>
                <w:rFonts w:ascii="Calibri" w:eastAsia="Calibri" w:hAnsi="Calibri" w:cs="Calibri"/>
                <w:b/>
                <w:bCs/>
                <w:color w:val="FFFFFF"/>
                <w:sz w:val="24"/>
                <w:szCs w:val="24"/>
              </w:rPr>
              <w:t>Status</w:t>
            </w:r>
          </w:p>
        </w:tc>
      </w:tr>
      <w:tr w:rsidR="00DC1F3C" w14:paraId="3B73865F" w14:textId="77777777">
        <w:tc>
          <w:tcPr>
            <w:tcW w:w="3800" w:type="dxa"/>
            <w:tcMar>
              <w:top w:w="80" w:type="dxa"/>
              <w:left w:w="120" w:type="dxa"/>
              <w:bottom w:w="80" w:type="dxa"/>
              <w:right w:w="120" w:type="dxa"/>
            </w:tcMar>
          </w:tcPr>
          <w:p w14:paraId="5285F1E1" w14:textId="77777777" w:rsidR="00DC1F3C" w:rsidRDefault="00643EB7">
            <w:r>
              <w:rPr>
                <w:rFonts w:ascii="Calibri" w:eastAsia="Calibri" w:hAnsi="Calibri" w:cs="Calibri"/>
                <w:sz w:val="24"/>
                <w:szCs w:val="24"/>
              </w:rPr>
              <w:t>Share the licensing/subscription module documentation and scope of work covered today</w:t>
            </w:r>
          </w:p>
        </w:tc>
        <w:tc>
          <w:tcPr>
            <w:tcW w:w="1850" w:type="dxa"/>
            <w:tcMar>
              <w:top w:w="80" w:type="dxa"/>
              <w:left w:w="120" w:type="dxa"/>
              <w:bottom w:w="80" w:type="dxa"/>
              <w:right w:w="120" w:type="dxa"/>
            </w:tcMar>
          </w:tcPr>
          <w:p w14:paraId="779D3102" w14:textId="31DD79D1" w:rsidR="00DC1F3C" w:rsidRDefault="00643EB7">
            <w:r>
              <w:rPr>
                <w:rFonts w:ascii="Calibri" w:eastAsia="Calibri" w:hAnsi="Calibri" w:cs="Calibri"/>
                <w:sz w:val="24"/>
                <w:szCs w:val="24"/>
              </w:rPr>
              <w:t xml:space="preserve">Allam / Qossai </w:t>
            </w:r>
          </w:p>
        </w:tc>
        <w:tc>
          <w:tcPr>
            <w:tcW w:w="1800" w:type="dxa"/>
            <w:tcMar>
              <w:top w:w="80" w:type="dxa"/>
              <w:left w:w="120" w:type="dxa"/>
              <w:bottom w:w="80" w:type="dxa"/>
              <w:right w:w="120" w:type="dxa"/>
            </w:tcMar>
          </w:tcPr>
          <w:p w14:paraId="646E059F" w14:textId="77777777" w:rsidR="00DC1F3C" w:rsidRDefault="00643EB7">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6BDA942E" w14:textId="77777777" w:rsidR="00DC1F3C" w:rsidRDefault="00643EB7">
            <w:r>
              <w:rPr>
                <w:rFonts w:ascii="Calibri" w:eastAsia="Calibri" w:hAnsi="Calibri" w:cs="Calibri"/>
                <w:sz w:val="24"/>
                <w:szCs w:val="24"/>
              </w:rPr>
              <w:t>Open</w:t>
            </w:r>
          </w:p>
        </w:tc>
      </w:tr>
      <w:tr w:rsidR="00DC1F3C" w14:paraId="3DA54074" w14:textId="77777777">
        <w:tc>
          <w:tcPr>
            <w:tcW w:w="3800" w:type="dxa"/>
            <w:tcMar>
              <w:top w:w="80" w:type="dxa"/>
              <w:left w:w="120" w:type="dxa"/>
              <w:bottom w:w="80" w:type="dxa"/>
              <w:right w:w="120" w:type="dxa"/>
            </w:tcMar>
          </w:tcPr>
          <w:p w14:paraId="59F6C673" w14:textId="77777777" w:rsidR="00DC1F3C" w:rsidRDefault="00643EB7">
            <w:r>
              <w:rPr>
                <w:rFonts w:ascii="Calibri" w:eastAsia="Calibri" w:hAnsi="Calibri" w:cs="Calibri"/>
                <w:sz w:val="24"/>
                <w:szCs w:val="24"/>
              </w:rPr>
              <w:t>Confirm technical feasibility of promoting only configuration changes (not transactional data) from pre-production to production post-go-live</w:t>
            </w:r>
          </w:p>
        </w:tc>
        <w:tc>
          <w:tcPr>
            <w:tcW w:w="1850" w:type="dxa"/>
            <w:tcMar>
              <w:top w:w="80" w:type="dxa"/>
              <w:left w:w="120" w:type="dxa"/>
              <w:bottom w:w="80" w:type="dxa"/>
              <w:right w:w="120" w:type="dxa"/>
            </w:tcMar>
          </w:tcPr>
          <w:p w14:paraId="6B27FEBE" w14:textId="447E42CE" w:rsidR="00DC1F3C" w:rsidRDefault="00643EB7">
            <w:r>
              <w:rPr>
                <w:rFonts w:ascii="Calibri" w:eastAsia="Calibri" w:hAnsi="Calibri" w:cs="Calibri"/>
                <w:sz w:val="24"/>
                <w:szCs w:val="24"/>
              </w:rPr>
              <w:t xml:space="preserve">Chinmay </w:t>
            </w:r>
          </w:p>
        </w:tc>
        <w:tc>
          <w:tcPr>
            <w:tcW w:w="1800" w:type="dxa"/>
            <w:tcMar>
              <w:top w:w="80" w:type="dxa"/>
              <w:left w:w="120" w:type="dxa"/>
              <w:bottom w:w="80" w:type="dxa"/>
              <w:right w:w="120" w:type="dxa"/>
            </w:tcMar>
          </w:tcPr>
          <w:p w14:paraId="7864BE79" w14:textId="77777777" w:rsidR="00DC1F3C" w:rsidRDefault="00643EB7">
            <w:r>
              <w:rPr>
                <w:rFonts w:ascii="Calibri" w:eastAsia="Calibri" w:hAnsi="Calibri" w:cs="Calibri"/>
                <w:sz w:val="24"/>
                <w:szCs w:val="24"/>
              </w:rPr>
              <w:t>Before go-live design finalized</w:t>
            </w:r>
          </w:p>
        </w:tc>
        <w:tc>
          <w:tcPr>
            <w:tcW w:w="1900" w:type="dxa"/>
            <w:tcMar>
              <w:top w:w="80" w:type="dxa"/>
              <w:left w:w="120" w:type="dxa"/>
              <w:bottom w:w="80" w:type="dxa"/>
              <w:right w:w="120" w:type="dxa"/>
            </w:tcMar>
          </w:tcPr>
          <w:p w14:paraId="4BEC271C" w14:textId="77777777" w:rsidR="00DC1F3C" w:rsidRDefault="00643EB7">
            <w:r>
              <w:rPr>
                <w:rFonts w:ascii="Calibri" w:eastAsia="Calibri" w:hAnsi="Calibri" w:cs="Calibri"/>
                <w:sz w:val="24"/>
                <w:szCs w:val="24"/>
              </w:rPr>
              <w:t>Open</w:t>
            </w:r>
          </w:p>
        </w:tc>
      </w:tr>
      <w:tr w:rsidR="00DC1F3C" w14:paraId="0D1504FF" w14:textId="77777777">
        <w:tc>
          <w:tcPr>
            <w:tcW w:w="3800" w:type="dxa"/>
            <w:tcMar>
              <w:top w:w="80" w:type="dxa"/>
              <w:left w:w="120" w:type="dxa"/>
              <w:bottom w:w="80" w:type="dxa"/>
              <w:right w:w="120" w:type="dxa"/>
            </w:tcMar>
          </w:tcPr>
          <w:p w14:paraId="07A66F78" w14:textId="77777777" w:rsidR="00DC1F3C" w:rsidRDefault="00643EB7">
            <w:r>
              <w:rPr>
                <w:rFonts w:ascii="Calibri" w:eastAsia="Calibri" w:hAnsi="Calibri" w:cs="Calibri"/>
                <w:sz w:val="24"/>
                <w:szCs w:val="24"/>
              </w:rPr>
              <w:t>Share the POS UI/UX feedback document from yesterday's prototype review</w:t>
            </w:r>
          </w:p>
        </w:tc>
        <w:tc>
          <w:tcPr>
            <w:tcW w:w="1850" w:type="dxa"/>
            <w:tcMar>
              <w:top w:w="80" w:type="dxa"/>
              <w:left w:w="120" w:type="dxa"/>
              <w:bottom w:w="80" w:type="dxa"/>
              <w:right w:w="120" w:type="dxa"/>
            </w:tcMar>
          </w:tcPr>
          <w:p w14:paraId="170F1375" w14:textId="77777777" w:rsidR="00DC1F3C" w:rsidRDefault="00643EB7">
            <w:r>
              <w:rPr>
                <w:rFonts w:ascii="Calibri" w:eastAsia="Calibri" w:hAnsi="Calibri" w:cs="Calibri"/>
                <w:sz w:val="24"/>
                <w:szCs w:val="24"/>
              </w:rPr>
              <w:t>Allam</w:t>
            </w:r>
          </w:p>
        </w:tc>
        <w:tc>
          <w:tcPr>
            <w:tcW w:w="1800" w:type="dxa"/>
            <w:tcMar>
              <w:top w:w="80" w:type="dxa"/>
              <w:left w:w="120" w:type="dxa"/>
              <w:bottom w:w="80" w:type="dxa"/>
              <w:right w:w="120" w:type="dxa"/>
            </w:tcMar>
          </w:tcPr>
          <w:p w14:paraId="386A2035" w14:textId="77777777" w:rsidR="00DC1F3C" w:rsidRDefault="00643EB7">
            <w:r>
              <w:rPr>
                <w:rFonts w:ascii="Calibri" w:eastAsia="Calibri" w:hAnsi="Calibri" w:cs="Calibri"/>
                <w:sz w:val="24"/>
                <w:szCs w:val="24"/>
              </w:rPr>
              <w:t>Shortly, via email</w:t>
            </w:r>
          </w:p>
        </w:tc>
        <w:tc>
          <w:tcPr>
            <w:tcW w:w="1900" w:type="dxa"/>
            <w:tcMar>
              <w:top w:w="80" w:type="dxa"/>
              <w:left w:w="120" w:type="dxa"/>
              <w:bottom w:w="80" w:type="dxa"/>
              <w:right w:w="120" w:type="dxa"/>
            </w:tcMar>
          </w:tcPr>
          <w:p w14:paraId="5A626DA4" w14:textId="77777777" w:rsidR="00DC1F3C" w:rsidRDefault="00643EB7">
            <w:r>
              <w:rPr>
                <w:rFonts w:ascii="Calibri" w:eastAsia="Calibri" w:hAnsi="Calibri" w:cs="Calibri"/>
                <w:sz w:val="24"/>
                <w:szCs w:val="24"/>
              </w:rPr>
              <w:t>Open</w:t>
            </w:r>
          </w:p>
        </w:tc>
      </w:tr>
      <w:tr w:rsidR="00DC1F3C" w14:paraId="6F39569F" w14:textId="77777777">
        <w:tc>
          <w:tcPr>
            <w:tcW w:w="3800" w:type="dxa"/>
            <w:tcMar>
              <w:top w:w="80" w:type="dxa"/>
              <w:left w:w="120" w:type="dxa"/>
              <w:bottom w:w="80" w:type="dxa"/>
              <w:right w:w="120" w:type="dxa"/>
            </w:tcMar>
          </w:tcPr>
          <w:p w14:paraId="7A6D6AFF" w14:textId="77777777" w:rsidR="00DC1F3C" w:rsidRDefault="00643EB7">
            <w:r>
              <w:rPr>
                <w:rFonts w:ascii="Calibri" w:eastAsia="Calibri" w:hAnsi="Calibri" w:cs="Calibri"/>
                <w:sz w:val="24"/>
                <w:szCs w:val="24"/>
              </w:rPr>
              <w:t>Review the POS feedback document, raise clarification questions, and help schedule a further POS follow-up session</w:t>
            </w:r>
          </w:p>
        </w:tc>
        <w:tc>
          <w:tcPr>
            <w:tcW w:w="1850" w:type="dxa"/>
            <w:tcMar>
              <w:top w:w="80" w:type="dxa"/>
              <w:left w:w="120" w:type="dxa"/>
              <w:bottom w:w="80" w:type="dxa"/>
              <w:right w:w="120" w:type="dxa"/>
            </w:tcMar>
          </w:tcPr>
          <w:p w14:paraId="52AEB9F6" w14:textId="5A95EBA7" w:rsidR="00DC1F3C" w:rsidRDefault="00643EB7">
            <w:r>
              <w:rPr>
                <w:rFonts w:ascii="Calibri" w:eastAsia="Calibri" w:hAnsi="Calibri" w:cs="Calibri"/>
                <w:sz w:val="24"/>
                <w:szCs w:val="24"/>
              </w:rPr>
              <w:t xml:space="preserve">Chinmay / Pradnya </w:t>
            </w:r>
          </w:p>
        </w:tc>
        <w:tc>
          <w:tcPr>
            <w:tcW w:w="1800" w:type="dxa"/>
            <w:tcMar>
              <w:top w:w="80" w:type="dxa"/>
              <w:left w:w="120" w:type="dxa"/>
              <w:bottom w:w="80" w:type="dxa"/>
              <w:right w:w="120" w:type="dxa"/>
            </w:tcMar>
          </w:tcPr>
          <w:p w14:paraId="1420FFFE" w14:textId="77777777" w:rsidR="00DC1F3C" w:rsidRDefault="00643EB7">
            <w:r>
              <w:rPr>
                <w:rFonts w:ascii="Calibri" w:eastAsia="Calibri" w:hAnsi="Calibri" w:cs="Calibri"/>
                <w:sz w:val="24"/>
                <w:szCs w:val="24"/>
              </w:rPr>
              <w:t>Before next POS session</w:t>
            </w:r>
          </w:p>
        </w:tc>
        <w:tc>
          <w:tcPr>
            <w:tcW w:w="1900" w:type="dxa"/>
            <w:tcMar>
              <w:top w:w="80" w:type="dxa"/>
              <w:left w:w="120" w:type="dxa"/>
              <w:bottom w:w="80" w:type="dxa"/>
              <w:right w:w="120" w:type="dxa"/>
            </w:tcMar>
          </w:tcPr>
          <w:p w14:paraId="51095CC8" w14:textId="77777777" w:rsidR="00DC1F3C" w:rsidRDefault="00643EB7">
            <w:r>
              <w:rPr>
                <w:rFonts w:ascii="Calibri" w:eastAsia="Calibri" w:hAnsi="Calibri" w:cs="Calibri"/>
                <w:sz w:val="24"/>
                <w:szCs w:val="24"/>
              </w:rPr>
              <w:t>Open</w:t>
            </w:r>
          </w:p>
        </w:tc>
      </w:tr>
      <w:tr w:rsidR="00DC1F3C" w14:paraId="29323C74" w14:textId="77777777">
        <w:tc>
          <w:tcPr>
            <w:tcW w:w="3800" w:type="dxa"/>
            <w:tcMar>
              <w:top w:w="80" w:type="dxa"/>
              <w:left w:w="120" w:type="dxa"/>
              <w:bottom w:w="80" w:type="dxa"/>
              <w:right w:w="120" w:type="dxa"/>
            </w:tcMar>
          </w:tcPr>
          <w:p w14:paraId="05BCF62B" w14:textId="77777777" w:rsidR="00DC1F3C" w:rsidRDefault="00643EB7">
            <w:r>
              <w:rPr>
                <w:rFonts w:ascii="Calibri" w:eastAsia="Calibri" w:hAnsi="Calibri" w:cs="Calibri"/>
                <w:sz w:val="24"/>
                <w:szCs w:val="24"/>
              </w:rPr>
              <w:t>Discuss the AI billing model (bring-your-own-key) and infrastructure monitoring/management module scope with Tejesh</w:t>
            </w:r>
          </w:p>
        </w:tc>
        <w:tc>
          <w:tcPr>
            <w:tcW w:w="1850" w:type="dxa"/>
            <w:tcMar>
              <w:top w:w="80" w:type="dxa"/>
              <w:left w:w="120" w:type="dxa"/>
              <w:bottom w:w="80" w:type="dxa"/>
              <w:right w:w="120" w:type="dxa"/>
            </w:tcMar>
          </w:tcPr>
          <w:p w14:paraId="3D3C9262" w14:textId="3AD5AA35" w:rsidR="00DC1F3C" w:rsidRDefault="00643EB7">
            <w:r>
              <w:rPr>
                <w:rFonts w:ascii="Calibri" w:eastAsia="Calibri" w:hAnsi="Calibri" w:cs="Calibri"/>
                <w:sz w:val="24"/>
                <w:szCs w:val="24"/>
              </w:rPr>
              <w:t xml:space="preserve">Chinmay </w:t>
            </w:r>
          </w:p>
        </w:tc>
        <w:tc>
          <w:tcPr>
            <w:tcW w:w="1800" w:type="dxa"/>
            <w:tcMar>
              <w:top w:w="80" w:type="dxa"/>
              <w:left w:w="120" w:type="dxa"/>
              <w:bottom w:w="80" w:type="dxa"/>
              <w:right w:w="120" w:type="dxa"/>
            </w:tcMar>
          </w:tcPr>
          <w:p w14:paraId="57C88D5F" w14:textId="77777777" w:rsidR="00DC1F3C" w:rsidRDefault="00643EB7">
            <w:r>
              <w:rPr>
                <w:rFonts w:ascii="Calibri" w:eastAsia="Calibri" w:hAnsi="Calibri" w:cs="Calibri"/>
                <w:sz w:val="24"/>
                <w:szCs w:val="24"/>
              </w:rPr>
              <w:t>Before next week's AI sessions</w:t>
            </w:r>
          </w:p>
        </w:tc>
        <w:tc>
          <w:tcPr>
            <w:tcW w:w="1900" w:type="dxa"/>
            <w:tcMar>
              <w:top w:w="80" w:type="dxa"/>
              <w:left w:w="120" w:type="dxa"/>
              <w:bottom w:w="80" w:type="dxa"/>
              <w:right w:w="120" w:type="dxa"/>
            </w:tcMar>
          </w:tcPr>
          <w:p w14:paraId="43E45233" w14:textId="77777777" w:rsidR="00DC1F3C" w:rsidRDefault="00643EB7">
            <w:r>
              <w:rPr>
                <w:rFonts w:ascii="Calibri" w:eastAsia="Calibri" w:hAnsi="Calibri" w:cs="Calibri"/>
                <w:sz w:val="24"/>
                <w:szCs w:val="24"/>
              </w:rPr>
              <w:t>Open</w:t>
            </w:r>
          </w:p>
        </w:tc>
      </w:tr>
      <w:tr w:rsidR="00DC1F3C" w14:paraId="046E6DE8" w14:textId="77777777">
        <w:tc>
          <w:tcPr>
            <w:tcW w:w="3800" w:type="dxa"/>
            <w:tcMar>
              <w:top w:w="80" w:type="dxa"/>
              <w:left w:w="120" w:type="dxa"/>
              <w:bottom w:w="80" w:type="dxa"/>
              <w:right w:w="120" w:type="dxa"/>
            </w:tcMar>
          </w:tcPr>
          <w:p w14:paraId="07460463" w14:textId="77777777" w:rsidR="00DC1F3C" w:rsidRDefault="00643EB7">
            <w:r>
              <w:rPr>
                <w:rFonts w:ascii="Calibri" w:eastAsia="Calibri" w:hAnsi="Calibri" w:cs="Calibri"/>
                <w:sz w:val="24"/>
                <w:szCs w:val="24"/>
              </w:rPr>
              <w:t>Prepare and lead tomorrow's session covering game/rewards payment redemption integration and device manager / maintenance &amp; safety management</w:t>
            </w:r>
          </w:p>
        </w:tc>
        <w:tc>
          <w:tcPr>
            <w:tcW w:w="1850" w:type="dxa"/>
            <w:tcMar>
              <w:top w:w="80" w:type="dxa"/>
              <w:left w:w="120" w:type="dxa"/>
              <w:bottom w:w="80" w:type="dxa"/>
              <w:right w:w="120" w:type="dxa"/>
            </w:tcMar>
          </w:tcPr>
          <w:p w14:paraId="24230011" w14:textId="18971C0C" w:rsidR="00DC1F3C" w:rsidRDefault="00643EB7">
            <w:r>
              <w:rPr>
                <w:rFonts w:ascii="Calibri" w:eastAsia="Calibri" w:hAnsi="Calibri" w:cs="Calibri"/>
                <w:sz w:val="24"/>
                <w:szCs w:val="24"/>
              </w:rPr>
              <w:t xml:space="preserve">Allam / Qossai </w:t>
            </w:r>
          </w:p>
        </w:tc>
        <w:tc>
          <w:tcPr>
            <w:tcW w:w="1800" w:type="dxa"/>
            <w:tcMar>
              <w:top w:w="80" w:type="dxa"/>
              <w:left w:w="120" w:type="dxa"/>
              <w:bottom w:w="80" w:type="dxa"/>
              <w:right w:w="120" w:type="dxa"/>
            </w:tcMar>
          </w:tcPr>
          <w:p w14:paraId="6DC64532" w14:textId="77777777" w:rsidR="00DC1F3C" w:rsidRDefault="00643EB7">
            <w:r>
              <w:rPr>
                <w:rFonts w:ascii="Calibri" w:eastAsia="Calibri" w:hAnsi="Calibri" w:cs="Calibri"/>
                <w:sz w:val="24"/>
                <w:szCs w:val="24"/>
              </w:rPr>
              <w:t>Tomorrow, 10:00 Dubai time</w:t>
            </w:r>
          </w:p>
        </w:tc>
        <w:tc>
          <w:tcPr>
            <w:tcW w:w="1900" w:type="dxa"/>
            <w:tcMar>
              <w:top w:w="80" w:type="dxa"/>
              <w:left w:w="120" w:type="dxa"/>
              <w:bottom w:w="80" w:type="dxa"/>
              <w:right w:w="120" w:type="dxa"/>
            </w:tcMar>
          </w:tcPr>
          <w:p w14:paraId="6A5971C4" w14:textId="77777777" w:rsidR="00DC1F3C" w:rsidRDefault="00643EB7">
            <w:r>
              <w:rPr>
                <w:rFonts w:ascii="Calibri" w:eastAsia="Calibri" w:hAnsi="Calibri" w:cs="Calibri"/>
                <w:sz w:val="24"/>
                <w:szCs w:val="24"/>
              </w:rPr>
              <w:t>Open</w:t>
            </w:r>
          </w:p>
        </w:tc>
      </w:tr>
    </w:tbl>
    <w:p w14:paraId="1B7B20DE" w14:textId="77777777" w:rsidR="00DC1F3C" w:rsidRDefault="00DC1F3C">
      <w:pPr>
        <w:spacing w:after="160"/>
      </w:pPr>
    </w:p>
    <w:p w14:paraId="5DA8B858" w14:textId="77777777" w:rsidR="00DC1F3C" w:rsidRDefault="00643EB7">
      <w:pPr>
        <w:spacing w:before="180" w:after="100"/>
      </w:pPr>
      <w:r>
        <w:rPr>
          <w:rFonts w:ascii="Calibri" w:eastAsia="Calibri" w:hAnsi="Calibri" w:cs="Calibri"/>
          <w:b/>
          <w:bCs/>
          <w:color w:val="215E99"/>
          <w:sz w:val="32"/>
          <w:szCs w:val="32"/>
        </w:rPr>
        <w:t>8. Next Steps</w:t>
      </w:r>
    </w:p>
    <w:p w14:paraId="2CB4DDB0" w14:textId="4C6B9055" w:rsidR="00DC1F3C" w:rsidRDefault="00643EB7">
      <w:pPr>
        <w:pStyle w:val="ListParagraph"/>
        <w:numPr>
          <w:ilvl w:val="0"/>
          <w:numId w:val="2"/>
        </w:numPr>
        <w:spacing w:after="70"/>
      </w:pPr>
      <w:r>
        <w:rPr>
          <w:rFonts w:ascii="Calibri" w:eastAsia="Calibri" w:hAnsi="Calibri" w:cs="Calibri"/>
          <w:sz w:val="24"/>
          <w:szCs w:val="24"/>
        </w:rPr>
        <w:t xml:space="preserve">Tomorrow's session (10:00 Dubai time) will cover game/rewards payment redemption integration and device </w:t>
      </w:r>
      <w:r w:rsidR="00CC55E1">
        <w:rPr>
          <w:rFonts w:ascii="Calibri" w:eastAsia="Calibri" w:hAnsi="Calibri" w:cs="Calibri"/>
          <w:sz w:val="24"/>
          <w:szCs w:val="24"/>
        </w:rPr>
        <w:t>manager/maintenance</w:t>
      </w:r>
      <w:r>
        <w:rPr>
          <w:rFonts w:ascii="Calibri" w:eastAsia="Calibri" w:hAnsi="Calibri" w:cs="Calibri"/>
          <w:sz w:val="24"/>
          <w:szCs w:val="24"/>
        </w:rPr>
        <w:t xml:space="preserve"> &amp; safety management, spilling over to Friday if needed, along with digital asset management.</w:t>
      </w:r>
    </w:p>
    <w:p w14:paraId="31A97AFC" w14:textId="77777777" w:rsidR="00DC1F3C" w:rsidRDefault="00643EB7">
      <w:pPr>
        <w:pStyle w:val="ListParagraph"/>
        <w:numPr>
          <w:ilvl w:val="0"/>
          <w:numId w:val="2"/>
        </w:numPr>
        <w:spacing w:after="70"/>
      </w:pPr>
      <w:r>
        <w:rPr>
          <w:rFonts w:ascii="Calibri" w:eastAsia="Calibri" w:hAnsi="Calibri" w:cs="Calibri"/>
          <w:sz w:val="24"/>
          <w:szCs w:val="24"/>
        </w:rPr>
        <w:t>This is expected to complete all remaining core/conventional modules except AI development and the developer sandbox/dev environment, which move to next week's dedicated AI sessions.</w:t>
      </w:r>
    </w:p>
    <w:p w14:paraId="4DDFEB6A" w14:textId="77777777" w:rsidR="00DC1F3C" w:rsidRDefault="00643EB7">
      <w:pPr>
        <w:pStyle w:val="ListParagraph"/>
        <w:numPr>
          <w:ilvl w:val="0"/>
          <w:numId w:val="2"/>
        </w:numPr>
        <w:spacing w:after="70"/>
      </w:pPr>
      <w:r>
        <w:rPr>
          <w:rFonts w:ascii="Calibri" w:eastAsia="Calibri" w:hAnsi="Calibri" w:cs="Calibri"/>
          <w:sz w:val="24"/>
          <w:szCs w:val="24"/>
        </w:rPr>
        <w:t>Chinmay to loop in Tejesh on the AI billing model and infrastructure monitoring scope ahead of next week.</w:t>
      </w:r>
    </w:p>
    <w:p w14:paraId="2257217E" w14:textId="77777777" w:rsidR="00DC1F3C" w:rsidRDefault="00643EB7">
      <w:pPr>
        <w:spacing w:before="120"/>
        <w:jc w:val="center"/>
      </w:pPr>
      <w:r>
        <w:rPr>
          <w:rFonts w:ascii="Calibri" w:eastAsia="Calibri" w:hAnsi="Calibri" w:cs="Calibri"/>
          <w:i/>
          <w:iCs/>
          <w:color w:val="595959"/>
          <w:sz w:val="24"/>
          <w:szCs w:val="24"/>
        </w:rPr>
        <w:t>--- End of Minutes ---</w:t>
      </w:r>
    </w:p>
    <w:sectPr w:rsidR="00DC1F3C">
      <w:headerReference w:type="default" r:id="rId10"/>
      <w:footerReference w:type="default" r:id="rId11"/>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85031" w14:textId="77777777" w:rsidR="00A94C0D" w:rsidRDefault="00A94C0D">
      <w:r>
        <w:separator/>
      </w:r>
    </w:p>
  </w:endnote>
  <w:endnote w:type="continuationSeparator" w:id="0">
    <w:p w14:paraId="0B67097F" w14:textId="77777777" w:rsidR="00A94C0D" w:rsidRDefault="00A94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23D3" w14:textId="77777777" w:rsidR="00DC1F3C" w:rsidRDefault="00643EB7">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CC55E1">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CC55E1">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9DA87" w14:textId="77777777" w:rsidR="00A94C0D" w:rsidRDefault="00A94C0D">
      <w:r>
        <w:separator/>
      </w:r>
    </w:p>
  </w:footnote>
  <w:footnote w:type="continuationSeparator" w:id="0">
    <w:p w14:paraId="6D62339C" w14:textId="77777777" w:rsidR="00A94C0D" w:rsidRDefault="00A94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DC1F3C" w14:paraId="2890E0AD" w14:textId="77777777">
      <w:tc>
        <w:tcPr>
          <w:tcW w:w="4675" w:type="dxa"/>
          <w:tcMar>
            <w:bottom w:w="80" w:type="dxa"/>
          </w:tcMar>
          <w:vAlign w:val="center"/>
        </w:tcPr>
        <w:p w14:paraId="406CEADA" w14:textId="77777777" w:rsidR="00DC1F3C" w:rsidRDefault="00DC1F3C"/>
      </w:tc>
      <w:tc>
        <w:tcPr>
          <w:tcW w:w="4675" w:type="dxa"/>
          <w:tcMar>
            <w:bottom w:w="80" w:type="dxa"/>
          </w:tcMar>
          <w:vAlign w:val="center"/>
        </w:tcPr>
        <w:p w14:paraId="2D7A852A" w14:textId="77777777" w:rsidR="00DC1F3C" w:rsidRDefault="00643EB7">
          <w:pPr>
            <w:spacing w:after="20"/>
            <w:jc w:val="right"/>
          </w:pPr>
          <w:r>
            <w:rPr>
              <w:noProof/>
            </w:rPr>
            <w:drawing>
              <wp:inline distT="0" distB="0" distL="0" distR="0" wp14:anchorId="05A12512" wp14:editId="1217D837">
                <wp:extent cx="1238250" cy="228600"/>
                <wp:effectExtent l="0" t="0" r="0" b="0"/>
                <wp:docPr id="1" name="Picture 1">
                  <a:extLst xmlns:a="http://schemas.openxmlformats.org/drawingml/2006/main">
                    <a:ext uri="{FF2B5EF4-FFF2-40B4-BE49-F238E27FC236}">
                      <a16:creationId xmlns:a16="http://schemas.microsoft.com/office/drawing/2014/main" id="{9D982769-0B55-4806-9D42-77841064CD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5053592D" w14:textId="77777777" w:rsidR="00DC1F3C" w:rsidRDefault="00643EB7">
          <w:pPr>
            <w:jc w:val="right"/>
          </w:pPr>
          <w:r>
            <w:rPr>
              <w:noProof/>
            </w:rPr>
            <w:drawing>
              <wp:inline distT="0" distB="0" distL="0" distR="0" wp14:anchorId="37CE840E" wp14:editId="08ACF145">
                <wp:extent cx="933450" cy="190500"/>
                <wp:effectExtent l="0" t="0" r="0" b="0"/>
                <wp:docPr id="829514775" name="Picture 829514775">
                  <a:extLst xmlns:a="http://schemas.openxmlformats.org/drawingml/2006/main">
                    <a:ext uri="{FF2B5EF4-FFF2-40B4-BE49-F238E27FC236}">
                      <a16:creationId xmlns:a16="http://schemas.microsoft.com/office/drawing/2014/main" id="{108751F4-1D88-4308-9C2B-31B286DA37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5693E"/>
    <w:multiLevelType w:val="hybridMultilevel"/>
    <w:tmpl w:val="6FCE8F4E"/>
    <w:lvl w:ilvl="0" w:tplc="0B809902">
      <w:start w:val="1"/>
      <w:numFmt w:val="bullet"/>
      <w:lvlText w:val="•"/>
      <w:lvlJc w:val="left"/>
      <w:pPr>
        <w:ind w:left="360" w:hanging="260"/>
      </w:pPr>
    </w:lvl>
    <w:lvl w:ilvl="1" w:tplc="800A64E0">
      <w:start w:val="1"/>
      <w:numFmt w:val="bullet"/>
      <w:lvlText w:val="◦"/>
      <w:lvlJc w:val="left"/>
      <w:pPr>
        <w:ind w:left="720" w:hanging="260"/>
      </w:pPr>
    </w:lvl>
    <w:lvl w:ilvl="2" w:tplc="850699FC">
      <w:numFmt w:val="decimal"/>
      <w:lvlText w:val=""/>
      <w:lvlJc w:val="left"/>
    </w:lvl>
    <w:lvl w:ilvl="3" w:tplc="DE144922">
      <w:numFmt w:val="decimal"/>
      <w:lvlText w:val=""/>
      <w:lvlJc w:val="left"/>
    </w:lvl>
    <w:lvl w:ilvl="4" w:tplc="EC52A11C">
      <w:numFmt w:val="decimal"/>
      <w:lvlText w:val=""/>
      <w:lvlJc w:val="left"/>
    </w:lvl>
    <w:lvl w:ilvl="5" w:tplc="57CA49A8">
      <w:numFmt w:val="decimal"/>
      <w:lvlText w:val=""/>
      <w:lvlJc w:val="left"/>
    </w:lvl>
    <w:lvl w:ilvl="6" w:tplc="00DC7402">
      <w:numFmt w:val="decimal"/>
      <w:lvlText w:val=""/>
      <w:lvlJc w:val="left"/>
    </w:lvl>
    <w:lvl w:ilvl="7" w:tplc="CE342E24">
      <w:numFmt w:val="decimal"/>
      <w:lvlText w:val=""/>
      <w:lvlJc w:val="left"/>
    </w:lvl>
    <w:lvl w:ilvl="8" w:tplc="85664030">
      <w:numFmt w:val="decimal"/>
      <w:lvlText w:val=""/>
      <w:lvlJc w:val="left"/>
    </w:lvl>
  </w:abstractNum>
  <w:abstractNum w:abstractNumId="1" w15:restartNumberingAfterBreak="0">
    <w:nsid w:val="753A03BB"/>
    <w:multiLevelType w:val="hybridMultilevel"/>
    <w:tmpl w:val="BE28B056"/>
    <w:lvl w:ilvl="0" w:tplc="8556DBBC">
      <w:start w:val="1"/>
      <w:numFmt w:val="bullet"/>
      <w:lvlText w:val="●"/>
      <w:lvlJc w:val="left"/>
      <w:pPr>
        <w:ind w:left="720" w:hanging="360"/>
      </w:pPr>
    </w:lvl>
    <w:lvl w:ilvl="1" w:tplc="379E3992">
      <w:start w:val="1"/>
      <w:numFmt w:val="bullet"/>
      <w:lvlText w:val="○"/>
      <w:lvlJc w:val="left"/>
      <w:pPr>
        <w:ind w:left="1440" w:hanging="360"/>
      </w:pPr>
    </w:lvl>
    <w:lvl w:ilvl="2" w:tplc="27AEA45A">
      <w:start w:val="1"/>
      <w:numFmt w:val="bullet"/>
      <w:lvlText w:val="■"/>
      <w:lvlJc w:val="left"/>
      <w:pPr>
        <w:ind w:left="2160" w:hanging="360"/>
      </w:pPr>
    </w:lvl>
    <w:lvl w:ilvl="3" w:tplc="7A3257B0">
      <w:start w:val="1"/>
      <w:numFmt w:val="bullet"/>
      <w:lvlText w:val="●"/>
      <w:lvlJc w:val="left"/>
      <w:pPr>
        <w:ind w:left="2880" w:hanging="360"/>
      </w:pPr>
    </w:lvl>
    <w:lvl w:ilvl="4" w:tplc="70F04506">
      <w:start w:val="1"/>
      <w:numFmt w:val="bullet"/>
      <w:lvlText w:val="○"/>
      <w:lvlJc w:val="left"/>
      <w:pPr>
        <w:ind w:left="3600" w:hanging="360"/>
      </w:pPr>
    </w:lvl>
    <w:lvl w:ilvl="5" w:tplc="52C272C6">
      <w:start w:val="1"/>
      <w:numFmt w:val="bullet"/>
      <w:lvlText w:val="■"/>
      <w:lvlJc w:val="left"/>
      <w:pPr>
        <w:ind w:left="4320" w:hanging="360"/>
      </w:pPr>
    </w:lvl>
    <w:lvl w:ilvl="6" w:tplc="8398EF08">
      <w:start w:val="1"/>
      <w:numFmt w:val="bullet"/>
      <w:lvlText w:val="●"/>
      <w:lvlJc w:val="left"/>
      <w:pPr>
        <w:ind w:left="5040" w:hanging="360"/>
      </w:pPr>
    </w:lvl>
    <w:lvl w:ilvl="7" w:tplc="CF2EC274">
      <w:start w:val="1"/>
      <w:numFmt w:val="bullet"/>
      <w:lvlText w:val="●"/>
      <w:lvlJc w:val="left"/>
      <w:pPr>
        <w:ind w:left="5760" w:hanging="360"/>
      </w:pPr>
    </w:lvl>
    <w:lvl w:ilvl="8" w:tplc="63E017F4">
      <w:start w:val="1"/>
      <w:numFmt w:val="bullet"/>
      <w:lvlText w:val="●"/>
      <w:lvlJc w:val="left"/>
      <w:pPr>
        <w:ind w:left="6480" w:hanging="360"/>
      </w:pPr>
    </w:lvl>
  </w:abstractNum>
  <w:num w:numId="1" w16cid:durableId="1661614882">
    <w:abstractNumId w:val="1"/>
    <w:lvlOverride w:ilvl="0">
      <w:startOverride w:val="1"/>
    </w:lvlOverride>
  </w:num>
  <w:num w:numId="2" w16cid:durableId="1842431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F3C"/>
    <w:rsid w:val="00070030"/>
    <w:rsid w:val="000F71DA"/>
    <w:rsid w:val="00643EB7"/>
    <w:rsid w:val="00A94C0D"/>
    <w:rsid w:val="00CC55E1"/>
    <w:rsid w:val="00DC1F3C"/>
    <w:rsid w:val="00EF7C2A"/>
    <w:rsid w:val="00F30B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53D29FA"/>
  <w15:docId w15:val="{2A221833-9C2A-41F7-919C-C8F0F44A6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d52b3f431be935a33efb74a879ca345d">
  <xsd:schema xmlns:xsd="http://www.w3.org/2001/XMLSchema" xmlns:xs="http://www.w3.org/2001/XMLSchema" xmlns:p="http://schemas.microsoft.com/office/2006/metadata/properties" xmlns:ns3="cd5eb7d7-0d54-40d6-ab37-95105846df12" targetNamespace="http://schemas.microsoft.com/office/2006/metadata/properties" ma:root="true" ma:fieldsID="605a84b8487f015f09ba097664e94f41"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223927-2B47-46C4-B14E-639CB1FCE9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4B0897-AA79-485D-9008-63C18CB12150}">
  <ds:schemaRefs>
    <ds:schemaRef ds:uri="http://schemas.microsoft.com/office/2006/metadata/properties"/>
    <ds:schemaRef ds:uri="http://schemas.microsoft.com/office/infopath/2007/PartnerControls"/>
    <ds:schemaRef ds:uri="cd5eb7d7-0d54-40d6-ab37-95105846df12"/>
  </ds:schemaRefs>
</ds:datastoreItem>
</file>

<file path=customXml/itemProps3.xml><?xml version="1.0" encoding="utf-8"?>
<ds:datastoreItem xmlns:ds="http://schemas.openxmlformats.org/officeDocument/2006/customXml" ds:itemID="{A1EEDC89-12C2-4B41-B965-B6E269B01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Chitrangi Mestry</cp:lastModifiedBy>
  <cp:revision>2</cp:revision>
  <dcterms:created xsi:type="dcterms:W3CDTF">2026-09-10T10:44:00Z</dcterms:created>
  <dcterms:modified xsi:type="dcterms:W3CDTF">2026-09-10T11:11:00Z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3eaa8eb5-6748-4934-80c3-6dd6883932c9</vt:lpwstr>
  </property>
  <property fmtid="{D5CDD505-2E9C-101B-9397-08002B2CF9AE}" pid="3" name="ContentTypeId">
    <vt:lpwstr>0x010100A13C94B2A060D845B54521126503AE5E</vt:lpwstr>
  </property>
</Properties>
</file>