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36F1" w14:textId="77777777" w:rsidR="00785B65" w:rsidRDefault="00D149E1">
      <w:pPr>
        <w:spacing w:after="60"/>
        <w:jc w:val="center"/>
      </w:pPr>
      <w:r>
        <w:rPr>
          <w:rFonts w:ascii="Calibri" w:eastAsia="Calibri" w:hAnsi="Calibri" w:cs="Calibri"/>
          <w:b/>
          <w:bCs/>
          <w:color w:val="215E99"/>
          <w:sz w:val="44"/>
          <w:szCs w:val="44"/>
        </w:rPr>
        <w:t>Minutes of Meeting</w:t>
      </w:r>
    </w:p>
    <w:p w14:paraId="76EA9F5A" w14:textId="77777777" w:rsidR="00785B65" w:rsidRDefault="00D149E1">
      <w:pPr>
        <w:pBdr>
          <w:bottom w:val="single" w:sz="6" w:space="8" w:color="0D6EFD"/>
        </w:pBdr>
        <w:spacing w:after="160"/>
        <w:jc w:val="center"/>
      </w:pPr>
      <w:r>
        <w:rPr>
          <w:rFonts w:ascii="Calibri" w:eastAsia="Calibri" w:hAnsi="Calibri" w:cs="Calibri"/>
          <w:i/>
          <w:iCs/>
          <w:color w:val="0B1324"/>
          <w:sz w:val="24"/>
          <w:szCs w:val="24"/>
        </w:rPr>
        <w:t>Workshop — BI Reporting &amp; Analytics; Approval Workflow &amp; Governance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785B65" w14:paraId="48A2C56B"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1F03DCD" w14:textId="77777777" w:rsidR="00785B65" w:rsidRDefault="00D149E1">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187FAFED" w14:textId="77777777" w:rsidR="00785B65" w:rsidRDefault="00D149E1">
            <w:r>
              <w:rPr>
                <w:rFonts w:ascii="Calibri" w:eastAsia="Calibri" w:hAnsi="Calibri" w:cs="Calibri"/>
                <w:sz w:val="24"/>
                <w:szCs w:val="24"/>
              </w:rPr>
              <w:t>08-September-2026</w:t>
            </w:r>
          </w:p>
        </w:tc>
        <w:tc>
          <w:tcPr>
            <w:tcW w:w="1700" w:type="dxa"/>
            <w:shd w:val="clear" w:color="auto" w:fill="E7EEFB"/>
            <w:tcMar>
              <w:top w:w="80" w:type="dxa"/>
              <w:left w:w="120" w:type="dxa"/>
              <w:bottom w:w="80" w:type="dxa"/>
              <w:right w:w="120" w:type="dxa"/>
            </w:tcMar>
            <w:vAlign w:val="center"/>
          </w:tcPr>
          <w:p w14:paraId="758CD164" w14:textId="77777777" w:rsidR="00785B65" w:rsidRDefault="00D149E1">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3649CF4E" w14:textId="77777777" w:rsidR="00785B65" w:rsidRDefault="00D149E1">
            <w:r>
              <w:rPr>
                <w:rFonts w:ascii="Calibri" w:eastAsia="Calibri" w:hAnsi="Calibri" w:cs="Calibri"/>
                <w:sz w:val="24"/>
                <w:szCs w:val="24"/>
              </w:rPr>
              <w:t>TICVAI</w:t>
            </w:r>
          </w:p>
        </w:tc>
      </w:tr>
      <w:tr w:rsidR="00785B65" w14:paraId="3C7EA31D"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77C6ACC" w14:textId="77777777" w:rsidR="00785B65" w:rsidRDefault="00D149E1">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6B19CE2D" w14:textId="77777777" w:rsidR="00785B65" w:rsidRDefault="00D149E1">
            <w:r>
              <w:rPr>
                <w:rFonts w:ascii="Calibri" w:eastAsia="Calibri" w:hAnsi="Calibri" w:cs="Calibri"/>
                <w:sz w:val="24"/>
                <w:szCs w:val="24"/>
              </w:rPr>
              <w:t>Product Workshop — BI Reporting &amp; Analytics; Approval Workflow &amp; Governance</w:t>
            </w:r>
          </w:p>
        </w:tc>
        <w:tc>
          <w:tcPr>
            <w:tcW w:w="1700" w:type="dxa"/>
            <w:shd w:val="clear" w:color="auto" w:fill="E7EEFB"/>
            <w:tcMar>
              <w:top w:w="80" w:type="dxa"/>
              <w:left w:w="120" w:type="dxa"/>
              <w:bottom w:w="80" w:type="dxa"/>
              <w:right w:w="120" w:type="dxa"/>
            </w:tcMar>
            <w:vAlign w:val="center"/>
          </w:tcPr>
          <w:p w14:paraId="58078BC8" w14:textId="77777777" w:rsidR="00785B65" w:rsidRDefault="00D149E1">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348A662D" w14:textId="77777777" w:rsidR="00785B65" w:rsidRDefault="00D149E1">
            <w:r>
              <w:rPr>
                <w:rFonts w:ascii="Calibri" w:eastAsia="Calibri" w:hAnsi="Calibri" w:cs="Calibri"/>
                <w:sz w:val="24"/>
                <w:szCs w:val="24"/>
              </w:rPr>
              <w:t>Chitrangi Mestry</w:t>
            </w:r>
          </w:p>
        </w:tc>
      </w:tr>
    </w:tbl>
    <w:p w14:paraId="61447669" w14:textId="77777777" w:rsidR="00785B65" w:rsidRDefault="00785B65">
      <w:pPr>
        <w:spacing w:after="160"/>
      </w:pPr>
    </w:p>
    <w:p w14:paraId="1A7F830C" w14:textId="77777777" w:rsidR="00785B65" w:rsidRDefault="00D149E1">
      <w:pPr>
        <w:spacing w:before="180" w:after="100"/>
      </w:pPr>
      <w:r>
        <w:rPr>
          <w:rFonts w:ascii="Calibri" w:eastAsia="Calibri" w:hAnsi="Calibri" w:cs="Calibri"/>
          <w:b/>
          <w:bCs/>
          <w:color w:val="215E99"/>
          <w:sz w:val="32"/>
          <w:szCs w:val="32"/>
        </w:rPr>
        <w:t>Primary Objective</w:t>
      </w:r>
    </w:p>
    <w:p w14:paraId="28D3223A" w14:textId="77777777" w:rsidR="00785B65" w:rsidRDefault="00D149E1">
      <w:pPr>
        <w:spacing w:after="120"/>
      </w:pPr>
      <w:r>
        <w:rPr>
          <w:rFonts w:ascii="Calibri" w:eastAsia="Calibri" w:hAnsi="Calibri" w:cs="Calibri"/>
          <w:color w:val="000000"/>
          <w:sz w:val="24"/>
          <w:szCs w:val="24"/>
        </w:rPr>
        <w:t>To walk through the business intelligence / reporting and analytics module in detail (why it is being built natively, its 10 boards, real-time data architecture, and AI-assisted reporting), and to revisit the approval workflow and governance module with additional boards not previously covered, ahead of moving to rental management and the subscription/licensing module.</w:t>
      </w:r>
    </w:p>
    <w:p w14:paraId="46D4CDC2" w14:textId="77777777" w:rsidR="00785B65" w:rsidRDefault="00D149E1">
      <w:pPr>
        <w:spacing w:before="180" w:after="100"/>
      </w:pPr>
      <w:r>
        <w:rPr>
          <w:rFonts w:ascii="Calibri" w:eastAsia="Calibri" w:hAnsi="Calibri" w:cs="Calibri"/>
          <w:b/>
          <w:bCs/>
          <w:color w:val="215E99"/>
          <w:sz w:val="32"/>
          <w:szCs w:val="32"/>
        </w:rPr>
        <w:t>Participants</w:t>
      </w:r>
    </w:p>
    <w:p w14:paraId="6CE65847" w14:textId="6CFDC260" w:rsidR="00785B65" w:rsidRDefault="00D149E1">
      <w:pPr>
        <w:pStyle w:val="ListParagraph"/>
        <w:numPr>
          <w:ilvl w:val="0"/>
          <w:numId w:val="2"/>
        </w:numPr>
        <w:spacing w:after="70"/>
      </w:pPr>
      <w:r>
        <w:rPr>
          <w:rFonts w:ascii="Calibri" w:eastAsia="Calibri" w:hAnsi="Calibri" w:cs="Calibri"/>
          <w:sz w:val="24"/>
          <w:szCs w:val="24"/>
        </w:rPr>
        <w:t xml:space="preserve">TICVAI Team </w:t>
      </w:r>
    </w:p>
    <w:p w14:paraId="5BD57C99" w14:textId="5E16C506" w:rsidR="00785B65" w:rsidRDefault="00D149E1">
      <w:pPr>
        <w:pStyle w:val="ListParagraph"/>
        <w:numPr>
          <w:ilvl w:val="0"/>
          <w:numId w:val="2"/>
        </w:numPr>
        <w:spacing w:after="70"/>
      </w:pPr>
      <w:r>
        <w:rPr>
          <w:rFonts w:ascii="Calibri" w:eastAsia="Calibri" w:hAnsi="Calibri" w:cs="Calibri"/>
          <w:sz w:val="24"/>
          <w:szCs w:val="24"/>
        </w:rPr>
        <w:t xml:space="preserve">Softlabs Team </w:t>
      </w:r>
    </w:p>
    <w:p w14:paraId="2819ED7F" w14:textId="77777777" w:rsidR="00785B65" w:rsidRDefault="00D149E1">
      <w:pPr>
        <w:spacing w:before="180" w:after="100"/>
      </w:pPr>
      <w:r>
        <w:rPr>
          <w:rFonts w:ascii="Calibri" w:eastAsia="Calibri" w:hAnsi="Calibri" w:cs="Calibri"/>
          <w:b/>
          <w:bCs/>
          <w:color w:val="215E99"/>
          <w:sz w:val="32"/>
          <w:szCs w:val="32"/>
        </w:rPr>
        <w:t>Agenda</w:t>
      </w:r>
    </w:p>
    <w:p w14:paraId="05B8FAE8" w14:textId="77777777" w:rsidR="00785B65" w:rsidRDefault="00D149E1">
      <w:pPr>
        <w:pStyle w:val="ListParagraph"/>
        <w:numPr>
          <w:ilvl w:val="0"/>
          <w:numId w:val="2"/>
        </w:numPr>
        <w:spacing w:after="70"/>
      </w:pPr>
      <w:r>
        <w:rPr>
          <w:rFonts w:ascii="Calibri" w:eastAsia="Calibri" w:hAnsi="Calibri" w:cs="Calibri"/>
          <w:sz w:val="24"/>
          <w:szCs w:val="24"/>
        </w:rPr>
        <w:t>Rationale for a native BI/reporting platform (vs. Power BI, Zoho)</w:t>
      </w:r>
    </w:p>
    <w:p w14:paraId="247E3AA0" w14:textId="77777777" w:rsidR="00785B65" w:rsidRDefault="00D149E1">
      <w:pPr>
        <w:pStyle w:val="ListParagraph"/>
        <w:numPr>
          <w:ilvl w:val="0"/>
          <w:numId w:val="2"/>
        </w:numPr>
        <w:spacing w:after="70"/>
      </w:pPr>
      <w:r>
        <w:rPr>
          <w:rFonts w:ascii="Calibri" w:eastAsia="Calibri" w:hAnsi="Calibri" w:cs="Calibri"/>
          <w:sz w:val="24"/>
          <w:szCs w:val="24"/>
        </w:rPr>
        <w:t xml:space="preserve">Command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overview — operations, revenue, channel and conversion dashboards</w:t>
      </w:r>
    </w:p>
    <w:p w14:paraId="199BC346" w14:textId="77777777" w:rsidR="00785B65" w:rsidRDefault="00D149E1">
      <w:pPr>
        <w:pStyle w:val="ListParagraph"/>
        <w:numPr>
          <w:ilvl w:val="0"/>
          <w:numId w:val="2"/>
        </w:numPr>
        <w:spacing w:after="70"/>
      </w:pPr>
      <w:r>
        <w:rPr>
          <w:rFonts w:ascii="Calibri" w:eastAsia="Calibri" w:hAnsi="Calibri" w:cs="Calibri"/>
          <w:sz w:val="24"/>
          <w:szCs w:val="24"/>
        </w:rPr>
        <w:t>Dashboard designer — custom dashboards, KPI thresholds and filters</w:t>
      </w:r>
    </w:p>
    <w:p w14:paraId="079F2249" w14:textId="77777777" w:rsidR="00785B65" w:rsidRDefault="00D149E1">
      <w:pPr>
        <w:pStyle w:val="ListParagraph"/>
        <w:numPr>
          <w:ilvl w:val="0"/>
          <w:numId w:val="2"/>
        </w:numPr>
        <w:spacing w:after="70"/>
      </w:pPr>
      <w:r>
        <w:rPr>
          <w:rFonts w:ascii="Calibri" w:eastAsia="Calibri" w:hAnsi="Calibri" w:cs="Calibri"/>
          <w:sz w:val="24"/>
          <w:szCs w:val="24"/>
        </w:rPr>
        <w:t xml:space="preserve">Customizable component scope — defining the component </w:t>
      </w:r>
      <w:proofErr w:type="spellStart"/>
      <w:r>
        <w:rPr>
          <w:rFonts w:ascii="Calibri" w:eastAsia="Calibri" w:hAnsi="Calibri" w:cs="Calibri"/>
          <w:sz w:val="24"/>
          <w:szCs w:val="24"/>
        </w:rPr>
        <w:t>catalog</w:t>
      </w:r>
      <w:proofErr w:type="spellEnd"/>
    </w:p>
    <w:p w14:paraId="7EF2F36D" w14:textId="77777777" w:rsidR="00785B65" w:rsidRDefault="00D149E1">
      <w:pPr>
        <w:pStyle w:val="ListParagraph"/>
        <w:numPr>
          <w:ilvl w:val="0"/>
          <w:numId w:val="2"/>
        </w:numPr>
        <w:spacing w:after="70"/>
      </w:pPr>
      <w:r>
        <w:rPr>
          <w:rFonts w:ascii="Calibri" w:eastAsia="Calibri" w:hAnsi="Calibri" w:cs="Calibri"/>
          <w:sz w:val="24"/>
          <w:szCs w:val="24"/>
        </w:rPr>
        <w:t>Self-service report builder and drill-down reporting</w:t>
      </w:r>
    </w:p>
    <w:p w14:paraId="4971A38B" w14:textId="77777777" w:rsidR="00785B65" w:rsidRDefault="00D149E1">
      <w:pPr>
        <w:pStyle w:val="ListParagraph"/>
        <w:numPr>
          <w:ilvl w:val="0"/>
          <w:numId w:val="2"/>
        </w:numPr>
        <w:spacing w:after="70"/>
      </w:pPr>
      <w:r>
        <w:rPr>
          <w:rFonts w:ascii="Calibri" w:eastAsia="Calibri" w:hAnsi="Calibri" w:cs="Calibri"/>
          <w:sz w:val="24"/>
          <w:szCs w:val="24"/>
        </w:rPr>
        <w:t>Real-time reporting architecture — replica database and sync strategy</w:t>
      </w:r>
    </w:p>
    <w:p w14:paraId="279BEA95" w14:textId="77777777" w:rsidR="00785B65" w:rsidRDefault="00D149E1">
      <w:pPr>
        <w:pStyle w:val="ListParagraph"/>
        <w:numPr>
          <w:ilvl w:val="0"/>
          <w:numId w:val="2"/>
        </w:numPr>
        <w:spacing w:after="70"/>
      </w:pPr>
      <w:r>
        <w:rPr>
          <w:rFonts w:ascii="Calibri" w:eastAsia="Calibri" w:hAnsi="Calibri" w:cs="Calibri"/>
          <w:sz w:val="24"/>
          <w:szCs w:val="24"/>
        </w:rPr>
        <w:t>AI-assisted report and configuration generation</w:t>
      </w:r>
    </w:p>
    <w:p w14:paraId="23831CDD" w14:textId="77777777" w:rsidR="00785B65" w:rsidRDefault="00D149E1">
      <w:pPr>
        <w:pStyle w:val="ListParagraph"/>
        <w:numPr>
          <w:ilvl w:val="0"/>
          <w:numId w:val="2"/>
        </w:numPr>
        <w:spacing w:after="70"/>
      </w:pPr>
      <w:r>
        <w:rPr>
          <w:rFonts w:ascii="Calibri" w:eastAsia="Calibri" w:hAnsi="Calibri" w:cs="Calibri"/>
          <w:sz w:val="24"/>
          <w:szCs w:val="24"/>
        </w:rPr>
        <w:t>Report distribution and scheduling</w:t>
      </w:r>
    </w:p>
    <w:p w14:paraId="77F70FBE" w14:textId="77777777" w:rsidR="00785B65" w:rsidRDefault="00D149E1">
      <w:pPr>
        <w:pStyle w:val="ListParagraph"/>
        <w:numPr>
          <w:ilvl w:val="0"/>
          <w:numId w:val="2"/>
        </w:numPr>
        <w:spacing w:after="70"/>
      </w:pPr>
      <w:r>
        <w:rPr>
          <w:rFonts w:ascii="Calibri" w:eastAsia="Calibri" w:hAnsi="Calibri" w:cs="Calibri"/>
          <w:sz w:val="24"/>
          <w:szCs w:val="24"/>
        </w:rPr>
        <w:t>Sales, finance, operations and CRM boards</w:t>
      </w:r>
    </w:p>
    <w:p w14:paraId="5C23D479" w14:textId="77777777" w:rsidR="00785B65" w:rsidRDefault="00D149E1">
      <w:pPr>
        <w:pStyle w:val="ListParagraph"/>
        <w:numPr>
          <w:ilvl w:val="0"/>
          <w:numId w:val="2"/>
        </w:numPr>
        <w:spacing w:after="70"/>
      </w:pPr>
      <w:r>
        <w:rPr>
          <w:rFonts w:ascii="Calibri" w:eastAsia="Calibri" w:hAnsi="Calibri" w:cs="Calibri"/>
          <w:sz w:val="24"/>
          <w:szCs w:val="24"/>
        </w:rPr>
        <w:t>AI intelligence layer and KPI/benchmarking administration</w:t>
      </w:r>
    </w:p>
    <w:p w14:paraId="659B07E3" w14:textId="77777777" w:rsidR="00785B65" w:rsidRDefault="00D149E1">
      <w:pPr>
        <w:pStyle w:val="ListParagraph"/>
        <w:numPr>
          <w:ilvl w:val="0"/>
          <w:numId w:val="2"/>
        </w:numPr>
        <w:spacing w:after="70"/>
      </w:pPr>
      <w:r>
        <w:rPr>
          <w:rFonts w:ascii="Calibri" w:eastAsia="Calibri" w:hAnsi="Calibri" w:cs="Calibri"/>
          <w:sz w:val="24"/>
          <w:szCs w:val="24"/>
        </w:rPr>
        <w:t>Dashboard and reporting module consolidation strategy</w:t>
      </w:r>
    </w:p>
    <w:p w14:paraId="078A78D1" w14:textId="77777777" w:rsidR="00785B65" w:rsidRDefault="00D149E1">
      <w:pPr>
        <w:pStyle w:val="ListParagraph"/>
        <w:numPr>
          <w:ilvl w:val="0"/>
          <w:numId w:val="2"/>
        </w:numPr>
        <w:spacing w:after="70"/>
      </w:pPr>
      <w:r>
        <w:rPr>
          <w:rFonts w:ascii="Calibri" w:eastAsia="Calibri" w:hAnsi="Calibri" w:cs="Calibri"/>
          <w:sz w:val="24"/>
          <w:szCs w:val="24"/>
        </w:rPr>
        <w:t>Approval workflow recap — inbox, SLA and escalation</w:t>
      </w:r>
    </w:p>
    <w:p w14:paraId="6649AC3C" w14:textId="77777777" w:rsidR="00785B65" w:rsidRDefault="00D149E1">
      <w:pPr>
        <w:pStyle w:val="ListParagraph"/>
        <w:numPr>
          <w:ilvl w:val="0"/>
          <w:numId w:val="2"/>
        </w:numPr>
        <w:spacing w:after="70"/>
      </w:pPr>
      <w:r>
        <w:rPr>
          <w:rFonts w:ascii="Calibri" w:eastAsia="Calibri" w:hAnsi="Calibri" w:cs="Calibri"/>
          <w:sz w:val="24"/>
          <w:szCs w:val="24"/>
        </w:rPr>
        <w:t>Approval workflow builder and authority/amount-based rules</w:t>
      </w:r>
    </w:p>
    <w:p w14:paraId="3361707C" w14:textId="77777777" w:rsidR="00785B65" w:rsidRDefault="00D149E1">
      <w:pPr>
        <w:pStyle w:val="ListParagraph"/>
        <w:numPr>
          <w:ilvl w:val="0"/>
          <w:numId w:val="2"/>
        </w:numPr>
        <w:spacing w:after="70"/>
      </w:pPr>
      <w:r>
        <w:rPr>
          <w:rFonts w:ascii="Calibri" w:eastAsia="Calibri" w:hAnsi="Calibri" w:cs="Calibri"/>
          <w:sz w:val="24"/>
          <w:szCs w:val="24"/>
        </w:rPr>
        <w:t>Approval groups and decision policy</w:t>
      </w:r>
    </w:p>
    <w:p w14:paraId="3C251419" w14:textId="77777777" w:rsidR="00785B65" w:rsidRDefault="00D149E1">
      <w:pPr>
        <w:pStyle w:val="ListParagraph"/>
        <w:numPr>
          <w:ilvl w:val="0"/>
          <w:numId w:val="2"/>
        </w:numPr>
        <w:spacing w:after="70"/>
      </w:pPr>
      <w:r>
        <w:rPr>
          <w:rFonts w:ascii="Calibri" w:eastAsia="Calibri" w:hAnsi="Calibri" w:cs="Calibri"/>
          <w:sz w:val="24"/>
          <w:szCs w:val="24"/>
        </w:rPr>
        <w:t>Execution and decision management — timeline, MFA and sensitive confirmation</w:t>
      </w:r>
    </w:p>
    <w:p w14:paraId="7580CEC2" w14:textId="77777777" w:rsidR="00785B65" w:rsidRDefault="00D149E1">
      <w:pPr>
        <w:pStyle w:val="ListParagraph"/>
        <w:numPr>
          <w:ilvl w:val="0"/>
          <w:numId w:val="2"/>
        </w:numPr>
        <w:spacing w:after="70"/>
      </w:pPr>
      <w:r>
        <w:rPr>
          <w:rFonts w:ascii="Calibri" w:eastAsia="Calibri" w:hAnsi="Calibri" w:cs="Calibri"/>
          <w:sz w:val="24"/>
          <w:szCs w:val="24"/>
        </w:rPr>
        <w:t>Delegation, substitute approval and SLA monitoring</w:t>
      </w:r>
    </w:p>
    <w:p w14:paraId="6988D3D9" w14:textId="77777777" w:rsidR="00785B65" w:rsidRDefault="00D149E1">
      <w:pPr>
        <w:pStyle w:val="ListParagraph"/>
        <w:numPr>
          <w:ilvl w:val="0"/>
          <w:numId w:val="2"/>
        </w:numPr>
        <w:spacing w:after="70"/>
      </w:pPr>
      <w:r>
        <w:rPr>
          <w:rFonts w:ascii="Calibri" w:eastAsia="Calibri" w:hAnsi="Calibri" w:cs="Calibri"/>
          <w:sz w:val="24"/>
          <w:szCs w:val="24"/>
        </w:rPr>
        <w:t>Governance, security, compliance and audit</w:t>
      </w:r>
    </w:p>
    <w:p w14:paraId="413410E9" w14:textId="77777777" w:rsidR="00785B65" w:rsidRDefault="00D149E1">
      <w:pPr>
        <w:pStyle w:val="ListParagraph"/>
        <w:numPr>
          <w:ilvl w:val="0"/>
          <w:numId w:val="2"/>
        </w:numPr>
        <w:spacing w:after="70"/>
      </w:pPr>
      <w:r>
        <w:rPr>
          <w:rFonts w:ascii="Calibri" w:eastAsia="Calibri" w:hAnsi="Calibri" w:cs="Calibri"/>
          <w:sz w:val="24"/>
          <w:szCs w:val="24"/>
        </w:rPr>
        <w:lastRenderedPageBreak/>
        <w:t>API/integration for the approval workflow</w:t>
      </w:r>
    </w:p>
    <w:p w14:paraId="057995C3" w14:textId="77777777" w:rsidR="00785B65" w:rsidRDefault="00D149E1">
      <w:pPr>
        <w:pStyle w:val="ListParagraph"/>
        <w:numPr>
          <w:ilvl w:val="0"/>
          <w:numId w:val="2"/>
        </w:numPr>
        <w:spacing w:after="70"/>
      </w:pPr>
      <w:r>
        <w:rPr>
          <w:rFonts w:ascii="Calibri" w:eastAsia="Calibri" w:hAnsi="Calibri" w:cs="Calibri"/>
          <w:sz w:val="24"/>
          <w:szCs w:val="24"/>
        </w:rPr>
        <w:t>Approval analytics and the role of AI</w:t>
      </w:r>
    </w:p>
    <w:p w14:paraId="24730886" w14:textId="77777777" w:rsidR="00785B65" w:rsidRDefault="00D149E1">
      <w:pPr>
        <w:pStyle w:val="ListParagraph"/>
        <w:numPr>
          <w:ilvl w:val="0"/>
          <w:numId w:val="2"/>
        </w:numPr>
        <w:spacing w:after="70"/>
      </w:pPr>
      <w:r>
        <w:rPr>
          <w:rFonts w:ascii="Calibri" w:eastAsia="Calibri" w:hAnsi="Calibri" w:cs="Calibri"/>
          <w:sz w:val="24"/>
          <w:szCs w:val="24"/>
        </w:rPr>
        <w:t>Planning for upcoming sessions</w:t>
      </w:r>
    </w:p>
    <w:p w14:paraId="6C1AB65F" w14:textId="77777777" w:rsidR="00785B65" w:rsidRDefault="00D149E1">
      <w:pPr>
        <w:spacing w:before="180" w:after="100"/>
      </w:pPr>
      <w:r>
        <w:rPr>
          <w:rFonts w:ascii="Calibri" w:eastAsia="Calibri" w:hAnsi="Calibri" w:cs="Calibri"/>
          <w:b/>
          <w:bCs/>
          <w:color w:val="215E99"/>
          <w:sz w:val="32"/>
          <w:szCs w:val="32"/>
        </w:rPr>
        <w:t>4. Detailed Discussion</w:t>
      </w:r>
    </w:p>
    <w:p w14:paraId="57D35578" w14:textId="77777777" w:rsidR="00785B65" w:rsidRDefault="00D149E1">
      <w:pPr>
        <w:spacing w:before="140" w:after="60"/>
      </w:pPr>
      <w:r>
        <w:rPr>
          <w:rFonts w:ascii="Calibri" w:eastAsia="Calibri" w:hAnsi="Calibri" w:cs="Calibri"/>
          <w:b/>
          <w:bCs/>
          <w:color w:val="215E99"/>
          <w:sz w:val="32"/>
          <w:szCs w:val="32"/>
        </w:rPr>
        <w:t>4.1 Rationale for a Native BI/Reporting Platform</w:t>
      </w:r>
    </w:p>
    <w:p w14:paraId="6182B947" w14:textId="77777777" w:rsidR="00785B65" w:rsidRDefault="00D149E1">
      <w:pPr>
        <w:pStyle w:val="ListParagraph"/>
        <w:numPr>
          <w:ilvl w:val="0"/>
          <w:numId w:val="2"/>
        </w:numPr>
        <w:spacing w:after="70"/>
      </w:pPr>
      <w:r>
        <w:rPr>
          <w:rFonts w:ascii="Calibri" w:eastAsia="Calibri" w:hAnsi="Calibri" w:cs="Calibri"/>
          <w:sz w:val="24"/>
          <w:szCs w:val="24"/>
        </w:rPr>
        <w:t>Allam opened by explaining why the reporting/analytics capability is being built natively into the platform rather than relying on third-party tools like Microsoft Power BI or Zoho: (1) avoiding ongoing subscription and licensing costs for clients; (2) avoiding the refresh-rate limitations of tools like Power BI, which under standard licensing only supports a capped number of scheduled refreshes per day (roughly every 15–30 minutes) rather than true real-time data; and (3) ensuring dashboards are mobile-res</w:t>
      </w:r>
      <w:r>
        <w:rPr>
          <w:rFonts w:ascii="Calibri" w:eastAsia="Calibri" w:hAnsi="Calibri" w:cs="Calibri"/>
          <w:sz w:val="24"/>
          <w:szCs w:val="24"/>
        </w:rPr>
        <w:t>ponsive so management (e.g., a CEO outside the venue) can log in from a smartphone via a URL rather than needing a laptop.</w:t>
      </w:r>
    </w:p>
    <w:p w14:paraId="6F0ACD14" w14:textId="77777777" w:rsidR="00785B65" w:rsidRDefault="00D149E1">
      <w:pPr>
        <w:pStyle w:val="ListParagraph"/>
        <w:numPr>
          <w:ilvl w:val="0"/>
          <w:numId w:val="2"/>
        </w:numPr>
        <w:spacing w:after="70"/>
      </w:pPr>
      <w:r>
        <w:rPr>
          <w:rFonts w:ascii="Calibri" w:eastAsia="Calibri" w:hAnsi="Calibri" w:cs="Calibri"/>
          <w:sz w:val="24"/>
          <w:szCs w:val="24"/>
        </w:rPr>
        <w:t>The platform should include a standard set of default dashboards out of the box, plus the ability for the business to design and build additional custom dashboards without needing SQL or programming knowledge.</w:t>
      </w:r>
    </w:p>
    <w:p w14:paraId="0C6A74E0" w14:textId="77777777" w:rsidR="00785B65" w:rsidRDefault="00D149E1">
      <w:pPr>
        <w:spacing w:before="140" w:after="60"/>
      </w:pPr>
      <w:r>
        <w:rPr>
          <w:rFonts w:ascii="Calibri" w:eastAsia="Calibri" w:hAnsi="Calibri" w:cs="Calibri"/>
          <w:b/>
          <w:bCs/>
          <w:color w:val="215E99"/>
          <w:sz w:val="32"/>
          <w:szCs w:val="32"/>
        </w:rPr>
        <w:t xml:space="preserve">4.2 Command </w:t>
      </w:r>
      <w:proofErr w:type="spellStart"/>
      <w:r>
        <w:rPr>
          <w:rFonts w:ascii="Calibri" w:eastAsia="Calibri" w:hAnsi="Calibri" w:cs="Calibri"/>
          <w:b/>
          <w:bCs/>
          <w:color w:val="215E99"/>
          <w:sz w:val="32"/>
          <w:szCs w:val="32"/>
        </w:rPr>
        <w:t>Center</w:t>
      </w:r>
      <w:proofErr w:type="spellEnd"/>
      <w:r>
        <w:rPr>
          <w:rFonts w:ascii="Calibri" w:eastAsia="Calibri" w:hAnsi="Calibri" w:cs="Calibri"/>
          <w:b/>
          <w:bCs/>
          <w:color w:val="215E99"/>
          <w:sz w:val="32"/>
          <w:szCs w:val="32"/>
        </w:rPr>
        <w:t xml:space="preserve"> Overview (Board 1)</w:t>
      </w:r>
    </w:p>
    <w:p w14:paraId="6B126B8C" w14:textId="77777777" w:rsidR="00785B65" w:rsidRDefault="00D149E1">
      <w:pPr>
        <w:pStyle w:val="ListParagraph"/>
        <w:numPr>
          <w:ilvl w:val="0"/>
          <w:numId w:val="2"/>
        </w:numPr>
        <w:spacing w:after="70"/>
      </w:pPr>
      <w:r>
        <w:rPr>
          <w:rFonts w:ascii="Calibri" w:eastAsia="Calibri" w:hAnsi="Calibri" w:cs="Calibri"/>
          <w:sz w:val="24"/>
          <w:szCs w:val="24"/>
        </w:rPr>
        <w:t>The first dashboard section shows a facility-wide overview — total revenue, visitors, transactions, and occupancy percentage (calculated against configured park capacity).</w:t>
      </w:r>
    </w:p>
    <w:p w14:paraId="3CB4C036" w14:textId="77777777" w:rsidR="00785B65" w:rsidRDefault="00D149E1">
      <w:pPr>
        <w:pStyle w:val="ListParagraph"/>
        <w:numPr>
          <w:ilvl w:val="0"/>
          <w:numId w:val="2"/>
        </w:numPr>
        <w:spacing w:after="70"/>
      </w:pPr>
      <w:r>
        <w:rPr>
          <w:rFonts w:ascii="Calibri" w:eastAsia="Calibri" w:hAnsi="Calibri" w:cs="Calibri"/>
          <w:sz w:val="24"/>
          <w:szCs w:val="24"/>
        </w:rPr>
        <w:t>A live operations view shows sales, entries and exits per tenant/venue for multi-tenant setups, along with a quick-glance access control gate status (open/closed/offline gates).</w:t>
      </w:r>
    </w:p>
    <w:p w14:paraId="7D3EB640" w14:textId="77777777" w:rsidR="00785B65" w:rsidRDefault="00D149E1">
      <w:pPr>
        <w:pStyle w:val="ListParagraph"/>
        <w:numPr>
          <w:ilvl w:val="0"/>
          <w:numId w:val="2"/>
        </w:numPr>
        <w:spacing w:after="70"/>
      </w:pPr>
      <w:r>
        <w:rPr>
          <w:rFonts w:ascii="Calibri" w:eastAsia="Calibri" w:hAnsi="Calibri" w:cs="Calibri"/>
          <w:sz w:val="24"/>
          <w:szCs w:val="24"/>
        </w:rPr>
        <w:t>Further sections cover: revenue by sales channel; capacity utilization by attraction/inventory item; sales and channel-wise performance (top products by channel); conversion rate (via planned Google Analytics integration — tracking site visits through to completed purchase and cart abandonment); customer, membership and loyalty information; multi-site performance comparison (e.g., this month vs. last month, or vs. the same period last year); and AI management insights that surface possible reasons behind pe</w:t>
      </w:r>
      <w:r>
        <w:rPr>
          <w:rFonts w:ascii="Calibri" w:eastAsia="Calibri" w:hAnsi="Calibri" w:cs="Calibri"/>
          <w:sz w:val="24"/>
          <w:szCs w:val="24"/>
        </w:rPr>
        <w:t>rformance changes (e.g., a drop in attendance or revenue).</w:t>
      </w:r>
    </w:p>
    <w:p w14:paraId="69E29EE6" w14:textId="77777777" w:rsidR="00785B65" w:rsidRDefault="00D149E1">
      <w:pPr>
        <w:spacing w:before="140" w:after="60"/>
      </w:pPr>
      <w:r>
        <w:rPr>
          <w:rFonts w:ascii="Calibri" w:eastAsia="Calibri" w:hAnsi="Calibri" w:cs="Calibri"/>
          <w:b/>
          <w:bCs/>
          <w:color w:val="215E99"/>
          <w:sz w:val="32"/>
          <w:szCs w:val="32"/>
        </w:rPr>
        <w:t>4.3 Dashboard Designer (Board 2)</w:t>
      </w:r>
    </w:p>
    <w:p w14:paraId="35F6BBE4" w14:textId="77777777" w:rsidR="00785B65" w:rsidRDefault="00D149E1">
      <w:pPr>
        <w:pStyle w:val="ListParagraph"/>
        <w:numPr>
          <w:ilvl w:val="0"/>
          <w:numId w:val="2"/>
        </w:numPr>
        <w:spacing w:after="70"/>
      </w:pPr>
      <w:r>
        <w:rPr>
          <w:rFonts w:ascii="Calibri" w:eastAsia="Calibri" w:hAnsi="Calibri" w:cs="Calibri"/>
          <w:sz w:val="24"/>
          <w:szCs w:val="24"/>
        </w:rPr>
        <w:t>The dashboard designer lets the business build additional dashboards (e.g., separate dashboards for finance, sales, operations) with role-based access so only the relevant team can view a given dashboard.</w:t>
      </w:r>
    </w:p>
    <w:p w14:paraId="5592E79A" w14:textId="77777777" w:rsidR="00785B65" w:rsidRDefault="00D149E1">
      <w:pPr>
        <w:pStyle w:val="ListParagraph"/>
        <w:numPr>
          <w:ilvl w:val="0"/>
          <w:numId w:val="2"/>
        </w:numPr>
        <w:spacing w:after="70"/>
      </w:pPr>
      <w:r>
        <w:rPr>
          <w:rFonts w:ascii="Calibri" w:eastAsia="Calibri" w:hAnsi="Calibri" w:cs="Calibri"/>
          <w:sz w:val="24"/>
          <w:szCs w:val="24"/>
        </w:rPr>
        <w:t>Dashboard creation uses a drag-and-drop approach against predefined data sets (revenue, sales quantity, sales channel, department, etc.), letting the user choose a visual format (bar chart, pie chart, etc.) without needing to write queries.</w:t>
      </w:r>
    </w:p>
    <w:p w14:paraId="7FCBED9C" w14:textId="77777777" w:rsidR="00785B65" w:rsidRDefault="00D149E1">
      <w:pPr>
        <w:pStyle w:val="ListParagraph"/>
        <w:numPr>
          <w:ilvl w:val="0"/>
          <w:numId w:val="2"/>
        </w:numPr>
        <w:spacing w:after="70"/>
      </w:pPr>
      <w:r>
        <w:rPr>
          <w:rFonts w:ascii="Calibri" w:eastAsia="Calibri" w:hAnsi="Calibri" w:cs="Calibri"/>
          <w:sz w:val="24"/>
          <w:szCs w:val="24"/>
        </w:rPr>
        <w:t>Target/threshold/KPI configuration lets the business define normal/warning/critical bands for a metric (e.g., capacity below 80% is normal, 80–90% is a warning, above 95% is critical), and date/filter configuration lets a dashboard be filtered by sales channel, department, or period. Dashboards go through an approval step before publishing.</w:t>
      </w:r>
    </w:p>
    <w:p w14:paraId="4D6784BD" w14:textId="77777777" w:rsidR="00785B65" w:rsidRDefault="00D149E1">
      <w:pPr>
        <w:spacing w:before="140" w:after="60"/>
      </w:pPr>
      <w:r>
        <w:rPr>
          <w:rFonts w:ascii="Calibri" w:eastAsia="Calibri" w:hAnsi="Calibri" w:cs="Calibri"/>
          <w:b/>
          <w:bCs/>
          <w:color w:val="215E99"/>
          <w:sz w:val="32"/>
          <w:szCs w:val="32"/>
        </w:rPr>
        <w:t>4.4 Customizable Component Scope</w:t>
      </w:r>
    </w:p>
    <w:p w14:paraId="175C254C" w14:textId="0596F66D" w:rsidR="00785B65" w:rsidRDefault="00D149E1">
      <w:pPr>
        <w:pStyle w:val="ListParagraph"/>
        <w:numPr>
          <w:ilvl w:val="0"/>
          <w:numId w:val="2"/>
        </w:numPr>
        <w:spacing w:after="70"/>
      </w:pPr>
      <w:r>
        <w:rPr>
          <w:rFonts w:ascii="Calibri" w:eastAsia="Calibri" w:hAnsi="Calibri" w:cs="Calibri"/>
          <w:b/>
          <w:bCs/>
          <w:sz w:val="24"/>
          <w:szCs w:val="24"/>
        </w:rPr>
        <w:lastRenderedPageBreak/>
        <w:t>Raised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 xml:space="preserve">explained that established BI tools (Power BI, Zoho) offer a large, well-defined </w:t>
      </w:r>
      <w:proofErr w:type="spellStart"/>
      <w:r>
        <w:rPr>
          <w:rFonts w:ascii="Calibri" w:eastAsia="Calibri" w:hAnsi="Calibri" w:cs="Calibri"/>
          <w:sz w:val="24"/>
          <w:szCs w:val="24"/>
        </w:rPr>
        <w:t>catalog</w:t>
      </w:r>
      <w:proofErr w:type="spellEnd"/>
      <w:r>
        <w:rPr>
          <w:rFonts w:ascii="Calibri" w:eastAsia="Calibri" w:hAnsi="Calibri" w:cs="Calibri"/>
          <w:sz w:val="24"/>
          <w:szCs w:val="24"/>
        </w:rPr>
        <w:t xml:space="preserve"> of prebuilt components (charts, tables, status/validation widgets) within a bounded canvas (e.g., single-page dashboards composed of configurable blocks). Since dashboard scope can otherwise expand indefinitely, he asked for a precise, itemized document specifying exactly which chart types, table components, status/rule widgets, and page/board limits TICVAI's dashboard designer should support at launch — noting the requ</w:t>
      </w:r>
      <w:r>
        <w:rPr>
          <w:rFonts w:ascii="Calibri" w:eastAsia="Calibri" w:hAnsi="Calibri" w:cs="Calibri"/>
          <w:sz w:val="24"/>
          <w:szCs w:val="24"/>
        </w:rPr>
        <w:t>irement matrix doesn't currently spell this out in enough detail (a keyword search for “customize” didn't surface it).</w:t>
      </w:r>
    </w:p>
    <w:p w14:paraId="450F97E5" w14:textId="77777777" w:rsidR="00785B65" w:rsidRDefault="00D149E1">
      <w:pPr>
        <w:pStyle w:val="ListParagraph"/>
        <w:numPr>
          <w:ilvl w:val="0"/>
          <w:numId w:val="2"/>
        </w:numPr>
        <w:spacing w:after="70"/>
      </w:pPr>
      <w:r>
        <w:rPr>
          <w:rFonts w:ascii="Calibri" w:eastAsia="Calibri" w:hAnsi="Calibri" w:cs="Calibri"/>
          <w:b/>
          <w:bCs/>
          <w:sz w:val="24"/>
          <w:szCs w:val="24"/>
        </w:rPr>
        <w:t xml:space="preserve">Agreed (Allam/Qossai): </w:t>
      </w:r>
      <w:r>
        <w:rPr>
          <w:rFonts w:ascii="Calibri" w:eastAsia="Calibri" w:hAnsi="Calibri" w:cs="Calibri"/>
          <w:sz w:val="24"/>
          <w:szCs w:val="24"/>
        </w:rPr>
        <w:t>Allam agreed to prepare this itemized component list/document so Softlabs has a clear, bounded starting scope to design and build against, rather than an open-ended requirement.</w:t>
      </w:r>
    </w:p>
    <w:p w14:paraId="02430A61" w14:textId="77777777" w:rsidR="00785B65" w:rsidRDefault="00D149E1">
      <w:pPr>
        <w:spacing w:before="140" w:after="60"/>
      </w:pPr>
      <w:r>
        <w:rPr>
          <w:rFonts w:ascii="Calibri" w:eastAsia="Calibri" w:hAnsi="Calibri" w:cs="Calibri"/>
          <w:b/>
          <w:bCs/>
          <w:color w:val="215E99"/>
          <w:sz w:val="32"/>
          <w:szCs w:val="32"/>
        </w:rPr>
        <w:t>4.5 Self-Service Report Builder &amp; Drill-Down Reporting</w:t>
      </w:r>
    </w:p>
    <w:p w14:paraId="60F1EB13" w14:textId="77777777" w:rsidR="00785B65" w:rsidRDefault="00D149E1">
      <w:pPr>
        <w:pStyle w:val="ListParagraph"/>
        <w:numPr>
          <w:ilvl w:val="0"/>
          <w:numId w:val="2"/>
        </w:numPr>
        <w:spacing w:after="70"/>
      </w:pPr>
      <w:r>
        <w:rPr>
          <w:rFonts w:ascii="Calibri" w:eastAsia="Calibri" w:hAnsi="Calibri" w:cs="Calibri"/>
          <w:sz w:val="24"/>
          <w:szCs w:val="24"/>
        </w:rPr>
        <w:t>The report builder provides a library of standard reports required for day-to-day operations and finance (exportable as PDF or Excel), plus the ability to build custom reports via the same drag-and-drop, no-SQL approach — selecting which data-set fields appear as columns/rows.</w:t>
      </w:r>
    </w:p>
    <w:p w14:paraId="3BD42ED1" w14:textId="77777777" w:rsidR="00785B65" w:rsidRDefault="00D149E1">
      <w:pPr>
        <w:pStyle w:val="ListParagraph"/>
        <w:numPr>
          <w:ilvl w:val="0"/>
          <w:numId w:val="2"/>
        </w:numPr>
        <w:spacing w:after="70"/>
      </w:pPr>
      <w:r>
        <w:rPr>
          <w:rFonts w:ascii="Calibri" w:eastAsia="Calibri" w:hAnsi="Calibri" w:cs="Calibri"/>
          <w:b/>
          <w:bCs/>
          <w:sz w:val="24"/>
          <w:szCs w:val="24"/>
        </w:rPr>
        <w:t xml:space="preserve">Drill-down requirement (Allam): </w:t>
      </w:r>
      <w:r>
        <w:rPr>
          <w:rFonts w:ascii="Calibri" w:eastAsia="Calibri" w:hAnsi="Calibri" w:cs="Calibri"/>
          <w:sz w:val="24"/>
          <w:szCs w:val="24"/>
        </w:rPr>
        <w:t>requested the ability to drill from a high-level figure down to transaction-level detail — e.g., total yearly sales → monthly → daily → sales channel → individual transaction → transaction detail (which customer, which ticket).</w:t>
      </w:r>
    </w:p>
    <w:p w14:paraId="5614DC85" w14:textId="368BE2D2" w:rsidR="00785B65" w:rsidRDefault="00D149E1">
      <w:pPr>
        <w:pStyle w:val="ListParagraph"/>
        <w:numPr>
          <w:ilvl w:val="0"/>
          <w:numId w:val="2"/>
        </w:numPr>
        <w:spacing w:after="70"/>
      </w:pPr>
      <w:r>
        <w:rPr>
          <w:rFonts w:ascii="Calibri" w:eastAsia="Calibri" w:hAnsi="Calibri" w:cs="Calibri"/>
          <w:b/>
          <w:bCs/>
          <w:sz w:val="24"/>
          <w:szCs w:val="24"/>
        </w:rPr>
        <w:t>Response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confirmed drill-down is achievable, but noted it depends on the data having a genuine hierarchical relationship — not every data type supports meaningful drill-down, and the underlying tables need a proper hierarchy-linked structure for it to work correctly. He also flagged that very large drill-down result sets (e.g., 10,000 transactions in a single day) must be handled without the interface crashing or becoming unresponsive.</w:t>
      </w:r>
    </w:p>
    <w:p w14:paraId="795CB6ED" w14:textId="77777777" w:rsidR="00785B65" w:rsidRDefault="00D149E1">
      <w:pPr>
        <w:pStyle w:val="ListParagraph"/>
        <w:numPr>
          <w:ilvl w:val="0"/>
          <w:numId w:val="2"/>
        </w:numPr>
        <w:spacing w:after="70"/>
      </w:pPr>
      <w:r>
        <w:rPr>
          <w:rFonts w:ascii="Calibri" w:eastAsia="Calibri" w:hAnsi="Calibri" w:cs="Calibri"/>
          <w:b/>
          <w:bCs/>
          <w:sz w:val="24"/>
          <w:szCs w:val="24"/>
        </w:rPr>
        <w:t xml:space="preserve">Confirmed (Allam): </w:t>
      </w:r>
      <w:r>
        <w:rPr>
          <w:rFonts w:ascii="Calibri" w:eastAsia="Calibri" w:hAnsi="Calibri" w:cs="Calibri"/>
          <w:sz w:val="24"/>
          <w:szCs w:val="24"/>
        </w:rPr>
        <w:t>agreed drill-down should apply where the data structure supports it, and that performance/stability at high transaction volumes is essential when implementing it.</w:t>
      </w:r>
    </w:p>
    <w:p w14:paraId="74E28F6A" w14:textId="77777777" w:rsidR="00785B65" w:rsidRDefault="00D149E1">
      <w:pPr>
        <w:spacing w:before="140" w:after="60"/>
      </w:pPr>
      <w:r>
        <w:rPr>
          <w:rFonts w:ascii="Calibri" w:eastAsia="Calibri" w:hAnsi="Calibri" w:cs="Calibri"/>
          <w:b/>
          <w:bCs/>
          <w:color w:val="215E99"/>
          <w:sz w:val="32"/>
          <w:szCs w:val="32"/>
        </w:rPr>
        <w:t>4.6 Real-Time Reporting Architecture — Replica Database &amp; Sync Strategy</w:t>
      </w:r>
    </w:p>
    <w:p w14:paraId="32A4D650" w14:textId="00CADD7B" w:rsidR="00785B65" w:rsidRDefault="00D149E1">
      <w:pPr>
        <w:pStyle w:val="ListParagraph"/>
        <w:numPr>
          <w:ilvl w:val="0"/>
          <w:numId w:val="2"/>
        </w:numPr>
        <w:spacing w:after="70"/>
      </w:pPr>
      <w:r>
        <w:rPr>
          <w:rFonts w:ascii="Calibri" w:eastAsia="Calibri" w:hAnsi="Calibri" w:cs="Calibri"/>
          <w:b/>
          <w:bCs/>
          <w:sz w:val="24"/>
          <w:szCs w:val="24"/>
        </w:rPr>
        <w:t>Extended technical discussion (</w:t>
      </w:r>
      <w:r w:rsidR="00E06158">
        <w:rPr>
          <w:rFonts w:ascii="Calibri" w:eastAsia="Calibri" w:hAnsi="Calibri" w:cs="Calibri"/>
          <w:b/>
          <w:bCs/>
          <w:sz w:val="24"/>
          <w:szCs w:val="24"/>
        </w:rPr>
        <w:t>Chinmay</w:t>
      </w:r>
      <w:r>
        <w:rPr>
          <w:rFonts w:ascii="Calibri" w:eastAsia="Calibri" w:hAnsi="Calibri" w:cs="Calibri"/>
          <w:b/>
          <w:bCs/>
          <w:sz w:val="24"/>
          <w:szCs w:val="24"/>
        </w:rPr>
        <w:t xml:space="preserve">/Allam/Qossai): </w:t>
      </w:r>
      <w:r w:rsidR="00E06158">
        <w:rPr>
          <w:rFonts w:ascii="Calibri" w:eastAsia="Calibri" w:hAnsi="Calibri" w:cs="Calibri"/>
          <w:sz w:val="24"/>
          <w:szCs w:val="24"/>
        </w:rPr>
        <w:t>Chinmay</w:t>
      </w:r>
      <w:r>
        <w:rPr>
          <w:rFonts w:ascii="Calibri" w:eastAsia="Calibri" w:hAnsi="Calibri" w:cs="Calibri"/>
          <w:sz w:val="24"/>
          <w:szCs w:val="24"/>
        </w:rPr>
        <w:t xml:space="preserve"> questioned how true real-time dashboard refresh would work without impacting the live transactional database, which already handles heavy read/write load from guest-facing channels.</w:t>
      </w:r>
    </w:p>
    <w:p w14:paraId="78BE77D4" w14:textId="77777777" w:rsidR="00785B65" w:rsidRDefault="00D149E1">
      <w:pPr>
        <w:pStyle w:val="ListParagraph"/>
        <w:numPr>
          <w:ilvl w:val="0"/>
          <w:numId w:val="2"/>
        </w:numPr>
        <w:spacing w:after="70"/>
      </w:pPr>
      <w:r>
        <w:rPr>
          <w:rFonts w:ascii="Calibri" w:eastAsia="Calibri" w:hAnsi="Calibri" w:cs="Calibri"/>
          <w:b/>
          <w:bCs/>
          <w:sz w:val="24"/>
          <w:szCs w:val="24"/>
        </w:rPr>
        <w:t xml:space="preserve">Confirmed (Allam/Qossai): </w:t>
      </w:r>
      <w:r>
        <w:rPr>
          <w:rFonts w:ascii="Calibri" w:eastAsia="Calibri" w:hAnsi="Calibri" w:cs="Calibri"/>
          <w:sz w:val="24"/>
          <w:szCs w:val="24"/>
        </w:rPr>
        <w:t>all reporting, analytics, and AI queries will run against a separate replica database, never the live production/transactional database — consistent with the architecture principle established in the earlier infrastructure session. The replica is kept in sync via the cloud provider's managed replication service (e.g., Azure), not custom-built sync logic, so the reporting workload never competes with live guest transactions for database resources.</w:t>
      </w:r>
    </w:p>
    <w:p w14:paraId="3E07E5C5" w14:textId="77777777" w:rsidR="00785B65" w:rsidRDefault="00D149E1">
      <w:pPr>
        <w:pStyle w:val="ListParagraph"/>
        <w:numPr>
          <w:ilvl w:val="0"/>
          <w:numId w:val="2"/>
        </w:numPr>
        <w:spacing w:after="70"/>
      </w:pPr>
      <w:r>
        <w:rPr>
          <w:rFonts w:ascii="Calibri" w:eastAsia="Calibri" w:hAnsi="Calibri" w:cs="Calibri"/>
          <w:b/>
          <w:bCs/>
          <w:sz w:val="24"/>
          <w:szCs w:val="24"/>
        </w:rPr>
        <w:t xml:space="preserve">Latency clarified (Allam): </w:t>
      </w:r>
      <w:r>
        <w:rPr>
          <w:rFonts w:ascii="Calibri" w:eastAsia="Calibri" w:hAnsi="Calibri" w:cs="Calibri"/>
          <w:sz w:val="24"/>
          <w:szCs w:val="24"/>
        </w:rPr>
        <w:t>managed replication typically syncs in near-real-time (on the order of seconds), which should be confirmed with the relevant infrastructure specialist.</w:t>
      </w:r>
    </w:p>
    <w:p w14:paraId="500683D1" w14:textId="4AF24B49" w:rsidR="00785B65" w:rsidRDefault="00D149E1">
      <w:pPr>
        <w:pStyle w:val="ListParagraph"/>
        <w:numPr>
          <w:ilvl w:val="0"/>
          <w:numId w:val="2"/>
        </w:numPr>
        <w:spacing w:after="70"/>
      </w:pPr>
      <w:r>
        <w:rPr>
          <w:rFonts w:ascii="Calibri" w:eastAsia="Calibri" w:hAnsi="Calibri" w:cs="Calibri"/>
          <w:b/>
          <w:bCs/>
          <w:sz w:val="24"/>
          <w:szCs w:val="24"/>
        </w:rPr>
        <w:lastRenderedPageBreak/>
        <w:t>Agreed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confirmed understanding and alignment with this approach (live database strictly for incoming transactions; replica database strictly for reporting/analytics/AI), and will separately confirm actual replication latency with the team's infrastructure/CI-CD specialist to validate it meets the “very close to real-time” expectation Allam described — driven by management's desire to monitor sales continuously rather than wait for periodic or end-of-day refreshes.</w:t>
      </w:r>
    </w:p>
    <w:p w14:paraId="24FBCD2F" w14:textId="77777777" w:rsidR="00785B65" w:rsidRDefault="00D149E1">
      <w:pPr>
        <w:spacing w:before="140" w:after="60"/>
      </w:pPr>
      <w:r>
        <w:rPr>
          <w:rFonts w:ascii="Calibri" w:eastAsia="Calibri" w:hAnsi="Calibri" w:cs="Calibri"/>
          <w:b/>
          <w:bCs/>
          <w:color w:val="215E99"/>
          <w:sz w:val="32"/>
          <w:szCs w:val="32"/>
        </w:rPr>
        <w:t>4.7 AI-Assisted Report &amp; Configuration Generation</w:t>
      </w:r>
    </w:p>
    <w:p w14:paraId="6AFB38E5" w14:textId="77777777" w:rsidR="00785B65" w:rsidRDefault="00D149E1">
      <w:pPr>
        <w:pStyle w:val="ListParagraph"/>
        <w:numPr>
          <w:ilvl w:val="0"/>
          <w:numId w:val="2"/>
        </w:numPr>
        <w:spacing w:after="70"/>
      </w:pPr>
      <w:r>
        <w:rPr>
          <w:rFonts w:ascii="Calibri" w:eastAsia="Calibri" w:hAnsi="Calibri" w:cs="Calibri"/>
          <w:b/>
          <w:bCs/>
          <w:sz w:val="24"/>
          <w:szCs w:val="24"/>
        </w:rPr>
        <w:t xml:space="preserve">Vision (Qossai): </w:t>
      </w:r>
      <w:r>
        <w:rPr>
          <w:rFonts w:ascii="Calibri" w:eastAsia="Calibri" w:hAnsi="Calibri" w:cs="Calibri"/>
          <w:sz w:val="24"/>
          <w:szCs w:val="24"/>
        </w:rPr>
        <w:t>described wanting a conversational report-building experience — a user simply asks the AI (e.g., “show me the top 10 products sold last week” or “build me a ticketing revenue report for Ferrari World, Dubai, for the last 3 months”) and the AI interprets the request against the underlying data model to generate the report, without the user needing to configure it manually.</w:t>
      </w:r>
    </w:p>
    <w:p w14:paraId="42C2AB91" w14:textId="0515C3D1" w:rsidR="00785B65" w:rsidRDefault="00D149E1">
      <w:pPr>
        <w:pStyle w:val="ListParagraph"/>
        <w:numPr>
          <w:ilvl w:val="0"/>
          <w:numId w:val="2"/>
        </w:numPr>
        <w:spacing w:after="70"/>
      </w:pPr>
      <w:r>
        <w:rPr>
          <w:rFonts w:ascii="Calibri" w:eastAsia="Calibri" w:hAnsi="Calibri" w:cs="Calibri"/>
          <w:b/>
          <w:bCs/>
          <w:sz w:val="24"/>
          <w:szCs w:val="24"/>
        </w:rPr>
        <w:t>Raised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cautioned that a single-shot generation approach risks repeated regeneration cycles if the user's initial request is incomplete, driving up token cost and hallucination risk; recommended the AI agent have guardrails and ask clarifying questions when key parameters (e.g., timeframe, venue, metric) are missing, rather than guessing.</w:t>
      </w:r>
    </w:p>
    <w:p w14:paraId="413CB59D" w14:textId="77777777" w:rsidR="00785B65" w:rsidRDefault="00D149E1">
      <w:pPr>
        <w:pStyle w:val="ListParagraph"/>
        <w:numPr>
          <w:ilvl w:val="0"/>
          <w:numId w:val="2"/>
        </w:numPr>
        <w:spacing w:after="70"/>
      </w:pPr>
      <w:r>
        <w:rPr>
          <w:rFonts w:ascii="Calibri" w:eastAsia="Calibri" w:hAnsi="Calibri" w:cs="Calibri"/>
          <w:b/>
          <w:bCs/>
          <w:sz w:val="24"/>
          <w:szCs w:val="24"/>
        </w:rPr>
        <w:t xml:space="preserve">Agreed (Qossai): </w:t>
      </w:r>
      <w:r>
        <w:rPr>
          <w:rFonts w:ascii="Calibri" w:eastAsia="Calibri" w:hAnsi="Calibri" w:cs="Calibri"/>
          <w:sz w:val="24"/>
          <w:szCs w:val="24"/>
        </w:rPr>
        <w:t>strongly agreed — most users won't naturally provide complete requirements up front, so the AI should iteratively ask follow-up questions until it has enough information before generating the report (or, similarly, before finalizing a product/ticket configuration created via AI — e.g., asking whether a ticket is admission, time-slot, or seat-assignment type, what categories and discounts apply, before creating it) — preferable to guessing and producing a misconfigured result.</w:t>
      </w:r>
    </w:p>
    <w:p w14:paraId="51101D01" w14:textId="0F696725" w:rsidR="00785B65" w:rsidRDefault="00D149E1">
      <w:pPr>
        <w:pStyle w:val="ListParagraph"/>
        <w:numPr>
          <w:ilvl w:val="0"/>
          <w:numId w:val="2"/>
        </w:numPr>
        <w:spacing w:after="70"/>
      </w:pPr>
      <w:r>
        <w:rPr>
          <w:rFonts w:ascii="Calibri" w:eastAsia="Calibri" w:hAnsi="Calibri" w:cs="Calibri"/>
          <w:b/>
          <w:bCs/>
          <w:sz w:val="24"/>
          <w:szCs w:val="24"/>
        </w:rPr>
        <w:t xml:space="preserve">Deferred: </w:t>
      </w:r>
      <w:r>
        <w:rPr>
          <w:rFonts w:ascii="Calibri" w:eastAsia="Calibri" w:hAnsi="Calibri" w:cs="Calibri"/>
          <w:sz w:val="24"/>
          <w:szCs w:val="24"/>
        </w:rPr>
        <w:t xml:space="preserve">Qossai noted AI topics generally (including this one in more depth) will be covered in dedicated AI-focused sessions once the remaining conventional/core modules are completed, since </w:t>
      </w:r>
      <w:r w:rsidR="00E06158">
        <w:rPr>
          <w:rFonts w:ascii="Calibri" w:eastAsia="Calibri" w:hAnsi="Calibri" w:cs="Calibri"/>
          <w:sz w:val="24"/>
          <w:szCs w:val="24"/>
        </w:rPr>
        <w:t>Chinmay</w:t>
      </w:r>
      <w:r>
        <w:rPr>
          <w:rFonts w:ascii="Calibri" w:eastAsia="Calibri" w:hAnsi="Calibri" w:cs="Calibri"/>
          <w:sz w:val="24"/>
          <w:szCs w:val="24"/>
        </w:rPr>
        <w:t>'s team has more hands-on AI implementation experience and Qossai wants their advice on the best approach (e.g., referencing his own use of AWS's “Kiro” tool) once that dedicated time is set aside.</w:t>
      </w:r>
    </w:p>
    <w:p w14:paraId="72358873" w14:textId="77777777" w:rsidR="00785B65" w:rsidRDefault="00D149E1">
      <w:pPr>
        <w:spacing w:before="140" w:after="60"/>
      </w:pPr>
      <w:r>
        <w:rPr>
          <w:rFonts w:ascii="Calibri" w:eastAsia="Calibri" w:hAnsi="Calibri" w:cs="Calibri"/>
          <w:b/>
          <w:bCs/>
          <w:color w:val="215E99"/>
          <w:sz w:val="32"/>
          <w:szCs w:val="32"/>
        </w:rPr>
        <w:t>4.8 Report Distribution &amp; Scheduling</w:t>
      </w:r>
    </w:p>
    <w:p w14:paraId="0AC0A2DC" w14:textId="77777777" w:rsidR="00785B65" w:rsidRDefault="00D149E1">
      <w:pPr>
        <w:pStyle w:val="ListParagraph"/>
        <w:numPr>
          <w:ilvl w:val="0"/>
          <w:numId w:val="2"/>
        </w:numPr>
        <w:spacing w:after="70"/>
      </w:pPr>
      <w:r>
        <w:rPr>
          <w:rFonts w:ascii="Calibri" w:eastAsia="Calibri" w:hAnsi="Calibri" w:cs="Calibri"/>
          <w:sz w:val="24"/>
          <w:szCs w:val="24"/>
        </w:rPr>
        <w:t>Reports can be scheduled for automatic distribution to defined recipient groups — e.g., a daily closing/summary sales report or shift-closing report emailed each morning to operations, finance, or sales, using configurable email templates with the report attached.</w:t>
      </w:r>
    </w:p>
    <w:p w14:paraId="1B3487CC" w14:textId="77777777" w:rsidR="00785B65" w:rsidRDefault="00D149E1">
      <w:pPr>
        <w:spacing w:before="140" w:after="60"/>
      </w:pPr>
      <w:r>
        <w:rPr>
          <w:rFonts w:ascii="Calibri" w:eastAsia="Calibri" w:hAnsi="Calibri" w:cs="Calibri"/>
          <w:b/>
          <w:bCs/>
          <w:color w:val="215E99"/>
          <w:sz w:val="32"/>
          <w:szCs w:val="32"/>
        </w:rPr>
        <w:t>4.9 Sales, Finance, Operations &amp; CRM Boards</w:t>
      </w:r>
    </w:p>
    <w:p w14:paraId="494A6796" w14:textId="77777777" w:rsidR="00785B65" w:rsidRDefault="00D149E1">
      <w:pPr>
        <w:pStyle w:val="ListParagraph"/>
        <w:numPr>
          <w:ilvl w:val="0"/>
          <w:numId w:val="2"/>
        </w:numPr>
        <w:spacing w:after="70"/>
      </w:pPr>
      <w:r>
        <w:rPr>
          <w:rFonts w:ascii="Calibri" w:eastAsia="Calibri" w:hAnsi="Calibri" w:cs="Calibri"/>
          <w:sz w:val="24"/>
          <w:szCs w:val="24"/>
        </w:rPr>
        <w:t>Sales board: product/attraction performance by sales channel, discounts, upsell/cross-sell results, and revenue recognition detail — deferred vs. realized revenue, sales forecast vs. target.</w:t>
      </w:r>
    </w:p>
    <w:p w14:paraId="4674D476" w14:textId="77777777" w:rsidR="00785B65" w:rsidRDefault="00D149E1">
      <w:pPr>
        <w:pStyle w:val="ListParagraph"/>
        <w:numPr>
          <w:ilvl w:val="0"/>
          <w:numId w:val="2"/>
        </w:numPr>
        <w:spacing w:after="70"/>
      </w:pPr>
      <w:r>
        <w:rPr>
          <w:rFonts w:ascii="Calibri" w:eastAsia="Calibri" w:hAnsi="Calibri" w:cs="Calibri"/>
          <w:sz w:val="24"/>
          <w:szCs w:val="24"/>
        </w:rPr>
        <w:t xml:space="preserve">Finance board: revenue by department and cost </w:t>
      </w:r>
      <w:proofErr w:type="spellStart"/>
      <w:r>
        <w:rPr>
          <w:rFonts w:ascii="Calibri" w:eastAsia="Calibri" w:hAnsi="Calibri" w:cs="Calibri"/>
          <w:sz w:val="24"/>
          <w:szCs w:val="24"/>
        </w:rPr>
        <w:t>center</w:t>
      </w:r>
      <w:proofErr w:type="spellEnd"/>
      <w:r>
        <w:rPr>
          <w:rFonts w:ascii="Calibri" w:eastAsia="Calibri" w:hAnsi="Calibri" w:cs="Calibri"/>
          <w:sz w:val="24"/>
          <w:szCs w:val="24"/>
        </w:rPr>
        <w:t>, shift-closing details, and payment gateway reconciliation, shown via bar and pie chart visualizations.</w:t>
      </w:r>
    </w:p>
    <w:p w14:paraId="0B078D16" w14:textId="77777777" w:rsidR="00785B65" w:rsidRDefault="00D149E1">
      <w:pPr>
        <w:pStyle w:val="ListParagraph"/>
        <w:numPr>
          <w:ilvl w:val="0"/>
          <w:numId w:val="2"/>
        </w:numPr>
        <w:spacing w:after="70"/>
      </w:pPr>
      <w:r>
        <w:rPr>
          <w:rFonts w:ascii="Calibri" w:eastAsia="Calibri" w:hAnsi="Calibri" w:cs="Calibri"/>
          <w:sz w:val="24"/>
          <w:szCs w:val="24"/>
        </w:rPr>
        <w:t>Operations board: access-control-driven metrics — total entries, attendance, exits, per-turnstile breakdowns, and park capacity utilization.</w:t>
      </w:r>
    </w:p>
    <w:p w14:paraId="3BBC2CC8" w14:textId="77777777" w:rsidR="00785B65" w:rsidRDefault="00D149E1">
      <w:pPr>
        <w:pStyle w:val="ListParagraph"/>
        <w:numPr>
          <w:ilvl w:val="0"/>
          <w:numId w:val="2"/>
        </w:numPr>
        <w:spacing w:after="70"/>
      </w:pPr>
      <w:r>
        <w:rPr>
          <w:rFonts w:ascii="Calibri" w:eastAsia="Calibri" w:hAnsi="Calibri" w:cs="Calibri"/>
          <w:b/>
          <w:bCs/>
          <w:sz w:val="24"/>
          <w:szCs w:val="24"/>
        </w:rPr>
        <w:t xml:space="preserve">CRM board: </w:t>
      </w:r>
      <w:r>
        <w:rPr>
          <w:rFonts w:ascii="Calibri" w:eastAsia="Calibri" w:hAnsi="Calibri" w:cs="Calibri"/>
          <w:sz w:val="24"/>
          <w:szCs w:val="24"/>
        </w:rPr>
        <w:t xml:space="preserve">membership/loyalty visit history, plus a retention/visit-frequency/churn intelligence section that flags customers becoming inactive — e.g., an annual pass holder </w:t>
      </w:r>
      <w:r>
        <w:rPr>
          <w:rFonts w:ascii="Calibri" w:eastAsia="Calibri" w:hAnsi="Calibri" w:cs="Calibri"/>
          <w:sz w:val="24"/>
          <w:szCs w:val="24"/>
        </w:rPr>
        <w:lastRenderedPageBreak/>
        <w:t xml:space="preserve">who hasn't visited in the last quarter is flagged for follow-up — alongside campaign/marketing performance and customer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analytics.</w:t>
      </w:r>
    </w:p>
    <w:p w14:paraId="3D0EB971" w14:textId="77777777" w:rsidR="00785B65" w:rsidRDefault="00D149E1">
      <w:pPr>
        <w:spacing w:before="140" w:after="60"/>
      </w:pPr>
      <w:r>
        <w:rPr>
          <w:rFonts w:ascii="Calibri" w:eastAsia="Calibri" w:hAnsi="Calibri" w:cs="Calibri"/>
          <w:b/>
          <w:bCs/>
          <w:color w:val="215E99"/>
          <w:sz w:val="32"/>
          <w:szCs w:val="32"/>
        </w:rPr>
        <w:t>4.10 AI Intelligence Layer &amp; KPI/Benchmarking Administration</w:t>
      </w:r>
    </w:p>
    <w:p w14:paraId="78ECF425" w14:textId="77777777" w:rsidR="00785B65" w:rsidRDefault="00D149E1">
      <w:pPr>
        <w:pStyle w:val="ListParagraph"/>
        <w:numPr>
          <w:ilvl w:val="0"/>
          <w:numId w:val="2"/>
        </w:numPr>
        <w:spacing w:after="70"/>
      </w:pPr>
      <w:r>
        <w:rPr>
          <w:rFonts w:ascii="Calibri" w:eastAsia="Calibri" w:hAnsi="Calibri" w:cs="Calibri"/>
          <w:sz w:val="24"/>
          <w:szCs w:val="24"/>
        </w:rPr>
        <w:t>An AI intelligence layer sits across all the above dashboards, providing insights into why a metric changed (e.g., why revenue dropped on a given day) and recommending management actions based on sales, revenue, and attendance trends.</w:t>
      </w:r>
    </w:p>
    <w:p w14:paraId="355F3650" w14:textId="77777777" w:rsidR="00785B65" w:rsidRDefault="00D149E1">
      <w:pPr>
        <w:pStyle w:val="ListParagraph"/>
        <w:numPr>
          <w:ilvl w:val="0"/>
          <w:numId w:val="2"/>
        </w:numPr>
        <w:spacing w:after="70"/>
      </w:pPr>
      <w:r>
        <w:rPr>
          <w:rFonts w:ascii="Calibri" w:eastAsia="Calibri" w:hAnsi="Calibri" w:cs="Calibri"/>
          <w:sz w:val="24"/>
          <w:szCs w:val="24"/>
        </w:rPr>
        <w:t>A KPI/benchmarking/BI administration board defines each KPI's target, data sources, and management rules — including why a KPI is failing and what recommended actions could help meet it.</w:t>
      </w:r>
    </w:p>
    <w:p w14:paraId="20B3731B" w14:textId="77777777" w:rsidR="00785B65" w:rsidRDefault="00D149E1">
      <w:pPr>
        <w:pStyle w:val="ListParagraph"/>
        <w:numPr>
          <w:ilvl w:val="0"/>
          <w:numId w:val="2"/>
        </w:numPr>
        <w:spacing w:after="70"/>
      </w:pPr>
      <w:r>
        <w:rPr>
          <w:rFonts w:ascii="Calibri" w:eastAsia="Calibri" w:hAnsi="Calibri" w:cs="Calibri"/>
          <w:sz w:val="24"/>
          <w:szCs w:val="24"/>
        </w:rPr>
        <w:t>Allam summarized this as roughly 10 boards covering the full analytical and statistical scope of the reporting module.</w:t>
      </w:r>
    </w:p>
    <w:p w14:paraId="1F5396B2" w14:textId="77777777" w:rsidR="00785B65" w:rsidRDefault="00D149E1">
      <w:pPr>
        <w:spacing w:before="140" w:after="60"/>
      </w:pPr>
      <w:r>
        <w:rPr>
          <w:rFonts w:ascii="Calibri" w:eastAsia="Calibri" w:hAnsi="Calibri" w:cs="Calibri"/>
          <w:b/>
          <w:bCs/>
          <w:color w:val="215E99"/>
          <w:sz w:val="32"/>
          <w:szCs w:val="32"/>
        </w:rPr>
        <w:t>4.11 Dashboard &amp; Reporting Module Consolidation Strategy</w:t>
      </w:r>
    </w:p>
    <w:p w14:paraId="64C8F3DE" w14:textId="6A166AF0" w:rsidR="00785B65" w:rsidRDefault="00D149E1">
      <w:pPr>
        <w:pStyle w:val="ListParagraph"/>
        <w:numPr>
          <w:ilvl w:val="0"/>
          <w:numId w:val="2"/>
        </w:numPr>
        <w:spacing w:after="70"/>
      </w:pPr>
      <w:r>
        <w:rPr>
          <w:rFonts w:ascii="Calibri" w:eastAsia="Calibri" w:hAnsi="Calibri" w:cs="Calibri"/>
          <w:b/>
          <w:bCs/>
          <w:sz w:val="24"/>
          <w:szCs w:val="24"/>
        </w:rPr>
        <w:t>Raised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proposed two possible structures — either (a) a single, unified “reporting &amp; analytics” command-</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module where a user's visible dashboards depend on their permissions (e.g., a sales manager with access to F&amp;B, retail, and ticketing sees a combined command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covering all three), or (b) each functional module (ticketing, F&amp;B, retail, etc.) maintaining its own dedicated dashboard/reporting screen — flagging that option (b) risks repetitive, duplicated reporting screens across modules.</w:t>
      </w:r>
    </w:p>
    <w:p w14:paraId="0C407740" w14:textId="77777777" w:rsidR="00785B65" w:rsidRDefault="00D149E1">
      <w:pPr>
        <w:pStyle w:val="ListParagraph"/>
        <w:numPr>
          <w:ilvl w:val="0"/>
          <w:numId w:val="2"/>
        </w:numPr>
        <w:spacing w:after="70"/>
      </w:pPr>
      <w:r>
        <w:rPr>
          <w:rFonts w:ascii="Calibri" w:eastAsia="Calibri" w:hAnsi="Calibri" w:cs="Calibri"/>
          <w:b/>
          <w:bCs/>
          <w:sz w:val="24"/>
          <w:szCs w:val="24"/>
        </w:rPr>
        <w:t xml:space="preserve">Agreed (Allam/Qossai): </w:t>
      </w:r>
      <w:r>
        <w:rPr>
          <w:rFonts w:ascii="Calibri" w:eastAsia="Calibri" w:hAnsi="Calibri" w:cs="Calibri"/>
          <w:sz w:val="24"/>
          <w:szCs w:val="24"/>
        </w:rPr>
        <w:t>confirmed the preferred approach is a single, consolidated reporting/dashboard area: a user opens “dashboards” once and sees all dashboards relevant to their access (finance sees finance dashboards, a CEO sees dashboards across sales, admissions, and access control, etc.) rather than switching between multiple separate module screens to find the same kind of information. Dashboard configuration/settings would live within this consolidated area as well.</w:t>
      </w:r>
    </w:p>
    <w:p w14:paraId="202B7F6F" w14:textId="77777777" w:rsidR="00785B65" w:rsidRDefault="00D149E1">
      <w:pPr>
        <w:pStyle w:val="ListParagraph"/>
        <w:numPr>
          <w:ilvl w:val="0"/>
          <w:numId w:val="2"/>
        </w:numPr>
        <w:spacing w:after="70"/>
      </w:pPr>
      <w:r>
        <w:rPr>
          <w:rFonts w:ascii="Calibri" w:eastAsia="Calibri" w:hAnsi="Calibri" w:cs="Calibri"/>
          <w:sz w:val="24"/>
          <w:szCs w:val="24"/>
        </w:rPr>
        <w:t>Simulation functionality (referenced throughout other modules) will remain embedded within each relevant section rather than being consolidated, since it's specific to testing that section's own configuration.</w:t>
      </w:r>
    </w:p>
    <w:p w14:paraId="3FC48D1B" w14:textId="77777777" w:rsidR="00785B65" w:rsidRDefault="00D149E1">
      <w:pPr>
        <w:spacing w:before="140" w:after="60"/>
      </w:pPr>
      <w:r>
        <w:rPr>
          <w:rFonts w:ascii="Calibri" w:eastAsia="Calibri" w:hAnsi="Calibri" w:cs="Calibri"/>
          <w:b/>
          <w:bCs/>
          <w:color w:val="215E99"/>
          <w:sz w:val="32"/>
          <w:szCs w:val="32"/>
        </w:rPr>
        <w:t>4.12 Approval Workflow Recap — Inbox, SLA &amp; Escalation</w:t>
      </w:r>
    </w:p>
    <w:p w14:paraId="72661F18" w14:textId="77777777" w:rsidR="00785B65" w:rsidRDefault="00D149E1">
      <w:pPr>
        <w:pStyle w:val="ListParagraph"/>
        <w:numPr>
          <w:ilvl w:val="0"/>
          <w:numId w:val="2"/>
        </w:numPr>
        <w:spacing w:after="70"/>
      </w:pPr>
      <w:r>
        <w:rPr>
          <w:rFonts w:ascii="Calibri" w:eastAsia="Calibri" w:hAnsi="Calibri" w:cs="Calibri"/>
          <w:sz w:val="24"/>
          <w:szCs w:val="24"/>
        </w:rPr>
        <w:t>Allam revisited the approval workflow module (previously introduced) with additional boards. Approval mechanisms can be configured for any type of request or configuration change — new product creation, price changes, website changes, etc.</w:t>
      </w:r>
    </w:p>
    <w:p w14:paraId="52C3D733" w14:textId="77777777" w:rsidR="00785B65" w:rsidRDefault="00D149E1">
      <w:pPr>
        <w:pStyle w:val="ListParagraph"/>
        <w:numPr>
          <w:ilvl w:val="0"/>
          <w:numId w:val="2"/>
        </w:numPr>
        <w:spacing w:after="70"/>
      </w:pPr>
      <w:r>
        <w:rPr>
          <w:rFonts w:ascii="Calibri" w:eastAsia="Calibri" w:hAnsi="Calibri" w:cs="Calibri"/>
          <w:sz w:val="24"/>
          <w:szCs w:val="24"/>
        </w:rPr>
        <w:t xml:space="preserve">An approval command </w:t>
      </w:r>
      <w:proofErr w:type="spellStart"/>
      <w:r>
        <w:rPr>
          <w:rFonts w:ascii="Calibri" w:eastAsia="Calibri" w:hAnsi="Calibri" w:cs="Calibri"/>
          <w:sz w:val="24"/>
          <w:szCs w:val="24"/>
        </w:rPr>
        <w:t>center</w:t>
      </w:r>
      <w:proofErr w:type="spellEnd"/>
      <w:r>
        <w:rPr>
          <w:rFonts w:ascii="Calibri" w:eastAsia="Calibri" w:hAnsi="Calibri" w:cs="Calibri"/>
          <w:sz w:val="24"/>
          <w:szCs w:val="24"/>
        </w:rPr>
        <w:t>/inbox shows all pending, validated, and renewal requests, and allows requests to be assigned or reassigned to the relevant department or person.</w:t>
      </w:r>
    </w:p>
    <w:p w14:paraId="3E23A68E" w14:textId="77777777" w:rsidR="00785B65" w:rsidRDefault="00D149E1">
      <w:pPr>
        <w:pStyle w:val="ListParagraph"/>
        <w:numPr>
          <w:ilvl w:val="0"/>
          <w:numId w:val="2"/>
        </w:numPr>
        <w:spacing w:after="70"/>
      </w:pPr>
      <w:r>
        <w:rPr>
          <w:rFonts w:ascii="Calibri" w:eastAsia="Calibri" w:hAnsi="Calibri" w:cs="Calibri"/>
          <w:sz w:val="24"/>
          <w:szCs w:val="24"/>
        </w:rPr>
        <w:t>SLA rules define how quickly a request must be approved (e.g., within one day); if not actioned in time, the request automatically escalates to the next level so someone can investigate why (e.g., the approver is on leave) and reassign as needed.</w:t>
      </w:r>
    </w:p>
    <w:p w14:paraId="78B9660E" w14:textId="77777777" w:rsidR="00785B65" w:rsidRDefault="00D149E1">
      <w:pPr>
        <w:spacing w:before="140" w:after="60"/>
      </w:pPr>
      <w:r>
        <w:rPr>
          <w:rFonts w:ascii="Calibri" w:eastAsia="Calibri" w:hAnsi="Calibri" w:cs="Calibri"/>
          <w:b/>
          <w:bCs/>
          <w:color w:val="215E99"/>
          <w:sz w:val="32"/>
          <w:szCs w:val="32"/>
        </w:rPr>
        <w:t>4.13 Approval Workflow Builder &amp; Authority/Amount-Based Rules</w:t>
      </w:r>
    </w:p>
    <w:p w14:paraId="7B8D2A6F" w14:textId="77777777" w:rsidR="00785B65" w:rsidRDefault="00D149E1">
      <w:pPr>
        <w:pStyle w:val="ListParagraph"/>
        <w:numPr>
          <w:ilvl w:val="0"/>
          <w:numId w:val="2"/>
        </w:numPr>
        <w:spacing w:after="70"/>
      </w:pPr>
      <w:r>
        <w:rPr>
          <w:rFonts w:ascii="Calibri" w:eastAsia="Calibri" w:hAnsi="Calibri" w:cs="Calibri"/>
          <w:sz w:val="24"/>
          <w:szCs w:val="24"/>
        </w:rPr>
        <w:t>The approval workflow builder defines who needs to approve a given request type and how many levels are required — e.g., a refund request requiring both a department head and the finance director to approve.</w:t>
      </w:r>
    </w:p>
    <w:p w14:paraId="71A1CE32" w14:textId="77777777" w:rsidR="00785B65" w:rsidRDefault="00D149E1">
      <w:pPr>
        <w:pStyle w:val="ListParagraph"/>
        <w:numPr>
          <w:ilvl w:val="0"/>
          <w:numId w:val="2"/>
        </w:numPr>
        <w:spacing w:after="70"/>
      </w:pPr>
      <w:r>
        <w:rPr>
          <w:rFonts w:ascii="Calibri" w:eastAsia="Calibri" w:hAnsi="Calibri" w:cs="Calibri"/>
          <w:sz w:val="24"/>
          <w:szCs w:val="24"/>
        </w:rPr>
        <w:lastRenderedPageBreak/>
        <w:t>Authority rules can be defined by amount and category — e.g., refunds under a threshold (such as AED 5,000) route to one approver, while larger amounts route to a different/higher approver — and can vary per tenant/venue via a tenant-and-venue approval matrix.</w:t>
      </w:r>
    </w:p>
    <w:p w14:paraId="67704754" w14:textId="77777777" w:rsidR="00785B65" w:rsidRDefault="00D149E1">
      <w:pPr>
        <w:spacing w:before="140" w:after="60"/>
      </w:pPr>
      <w:r>
        <w:rPr>
          <w:rFonts w:ascii="Calibri" w:eastAsia="Calibri" w:hAnsi="Calibri" w:cs="Calibri"/>
          <w:b/>
          <w:bCs/>
          <w:color w:val="215E99"/>
          <w:sz w:val="32"/>
          <w:szCs w:val="32"/>
        </w:rPr>
        <w:t>4.14 Approval Groups &amp; Decision Policy</w:t>
      </w:r>
    </w:p>
    <w:p w14:paraId="596D4266" w14:textId="77777777" w:rsidR="00785B65" w:rsidRDefault="00D149E1">
      <w:pPr>
        <w:pStyle w:val="ListParagraph"/>
        <w:numPr>
          <w:ilvl w:val="0"/>
          <w:numId w:val="2"/>
        </w:numPr>
        <w:spacing w:after="70"/>
      </w:pPr>
      <w:r>
        <w:rPr>
          <w:rFonts w:ascii="Calibri" w:eastAsia="Calibri" w:hAnsi="Calibri" w:cs="Calibri"/>
          <w:sz w:val="24"/>
          <w:szCs w:val="24"/>
        </w:rPr>
        <w:t>Approval groups can be defined per request type — e.g., a finance group handling refund requests, a separate operations group handling cancellation requests — with policy rules that vary approval depth based on factors like amount or ticket quantity (e.g., a small refund needs only department-head and finance sign-off, while a larger refund requires additional levels).</w:t>
      </w:r>
    </w:p>
    <w:p w14:paraId="4F991793" w14:textId="77777777" w:rsidR="00785B65" w:rsidRDefault="00D149E1">
      <w:pPr>
        <w:pStyle w:val="ListParagraph"/>
        <w:numPr>
          <w:ilvl w:val="0"/>
          <w:numId w:val="2"/>
        </w:numPr>
        <w:spacing w:after="70"/>
      </w:pPr>
      <w:r>
        <w:rPr>
          <w:rFonts w:ascii="Calibri" w:eastAsia="Calibri" w:hAnsi="Calibri" w:cs="Calibri"/>
          <w:b/>
          <w:bCs/>
          <w:sz w:val="24"/>
          <w:szCs w:val="24"/>
        </w:rPr>
        <w:t xml:space="preserve">Clarified (Qossai) — N-of-M approval rules: </w:t>
      </w:r>
      <w:r>
        <w:rPr>
          <w:rFonts w:ascii="Calibri" w:eastAsia="Calibri" w:hAnsi="Calibri" w:cs="Calibri"/>
          <w:sz w:val="24"/>
          <w:szCs w:val="24"/>
        </w:rPr>
        <w:t>within a group (e.g., a finance manager and their team), the policy can require a specific number of approvers out of the group (e.g., “any 2 of 5 team members”) while still mandating that a specific role (e.g., the CFO) must always be one of the approvers — giving flexible, configurable multi-approver rules rather than a single fixed approver per request type.</w:t>
      </w:r>
    </w:p>
    <w:p w14:paraId="3F2A380C" w14:textId="77777777" w:rsidR="00785B65" w:rsidRDefault="00D149E1">
      <w:pPr>
        <w:spacing w:before="140" w:after="60"/>
      </w:pPr>
      <w:r>
        <w:rPr>
          <w:rFonts w:ascii="Calibri" w:eastAsia="Calibri" w:hAnsi="Calibri" w:cs="Calibri"/>
          <w:b/>
          <w:bCs/>
          <w:color w:val="215E99"/>
          <w:sz w:val="32"/>
          <w:szCs w:val="32"/>
        </w:rPr>
        <w:t>4.15 Execution &amp; Decision Management</w:t>
      </w:r>
    </w:p>
    <w:p w14:paraId="51B4EF70" w14:textId="77777777" w:rsidR="00785B65" w:rsidRDefault="00D149E1">
      <w:pPr>
        <w:pStyle w:val="ListParagraph"/>
        <w:numPr>
          <w:ilvl w:val="0"/>
          <w:numId w:val="2"/>
        </w:numPr>
        <w:spacing w:after="70"/>
      </w:pPr>
      <w:r>
        <w:rPr>
          <w:rFonts w:ascii="Calibri" w:eastAsia="Calibri" w:hAnsi="Calibri" w:cs="Calibri"/>
          <w:sz w:val="24"/>
          <w:szCs w:val="24"/>
        </w:rPr>
        <w:t>This board tracks the full journey of a request through approval — a business context/evidence viewer shows relevant transaction detail (e.g., payment information, any logged customer complaint) supporting the decision, and an approval timeline shows exactly when the request was initiated and when each approval stage was completed or is pending.</w:t>
      </w:r>
    </w:p>
    <w:p w14:paraId="255275AE" w14:textId="77777777" w:rsidR="00785B65" w:rsidRDefault="00D149E1">
      <w:pPr>
        <w:pStyle w:val="ListParagraph"/>
        <w:numPr>
          <w:ilvl w:val="0"/>
          <w:numId w:val="2"/>
        </w:numPr>
        <w:spacing w:after="70"/>
      </w:pPr>
      <w:r>
        <w:rPr>
          <w:rFonts w:ascii="Calibri" w:eastAsia="Calibri" w:hAnsi="Calibri" w:cs="Calibri"/>
          <w:b/>
          <w:bCs/>
          <w:sz w:val="24"/>
          <w:szCs w:val="24"/>
        </w:rPr>
        <w:t xml:space="preserve">MFA / sensitive confirmation: </w:t>
      </w:r>
      <w:r>
        <w:rPr>
          <w:rFonts w:ascii="Calibri" w:eastAsia="Calibri" w:hAnsi="Calibri" w:cs="Calibri"/>
          <w:sz w:val="24"/>
          <w:szCs w:val="24"/>
        </w:rPr>
        <w:t>supports requiring multi-factor authentication or additional confirmation for sensitive approval actions.</w:t>
      </w:r>
    </w:p>
    <w:p w14:paraId="67794D74" w14:textId="2B06AA0F" w:rsidR="00785B65" w:rsidRDefault="00D149E1">
      <w:pPr>
        <w:pStyle w:val="ListParagraph"/>
        <w:numPr>
          <w:ilvl w:val="0"/>
          <w:numId w:val="2"/>
        </w:numPr>
        <w:spacing w:after="70"/>
      </w:pPr>
      <w:r>
        <w:rPr>
          <w:rFonts w:ascii="Calibri" w:eastAsia="Calibri" w:hAnsi="Calibri" w:cs="Calibri"/>
          <w:b/>
          <w:bCs/>
          <w:sz w:val="24"/>
          <w:szCs w:val="24"/>
        </w:rPr>
        <w:t>Clarified (</w:t>
      </w:r>
      <w:r w:rsidR="00E06158">
        <w:rPr>
          <w:rFonts w:ascii="Calibri" w:eastAsia="Calibri" w:hAnsi="Calibri" w:cs="Calibri"/>
          <w:b/>
          <w:bCs/>
          <w:sz w:val="24"/>
          <w:szCs w:val="24"/>
        </w:rPr>
        <w:t>Chinmay</w:t>
      </w:r>
      <w:r>
        <w:rPr>
          <w:rFonts w:ascii="Calibri" w:eastAsia="Calibri" w:hAnsi="Calibri" w:cs="Calibri"/>
          <w:b/>
          <w:bCs/>
          <w:sz w:val="24"/>
          <w:szCs w:val="24"/>
        </w:rPr>
        <w:t xml:space="preserve">'s question): </w:t>
      </w:r>
      <w:r>
        <w:rPr>
          <w:rFonts w:ascii="Calibri" w:eastAsia="Calibri" w:hAnsi="Calibri" w:cs="Calibri"/>
          <w:sz w:val="24"/>
          <w:szCs w:val="24"/>
        </w:rPr>
        <w:t>confirmed MFA for approval actions is a business-configurable option (enabled or not, per the business's preference) rather than a mandatory requirement, but the underlying capability must be built to support it when enabled.</w:t>
      </w:r>
    </w:p>
    <w:p w14:paraId="339D52A7" w14:textId="77777777" w:rsidR="00785B65" w:rsidRDefault="00D149E1">
      <w:pPr>
        <w:spacing w:before="140" w:after="60"/>
      </w:pPr>
      <w:r>
        <w:rPr>
          <w:rFonts w:ascii="Calibri" w:eastAsia="Calibri" w:hAnsi="Calibri" w:cs="Calibri"/>
          <w:b/>
          <w:bCs/>
          <w:color w:val="215E99"/>
          <w:sz w:val="32"/>
          <w:szCs w:val="32"/>
        </w:rPr>
        <w:t>4.16 Delegation, Substitute Approval &amp; SLA Monitoring</w:t>
      </w:r>
    </w:p>
    <w:p w14:paraId="35789FA5" w14:textId="77777777" w:rsidR="00785B65" w:rsidRDefault="00D149E1">
      <w:pPr>
        <w:pStyle w:val="ListParagraph"/>
        <w:numPr>
          <w:ilvl w:val="0"/>
          <w:numId w:val="2"/>
        </w:numPr>
        <w:spacing w:after="70"/>
      </w:pPr>
      <w:r>
        <w:rPr>
          <w:rFonts w:ascii="Calibri" w:eastAsia="Calibri" w:hAnsi="Calibri" w:cs="Calibri"/>
          <w:sz w:val="24"/>
          <w:szCs w:val="24"/>
        </w:rPr>
        <w:t>Delegation and availability management ensures an approval request doesn't stall because an approver is unavailable — defining who the substitute approver is in that case.</w:t>
      </w:r>
    </w:p>
    <w:p w14:paraId="6F9141A6" w14:textId="77777777" w:rsidR="00785B65" w:rsidRDefault="00D149E1">
      <w:pPr>
        <w:pStyle w:val="ListParagraph"/>
        <w:numPr>
          <w:ilvl w:val="0"/>
          <w:numId w:val="2"/>
        </w:numPr>
        <w:spacing w:after="70"/>
      </w:pPr>
      <w:r>
        <w:rPr>
          <w:rFonts w:ascii="Calibri" w:eastAsia="Calibri" w:hAnsi="Calibri" w:cs="Calibri"/>
          <w:sz w:val="24"/>
          <w:szCs w:val="24"/>
        </w:rPr>
        <w:t>SLA monitoring and reminders notify an approver (e.g., via email) as their deadline approaches; escalation rules and workload views show how many pending requests each approver currently carries.</w:t>
      </w:r>
    </w:p>
    <w:p w14:paraId="32906CCD" w14:textId="77777777" w:rsidR="00785B65" w:rsidRDefault="00D149E1">
      <w:pPr>
        <w:spacing w:before="140" w:after="60"/>
      </w:pPr>
      <w:r>
        <w:rPr>
          <w:rFonts w:ascii="Calibri" w:eastAsia="Calibri" w:hAnsi="Calibri" w:cs="Calibri"/>
          <w:b/>
          <w:bCs/>
          <w:color w:val="215E99"/>
          <w:sz w:val="32"/>
          <w:szCs w:val="32"/>
        </w:rPr>
        <w:t>4.17 Governance, Security, Compliance &amp; Audit</w:t>
      </w:r>
    </w:p>
    <w:p w14:paraId="69AAB2BC" w14:textId="77777777" w:rsidR="00785B65" w:rsidRDefault="00D149E1">
      <w:pPr>
        <w:pStyle w:val="ListParagraph"/>
        <w:numPr>
          <w:ilvl w:val="0"/>
          <w:numId w:val="2"/>
        </w:numPr>
        <w:spacing w:after="70"/>
      </w:pPr>
      <w:r>
        <w:rPr>
          <w:rFonts w:ascii="Calibri" w:eastAsia="Calibri" w:hAnsi="Calibri" w:cs="Calibri"/>
          <w:sz w:val="24"/>
          <w:szCs w:val="24"/>
        </w:rPr>
        <w:t>This board manages segregation of duties, multi-factor authentication policy, digital signature requirements where applicable, data retention, and audit trail — along with any identified compliance risks.</w:t>
      </w:r>
    </w:p>
    <w:p w14:paraId="5497D453" w14:textId="77777777" w:rsidR="00785B65" w:rsidRDefault="00D149E1">
      <w:pPr>
        <w:spacing w:before="140" w:after="60"/>
      </w:pPr>
      <w:r>
        <w:rPr>
          <w:rFonts w:ascii="Calibri" w:eastAsia="Calibri" w:hAnsi="Calibri" w:cs="Calibri"/>
          <w:b/>
          <w:bCs/>
          <w:color w:val="215E99"/>
          <w:sz w:val="32"/>
          <w:szCs w:val="32"/>
        </w:rPr>
        <w:t>4.18 API/Integration for the Approval Workflow</w:t>
      </w:r>
    </w:p>
    <w:p w14:paraId="5FB961EC" w14:textId="77777777" w:rsidR="00785B65" w:rsidRDefault="00D149E1">
      <w:pPr>
        <w:pStyle w:val="ListParagraph"/>
        <w:numPr>
          <w:ilvl w:val="0"/>
          <w:numId w:val="2"/>
        </w:numPr>
        <w:spacing w:after="70"/>
      </w:pPr>
      <w:r>
        <w:rPr>
          <w:rFonts w:ascii="Calibri" w:eastAsia="Calibri" w:hAnsi="Calibri" w:cs="Calibri"/>
          <w:sz w:val="24"/>
          <w:szCs w:val="24"/>
        </w:rPr>
        <w:lastRenderedPageBreak/>
        <w:t>API, webhook, and external workflow integration support allows the approval workflow to connect with third-party systems — covering data mapping and retry handling (e.g., resending a request that wasn't received by the external system).</w:t>
      </w:r>
    </w:p>
    <w:p w14:paraId="65EE788B" w14:textId="77777777" w:rsidR="00785B65" w:rsidRDefault="00D149E1">
      <w:pPr>
        <w:spacing w:before="140" w:after="60"/>
      </w:pPr>
      <w:r>
        <w:rPr>
          <w:rFonts w:ascii="Calibri" w:eastAsia="Calibri" w:hAnsi="Calibri" w:cs="Calibri"/>
          <w:b/>
          <w:bCs/>
          <w:color w:val="215E99"/>
          <w:sz w:val="32"/>
          <w:szCs w:val="32"/>
        </w:rPr>
        <w:t>4.19 Approval Analytics &amp; the Role of AI</w:t>
      </w:r>
    </w:p>
    <w:p w14:paraId="08935639" w14:textId="77777777" w:rsidR="00785B65" w:rsidRDefault="00D149E1">
      <w:pPr>
        <w:pStyle w:val="ListParagraph"/>
        <w:numPr>
          <w:ilvl w:val="0"/>
          <w:numId w:val="2"/>
        </w:numPr>
        <w:spacing w:after="70"/>
      </w:pPr>
      <w:r>
        <w:rPr>
          <w:rFonts w:ascii="Calibri" w:eastAsia="Calibri" w:hAnsi="Calibri" w:cs="Calibri"/>
          <w:sz w:val="24"/>
          <w:szCs w:val="24"/>
        </w:rPr>
        <w:t>Approval analytics shows how long each request took to process and overall performance/turnaround across all logged approval requests.</w:t>
      </w:r>
    </w:p>
    <w:p w14:paraId="175F8780" w14:textId="33C01D52" w:rsidR="00785B65" w:rsidRDefault="00D149E1">
      <w:pPr>
        <w:pStyle w:val="ListParagraph"/>
        <w:numPr>
          <w:ilvl w:val="0"/>
          <w:numId w:val="2"/>
        </w:numPr>
        <w:spacing w:after="70"/>
      </w:pPr>
      <w:r>
        <w:rPr>
          <w:rFonts w:ascii="Calibri" w:eastAsia="Calibri" w:hAnsi="Calibri" w:cs="Calibri"/>
          <w:b/>
          <w:bCs/>
          <w:sz w:val="24"/>
          <w:szCs w:val="24"/>
        </w:rPr>
        <w:t>Raised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asked what role AI would realistically play within the approval workflow module, given it is fundamentally a human decision-making process.</w:t>
      </w:r>
    </w:p>
    <w:p w14:paraId="46DDF538" w14:textId="77777777" w:rsidR="00785B65" w:rsidRDefault="00D149E1">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explicitly characterized approval as a human-governed module — AI's role is limited to analytics (turnaround time, bottlenecks, individual approver performance) rather than recommending or influencing whether a specific request should be approved or rejected; the decision to approve or deny remains entirely with the human approver.</w:t>
      </w:r>
    </w:p>
    <w:p w14:paraId="4C153644" w14:textId="4503D8D6" w:rsidR="00785B65" w:rsidRDefault="00D149E1">
      <w:pPr>
        <w:pStyle w:val="ListParagraph"/>
        <w:numPr>
          <w:ilvl w:val="0"/>
          <w:numId w:val="2"/>
        </w:numPr>
        <w:spacing w:after="70"/>
      </w:pPr>
      <w:r>
        <w:rPr>
          <w:rFonts w:ascii="Calibri" w:eastAsia="Calibri" w:hAnsi="Calibri" w:cs="Calibri"/>
          <w:b/>
          <w:bCs/>
          <w:sz w:val="24"/>
          <w:szCs w:val="24"/>
        </w:rPr>
        <w:t>Agreed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confirmed this scoped AI's role clearly to reporting/analytics on approval performance rather than decision support.</w:t>
      </w:r>
    </w:p>
    <w:p w14:paraId="64CFAF22" w14:textId="77777777" w:rsidR="00785B65" w:rsidRDefault="00D149E1">
      <w:pPr>
        <w:spacing w:before="140" w:after="60"/>
      </w:pPr>
      <w:r>
        <w:rPr>
          <w:rFonts w:ascii="Calibri" w:eastAsia="Calibri" w:hAnsi="Calibri" w:cs="Calibri"/>
          <w:b/>
          <w:bCs/>
          <w:color w:val="215E99"/>
          <w:sz w:val="32"/>
          <w:szCs w:val="32"/>
        </w:rPr>
        <w:t>4.20 Planning &amp; Next Steps</w:t>
      </w:r>
    </w:p>
    <w:p w14:paraId="0E7EA2CA" w14:textId="5656FFD5" w:rsidR="00785B65" w:rsidRDefault="00D149E1">
      <w:pPr>
        <w:pStyle w:val="ListParagraph"/>
        <w:numPr>
          <w:ilvl w:val="0"/>
          <w:numId w:val="2"/>
        </w:numPr>
        <w:spacing w:after="70"/>
      </w:pPr>
      <w:r>
        <w:rPr>
          <w:rFonts w:ascii="Calibri" w:eastAsia="Calibri" w:hAnsi="Calibri" w:cs="Calibri"/>
          <w:b/>
          <w:bCs/>
          <w:sz w:val="24"/>
          <w:szCs w:val="24"/>
        </w:rPr>
        <w:t xml:space="preserve">Remaining scope (Qossai): </w:t>
      </w:r>
      <w:r>
        <w:rPr>
          <w:rFonts w:ascii="Calibri" w:eastAsia="Calibri" w:hAnsi="Calibri" w:cs="Calibri"/>
          <w:sz w:val="24"/>
          <w:szCs w:val="24"/>
        </w:rPr>
        <w:t xml:space="preserve">listed the modules still outstanding — device management, tenant safety management, subscription/licensing, digital asset management (small), and a set of AI-driven modules (fraud detection, demand forecasting, AI engine/governance, recommendation engine, AI configuration), plus a small gaming/redemption payment module and developer sandbox/API management. Reporting/dashboard topics are considered complete as of today, though </w:t>
      </w:r>
      <w:r w:rsidR="00E06158">
        <w:rPr>
          <w:rFonts w:ascii="Calibri" w:eastAsia="Calibri" w:hAnsi="Calibri" w:cs="Calibri"/>
          <w:sz w:val="24"/>
          <w:szCs w:val="24"/>
        </w:rPr>
        <w:t>Chinmay</w:t>
      </w:r>
      <w:r>
        <w:rPr>
          <w:rFonts w:ascii="Calibri" w:eastAsia="Calibri" w:hAnsi="Calibri" w:cs="Calibri"/>
          <w:sz w:val="24"/>
          <w:szCs w:val="24"/>
        </w:rPr>
        <w:t xml:space="preserve"> noted reporting has touchpoints spread across every other module as well.</w:t>
      </w:r>
    </w:p>
    <w:p w14:paraId="2B37E764" w14:textId="64BAC2EE" w:rsidR="00785B65" w:rsidRDefault="00D149E1">
      <w:pPr>
        <w:pStyle w:val="ListParagraph"/>
        <w:numPr>
          <w:ilvl w:val="0"/>
          <w:numId w:val="2"/>
        </w:numPr>
        <w:spacing w:after="70"/>
      </w:pPr>
      <w:r>
        <w:rPr>
          <w:rFonts w:ascii="Calibri" w:eastAsia="Calibri" w:hAnsi="Calibri" w:cs="Calibri"/>
          <w:b/>
          <w:bCs/>
          <w:sz w:val="24"/>
          <w:szCs w:val="24"/>
        </w:rPr>
        <w:t>Agreed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confirmed the consolidation approach discussed in 4.11 — a user with access to F&amp;B, ticketing and retail would have one combined reporting/analytics module covering all three, rather than separate reporting screens per module.</w:t>
      </w:r>
    </w:p>
    <w:p w14:paraId="1AB4B029" w14:textId="77777777" w:rsidR="00785B65" w:rsidRDefault="00D149E1">
      <w:pPr>
        <w:pStyle w:val="ListParagraph"/>
        <w:numPr>
          <w:ilvl w:val="0"/>
          <w:numId w:val="2"/>
        </w:numPr>
        <w:spacing w:after="70"/>
      </w:pPr>
      <w:r>
        <w:rPr>
          <w:rFonts w:ascii="Calibri" w:eastAsia="Calibri" w:hAnsi="Calibri" w:cs="Calibri"/>
          <w:b/>
          <w:bCs/>
          <w:sz w:val="24"/>
          <w:szCs w:val="24"/>
        </w:rPr>
        <w:t xml:space="preserve">Schedule (Qossai): </w:t>
      </w:r>
      <w:r>
        <w:rPr>
          <w:rFonts w:ascii="Calibri" w:eastAsia="Calibri" w:hAnsi="Calibri" w:cs="Calibri"/>
          <w:sz w:val="24"/>
          <w:szCs w:val="24"/>
        </w:rPr>
        <w:t>targeting completion of the remaining core/conventional modules by the end of this week (rental management and subscription/licensing tomorrow), with AI-specific modules and dedicated AI sessions to begin next week.</w:t>
      </w:r>
    </w:p>
    <w:p w14:paraId="20D6DDA7" w14:textId="77777777" w:rsidR="00785B65" w:rsidRDefault="00D149E1">
      <w:pPr>
        <w:pStyle w:val="ListParagraph"/>
        <w:numPr>
          <w:ilvl w:val="0"/>
          <w:numId w:val="2"/>
        </w:numPr>
        <w:spacing w:after="70"/>
      </w:pPr>
      <w:r>
        <w:rPr>
          <w:rFonts w:ascii="Calibri" w:eastAsia="Calibri" w:hAnsi="Calibri" w:cs="Calibri"/>
          <w:b/>
          <w:bCs/>
          <w:sz w:val="24"/>
          <w:szCs w:val="24"/>
        </w:rPr>
        <w:t xml:space="preserve">B2C platform redesign (Qossai): </w:t>
      </w:r>
      <w:r>
        <w:rPr>
          <w:rFonts w:ascii="Calibri" w:eastAsia="Calibri" w:hAnsi="Calibri" w:cs="Calibri"/>
          <w:sz w:val="24"/>
          <w:szCs w:val="24"/>
        </w:rPr>
        <w:t>reiterated dissatisfaction with the current B2C guest platform build and requested a dedicated, separate session (distinct from the ongoing configuration workshops) to align on vision and direction, referencing the previously shown “Little Explorer” site and a Six Flags reference (single-page flow, right-to-left cart drawer, hero-banner product video) as inspiration.</w:t>
      </w:r>
    </w:p>
    <w:p w14:paraId="6E021174" w14:textId="66FBBF45" w:rsidR="00785B65" w:rsidRDefault="00D149E1">
      <w:pPr>
        <w:pStyle w:val="ListParagraph"/>
        <w:numPr>
          <w:ilvl w:val="0"/>
          <w:numId w:val="2"/>
        </w:numPr>
        <w:spacing w:after="70"/>
      </w:pPr>
      <w:r>
        <w:rPr>
          <w:rFonts w:ascii="Calibri" w:eastAsia="Calibri" w:hAnsi="Calibri" w:cs="Calibri"/>
          <w:b/>
          <w:bCs/>
          <w:sz w:val="24"/>
          <w:szCs w:val="24"/>
        </w:rPr>
        <w:t>UI/UX design sharing (</w:t>
      </w:r>
      <w:r w:rsidR="00E06158">
        <w:rPr>
          <w:rFonts w:ascii="Calibri" w:eastAsia="Calibri" w:hAnsi="Calibri" w:cs="Calibri"/>
          <w:b/>
          <w:bCs/>
          <w:sz w:val="24"/>
          <w:szCs w:val="24"/>
        </w:rPr>
        <w:t>Chinmay</w:t>
      </w:r>
      <w:r>
        <w:rPr>
          <w:rFonts w:ascii="Calibri" w:eastAsia="Calibri" w:hAnsi="Calibri" w:cs="Calibri"/>
          <w:b/>
          <w:bCs/>
          <w:sz w:val="24"/>
          <w:szCs w:val="24"/>
        </w:rPr>
        <w:t xml:space="preserve">): </w:t>
      </w:r>
      <w:r>
        <w:rPr>
          <w:rFonts w:ascii="Calibri" w:eastAsia="Calibri" w:hAnsi="Calibri" w:cs="Calibri"/>
          <w:sz w:val="24"/>
          <w:szCs w:val="24"/>
        </w:rPr>
        <w:t xml:space="preserve">explained the guest web app design work is being done in a </w:t>
      </w:r>
      <w:r w:rsidR="00E06158">
        <w:rPr>
          <w:rFonts w:ascii="Calibri" w:eastAsia="Calibri" w:hAnsi="Calibri" w:cs="Calibri"/>
          <w:sz w:val="24"/>
          <w:szCs w:val="24"/>
        </w:rPr>
        <w:t>Claude</w:t>
      </w:r>
      <w:r>
        <w:rPr>
          <w:rFonts w:ascii="Calibri" w:eastAsia="Calibri" w:hAnsi="Calibri" w:cs="Calibri"/>
          <w:sz w:val="24"/>
          <w:szCs w:val="24"/>
        </w:rPr>
        <w:t xml:space="preserve"> design tool that doesn't allow direct link sharing under his team's policy; a zip file will be shared once Aishwarya's current revisions are complete, and the team's skeleton wireframes are largely done and could be reviewed as early as next week.</w:t>
      </w:r>
    </w:p>
    <w:p w14:paraId="60647B69" w14:textId="77777777" w:rsidR="00785B65" w:rsidRDefault="00D149E1">
      <w:pPr>
        <w:spacing w:before="180" w:after="100"/>
      </w:pPr>
      <w:r>
        <w:rPr>
          <w:rFonts w:ascii="Calibri" w:eastAsia="Calibri" w:hAnsi="Calibri" w:cs="Calibri"/>
          <w:b/>
          <w:bCs/>
          <w:color w:val="215E99"/>
          <w:sz w:val="32"/>
          <w:szCs w:val="32"/>
        </w:rPr>
        <w:t>5. Key Decisions &amp; Agreements</w:t>
      </w:r>
    </w:p>
    <w:p w14:paraId="09DF571F" w14:textId="77777777" w:rsidR="00785B65" w:rsidRDefault="00D149E1">
      <w:pPr>
        <w:pStyle w:val="ListParagraph"/>
        <w:numPr>
          <w:ilvl w:val="0"/>
          <w:numId w:val="2"/>
        </w:numPr>
        <w:spacing w:after="70"/>
      </w:pPr>
      <w:r>
        <w:rPr>
          <w:rFonts w:ascii="Calibri" w:eastAsia="Calibri" w:hAnsi="Calibri" w:cs="Calibri"/>
          <w:sz w:val="24"/>
          <w:szCs w:val="24"/>
        </w:rPr>
        <w:lastRenderedPageBreak/>
        <w:t>TICVAI will build a native BI/reporting platform rather than integrating third-party tools (Power BI, Zoho), to avoid subscription/licensing costs and to support true near-real-time dashboard refresh.</w:t>
      </w:r>
    </w:p>
    <w:p w14:paraId="581DE9EC" w14:textId="77777777" w:rsidR="00785B65" w:rsidRDefault="00D149E1">
      <w:pPr>
        <w:pStyle w:val="ListParagraph"/>
        <w:numPr>
          <w:ilvl w:val="0"/>
          <w:numId w:val="2"/>
        </w:numPr>
        <w:spacing w:after="70"/>
      </w:pPr>
      <w:r>
        <w:rPr>
          <w:rFonts w:ascii="Calibri" w:eastAsia="Calibri" w:hAnsi="Calibri" w:cs="Calibri"/>
          <w:sz w:val="24"/>
          <w:szCs w:val="24"/>
        </w:rPr>
        <w:t>All reporting, analytics, and AI queries will run against a replica database (kept in sync via the cloud provider's managed replication), never the live transactional database, so reporting never competes with guest-facing transactions for database resources.</w:t>
      </w:r>
    </w:p>
    <w:p w14:paraId="0EA3DC47" w14:textId="77777777" w:rsidR="00785B65" w:rsidRDefault="00D149E1">
      <w:pPr>
        <w:pStyle w:val="ListParagraph"/>
        <w:numPr>
          <w:ilvl w:val="0"/>
          <w:numId w:val="2"/>
        </w:numPr>
        <w:spacing w:after="70"/>
      </w:pPr>
      <w:r>
        <w:rPr>
          <w:rFonts w:ascii="Calibri" w:eastAsia="Calibri" w:hAnsi="Calibri" w:cs="Calibri"/>
          <w:sz w:val="24"/>
          <w:szCs w:val="24"/>
        </w:rPr>
        <w:t>Drill-down reporting will be supported where data has a genuine hierarchical relationship, with performance/stability safeguards for very large result sets; it will not be forced onto data types where hierarchy doesn't apply.</w:t>
      </w:r>
    </w:p>
    <w:p w14:paraId="3F464598" w14:textId="77777777" w:rsidR="00785B65" w:rsidRDefault="00D149E1">
      <w:pPr>
        <w:pStyle w:val="ListParagraph"/>
        <w:numPr>
          <w:ilvl w:val="0"/>
          <w:numId w:val="2"/>
        </w:numPr>
        <w:spacing w:after="70"/>
      </w:pPr>
      <w:r>
        <w:rPr>
          <w:rFonts w:ascii="Calibri" w:eastAsia="Calibri" w:hAnsi="Calibri" w:cs="Calibri"/>
          <w:sz w:val="24"/>
          <w:szCs w:val="24"/>
        </w:rPr>
        <w:t>AI-assisted report and configuration generation will use an iterative, clarifying-question-based approach rather than single-shot generation from an incomplete request.</w:t>
      </w:r>
    </w:p>
    <w:p w14:paraId="05E89BBC" w14:textId="77777777" w:rsidR="00785B65" w:rsidRDefault="00D149E1">
      <w:pPr>
        <w:pStyle w:val="ListParagraph"/>
        <w:numPr>
          <w:ilvl w:val="0"/>
          <w:numId w:val="2"/>
        </w:numPr>
        <w:spacing w:after="70"/>
      </w:pPr>
      <w:r>
        <w:rPr>
          <w:rFonts w:ascii="Calibri" w:eastAsia="Calibri" w:hAnsi="Calibri" w:cs="Calibri"/>
          <w:sz w:val="24"/>
          <w:szCs w:val="24"/>
        </w:rPr>
        <w:t>Reporting/dashboards will be consolidated into a single, permission-based reporting &amp; analytics module rather than duplicated as separate dashboard screens inside every functional module.</w:t>
      </w:r>
    </w:p>
    <w:p w14:paraId="47AB21A9" w14:textId="77777777" w:rsidR="00785B65" w:rsidRDefault="00D149E1">
      <w:pPr>
        <w:pStyle w:val="ListParagraph"/>
        <w:numPr>
          <w:ilvl w:val="0"/>
          <w:numId w:val="2"/>
        </w:numPr>
        <w:spacing w:after="70"/>
      </w:pPr>
      <w:r>
        <w:rPr>
          <w:rFonts w:ascii="Calibri" w:eastAsia="Calibri" w:hAnsi="Calibri" w:cs="Calibri"/>
          <w:sz w:val="24"/>
          <w:szCs w:val="24"/>
        </w:rPr>
        <w:t>The approval workflow remains a fundamentally human-governed process; AI's role is limited to analytics/insights on approval performance, not approve/reject decision-making.</w:t>
      </w:r>
    </w:p>
    <w:p w14:paraId="0B372A3D" w14:textId="77777777" w:rsidR="00785B65" w:rsidRDefault="00D149E1">
      <w:pPr>
        <w:pStyle w:val="ListParagraph"/>
        <w:numPr>
          <w:ilvl w:val="0"/>
          <w:numId w:val="2"/>
        </w:numPr>
        <w:spacing w:after="70"/>
      </w:pPr>
      <w:r>
        <w:rPr>
          <w:rFonts w:ascii="Calibri" w:eastAsia="Calibri" w:hAnsi="Calibri" w:cs="Calibri"/>
          <w:sz w:val="24"/>
          <w:szCs w:val="24"/>
        </w:rPr>
        <w:t>MFA/step-up confirmation for sensitive approval actions will be a business-configurable, optional feature.</w:t>
      </w:r>
    </w:p>
    <w:p w14:paraId="5E5C1178" w14:textId="77777777" w:rsidR="00785B65" w:rsidRDefault="00D149E1">
      <w:pPr>
        <w:pStyle w:val="ListParagraph"/>
        <w:numPr>
          <w:ilvl w:val="0"/>
          <w:numId w:val="2"/>
        </w:numPr>
        <w:spacing w:after="70"/>
      </w:pPr>
      <w:r>
        <w:rPr>
          <w:rFonts w:ascii="Calibri" w:eastAsia="Calibri" w:hAnsi="Calibri" w:cs="Calibri"/>
          <w:sz w:val="24"/>
          <w:szCs w:val="24"/>
        </w:rPr>
        <w:t>Approval groups support flexible N-of-M approval rules (e.g., any 2 of 5 team members, with a specific role's approval always mandatory).</w:t>
      </w:r>
    </w:p>
    <w:p w14:paraId="0D1701FD" w14:textId="77777777" w:rsidR="00785B65" w:rsidRDefault="00D149E1">
      <w:pPr>
        <w:spacing w:before="180" w:after="100"/>
      </w:pPr>
      <w:r>
        <w:rPr>
          <w:rFonts w:ascii="Calibri" w:eastAsia="Calibri" w:hAnsi="Calibri" w:cs="Calibri"/>
          <w:b/>
          <w:bCs/>
          <w:color w:val="215E99"/>
          <w:sz w:val="32"/>
          <w:szCs w:val="32"/>
        </w:rPr>
        <w:t>6. Open Items / Questions for Follow-Up</w:t>
      </w:r>
    </w:p>
    <w:p w14:paraId="46B3EEC6" w14:textId="77777777" w:rsidR="00785B65" w:rsidRDefault="00D149E1">
      <w:pPr>
        <w:pStyle w:val="ListParagraph"/>
        <w:numPr>
          <w:ilvl w:val="0"/>
          <w:numId w:val="2"/>
        </w:numPr>
        <w:spacing w:after="70"/>
      </w:pPr>
      <w:r>
        <w:rPr>
          <w:rFonts w:ascii="Calibri" w:eastAsia="Calibri" w:hAnsi="Calibri" w:cs="Calibri"/>
          <w:sz w:val="24"/>
          <w:szCs w:val="24"/>
        </w:rPr>
        <w:t xml:space="preserve">Itemized customizable dashboard component list (chart/table types, page limits, responsive </w:t>
      </w:r>
      <w:proofErr w:type="spellStart"/>
      <w:r>
        <w:rPr>
          <w:rFonts w:ascii="Calibri" w:eastAsia="Calibri" w:hAnsi="Calibri" w:cs="Calibri"/>
          <w:sz w:val="24"/>
          <w:szCs w:val="24"/>
        </w:rPr>
        <w:t>behavior</w:t>
      </w:r>
      <w:proofErr w:type="spellEnd"/>
      <w:r>
        <w:rPr>
          <w:rFonts w:ascii="Calibri" w:eastAsia="Calibri" w:hAnsi="Calibri" w:cs="Calibri"/>
          <w:sz w:val="24"/>
          <w:szCs w:val="24"/>
        </w:rPr>
        <w:t>) — pending from Allam.</w:t>
      </w:r>
    </w:p>
    <w:p w14:paraId="7FDBEDAE" w14:textId="043A6226" w:rsidR="00785B65" w:rsidRDefault="00D149E1">
      <w:pPr>
        <w:pStyle w:val="ListParagraph"/>
        <w:numPr>
          <w:ilvl w:val="0"/>
          <w:numId w:val="2"/>
        </w:numPr>
        <w:spacing w:after="70"/>
      </w:pPr>
      <w:r>
        <w:rPr>
          <w:rFonts w:ascii="Calibri" w:eastAsia="Calibri" w:hAnsi="Calibri" w:cs="Calibri"/>
          <w:sz w:val="24"/>
          <w:szCs w:val="24"/>
        </w:rPr>
        <w:t xml:space="preserve">Real-time replica database sync latency confirmation — pending from </w:t>
      </w:r>
      <w:r w:rsidR="00E06158">
        <w:rPr>
          <w:rFonts w:ascii="Calibri" w:eastAsia="Calibri" w:hAnsi="Calibri" w:cs="Calibri"/>
          <w:sz w:val="24"/>
          <w:szCs w:val="24"/>
        </w:rPr>
        <w:t>Chinmay</w:t>
      </w:r>
      <w:r>
        <w:rPr>
          <w:rFonts w:ascii="Calibri" w:eastAsia="Calibri" w:hAnsi="Calibri" w:cs="Calibri"/>
          <w:sz w:val="24"/>
          <w:szCs w:val="24"/>
        </w:rPr>
        <w:t>, via the infrastructure/CI-CD specialist.</w:t>
      </w:r>
    </w:p>
    <w:p w14:paraId="333A1E8D" w14:textId="36A1B712" w:rsidR="00785B65" w:rsidRDefault="00D149E1">
      <w:pPr>
        <w:pStyle w:val="ListParagraph"/>
        <w:numPr>
          <w:ilvl w:val="0"/>
          <w:numId w:val="2"/>
        </w:numPr>
        <w:spacing w:after="70"/>
      </w:pPr>
      <w:r>
        <w:rPr>
          <w:rFonts w:ascii="Calibri" w:eastAsia="Calibri" w:hAnsi="Calibri" w:cs="Calibri"/>
          <w:sz w:val="24"/>
          <w:szCs w:val="24"/>
        </w:rPr>
        <w:t>Guest web app design zip file (current revisions in progress) — pending from Aishwarya/</w:t>
      </w:r>
      <w:r w:rsidR="00E06158">
        <w:rPr>
          <w:rFonts w:ascii="Calibri" w:eastAsia="Calibri" w:hAnsi="Calibri" w:cs="Calibri"/>
          <w:sz w:val="24"/>
          <w:szCs w:val="24"/>
        </w:rPr>
        <w:t>Chinmay</w:t>
      </w:r>
      <w:r>
        <w:rPr>
          <w:rFonts w:ascii="Calibri" w:eastAsia="Calibri" w:hAnsi="Calibri" w:cs="Calibri"/>
          <w:sz w:val="24"/>
          <w:szCs w:val="24"/>
        </w:rPr>
        <w:t>'s team.</w:t>
      </w:r>
    </w:p>
    <w:p w14:paraId="57B2E841" w14:textId="77777777" w:rsidR="00785B65" w:rsidRDefault="00D149E1">
      <w:pPr>
        <w:pStyle w:val="ListParagraph"/>
        <w:numPr>
          <w:ilvl w:val="0"/>
          <w:numId w:val="2"/>
        </w:numPr>
        <w:spacing w:after="70"/>
      </w:pPr>
      <w:r>
        <w:rPr>
          <w:rFonts w:ascii="Calibri" w:eastAsia="Calibri" w:hAnsi="Calibri" w:cs="Calibri"/>
          <w:sz w:val="24"/>
          <w:szCs w:val="24"/>
        </w:rPr>
        <w:t xml:space="preserve">Dedicated B2C guest platform vision/alignment session — to be scheduled separately, per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request.</w:t>
      </w:r>
    </w:p>
    <w:p w14:paraId="0584E813" w14:textId="77777777" w:rsidR="00785B65" w:rsidRDefault="00D149E1">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785B65" w14:paraId="684011A2"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56C7C7F0" w14:textId="77777777" w:rsidR="00785B65" w:rsidRDefault="00D149E1">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494E3461" w14:textId="77777777" w:rsidR="00785B65" w:rsidRDefault="00D149E1">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583C402F" w14:textId="77777777" w:rsidR="00785B65" w:rsidRDefault="00D149E1">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1A7727D7" w14:textId="77777777" w:rsidR="00785B65" w:rsidRDefault="00D149E1">
            <w:r>
              <w:rPr>
                <w:rFonts w:ascii="Calibri" w:eastAsia="Calibri" w:hAnsi="Calibri" w:cs="Calibri"/>
                <w:b/>
                <w:bCs/>
                <w:color w:val="FFFFFF"/>
                <w:sz w:val="24"/>
                <w:szCs w:val="24"/>
              </w:rPr>
              <w:t>Status</w:t>
            </w:r>
          </w:p>
        </w:tc>
      </w:tr>
      <w:tr w:rsidR="00785B65" w14:paraId="63757303" w14:textId="77777777">
        <w:tblPrEx>
          <w:tblCellMar>
            <w:top w:w="0" w:type="dxa"/>
            <w:bottom w:w="0" w:type="dxa"/>
          </w:tblCellMar>
        </w:tblPrEx>
        <w:tc>
          <w:tcPr>
            <w:tcW w:w="3800" w:type="dxa"/>
            <w:tcMar>
              <w:top w:w="80" w:type="dxa"/>
              <w:left w:w="120" w:type="dxa"/>
              <w:bottom w:w="80" w:type="dxa"/>
              <w:right w:w="120" w:type="dxa"/>
            </w:tcMar>
          </w:tcPr>
          <w:p w14:paraId="7CF16C55" w14:textId="77777777" w:rsidR="00785B65" w:rsidRDefault="00D149E1">
            <w:r>
              <w:rPr>
                <w:rFonts w:ascii="Calibri" w:eastAsia="Calibri" w:hAnsi="Calibri" w:cs="Calibri"/>
                <w:sz w:val="24"/>
                <w:szCs w:val="24"/>
              </w:rPr>
              <w:t>Share the BI/reporting and approval workflow documentation covered today</w:t>
            </w:r>
          </w:p>
        </w:tc>
        <w:tc>
          <w:tcPr>
            <w:tcW w:w="1850" w:type="dxa"/>
            <w:tcMar>
              <w:top w:w="80" w:type="dxa"/>
              <w:left w:w="120" w:type="dxa"/>
              <w:bottom w:w="80" w:type="dxa"/>
              <w:right w:w="120" w:type="dxa"/>
            </w:tcMar>
          </w:tcPr>
          <w:p w14:paraId="54D5FC14" w14:textId="77777777" w:rsidR="00785B65" w:rsidRDefault="00D149E1">
            <w:r>
              <w:rPr>
                <w:rFonts w:ascii="Calibri" w:eastAsia="Calibri" w:hAnsi="Calibri" w:cs="Calibri"/>
                <w:sz w:val="24"/>
                <w:szCs w:val="24"/>
              </w:rPr>
              <w:t>Allam</w:t>
            </w:r>
          </w:p>
        </w:tc>
        <w:tc>
          <w:tcPr>
            <w:tcW w:w="1800" w:type="dxa"/>
            <w:tcMar>
              <w:top w:w="80" w:type="dxa"/>
              <w:left w:w="120" w:type="dxa"/>
              <w:bottom w:w="80" w:type="dxa"/>
              <w:right w:w="120" w:type="dxa"/>
            </w:tcMar>
          </w:tcPr>
          <w:p w14:paraId="30346734" w14:textId="77777777" w:rsidR="00785B65" w:rsidRDefault="00D149E1">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65680ADB" w14:textId="77777777" w:rsidR="00785B65" w:rsidRDefault="00D149E1">
            <w:r>
              <w:rPr>
                <w:rFonts w:ascii="Calibri" w:eastAsia="Calibri" w:hAnsi="Calibri" w:cs="Calibri"/>
                <w:sz w:val="24"/>
                <w:szCs w:val="24"/>
              </w:rPr>
              <w:t>Open</w:t>
            </w:r>
          </w:p>
        </w:tc>
      </w:tr>
      <w:tr w:rsidR="00785B65" w14:paraId="0FA6CE79" w14:textId="77777777">
        <w:tblPrEx>
          <w:tblCellMar>
            <w:top w:w="0" w:type="dxa"/>
            <w:bottom w:w="0" w:type="dxa"/>
          </w:tblCellMar>
        </w:tblPrEx>
        <w:tc>
          <w:tcPr>
            <w:tcW w:w="3800" w:type="dxa"/>
            <w:tcMar>
              <w:top w:w="80" w:type="dxa"/>
              <w:left w:w="120" w:type="dxa"/>
              <w:bottom w:w="80" w:type="dxa"/>
              <w:right w:w="120" w:type="dxa"/>
            </w:tcMar>
          </w:tcPr>
          <w:p w14:paraId="2BCA12CE" w14:textId="77777777" w:rsidR="00785B65" w:rsidRDefault="00D149E1">
            <w:r>
              <w:rPr>
                <w:rFonts w:ascii="Calibri" w:eastAsia="Calibri" w:hAnsi="Calibri" w:cs="Calibri"/>
                <w:sz w:val="24"/>
                <w:szCs w:val="24"/>
              </w:rPr>
              <w:t xml:space="preserve">Prepare a precise, itemized list of all customizable dashboard components (chart/table types, </w:t>
            </w:r>
            <w:r>
              <w:rPr>
                <w:rFonts w:ascii="Calibri" w:eastAsia="Calibri" w:hAnsi="Calibri" w:cs="Calibri"/>
                <w:sz w:val="24"/>
                <w:szCs w:val="24"/>
              </w:rPr>
              <w:lastRenderedPageBreak/>
              <w:t>page limits, responsive rules) for Softlabs to build against</w:t>
            </w:r>
          </w:p>
        </w:tc>
        <w:tc>
          <w:tcPr>
            <w:tcW w:w="1850" w:type="dxa"/>
            <w:tcMar>
              <w:top w:w="80" w:type="dxa"/>
              <w:left w:w="120" w:type="dxa"/>
              <w:bottom w:w="80" w:type="dxa"/>
              <w:right w:w="120" w:type="dxa"/>
            </w:tcMar>
          </w:tcPr>
          <w:p w14:paraId="02404514" w14:textId="77777777" w:rsidR="00785B65" w:rsidRDefault="00D149E1">
            <w:r>
              <w:rPr>
                <w:rFonts w:ascii="Calibri" w:eastAsia="Calibri" w:hAnsi="Calibri" w:cs="Calibri"/>
                <w:sz w:val="24"/>
                <w:szCs w:val="24"/>
              </w:rPr>
              <w:lastRenderedPageBreak/>
              <w:t>Allam</w:t>
            </w:r>
          </w:p>
        </w:tc>
        <w:tc>
          <w:tcPr>
            <w:tcW w:w="1800" w:type="dxa"/>
            <w:tcMar>
              <w:top w:w="80" w:type="dxa"/>
              <w:left w:w="120" w:type="dxa"/>
              <w:bottom w:w="80" w:type="dxa"/>
              <w:right w:w="120" w:type="dxa"/>
            </w:tcMar>
          </w:tcPr>
          <w:p w14:paraId="76A6B461" w14:textId="77777777" w:rsidR="00785B65" w:rsidRDefault="00D149E1">
            <w:r>
              <w:rPr>
                <w:rFonts w:ascii="Calibri" w:eastAsia="Calibri" w:hAnsi="Calibri" w:cs="Calibri"/>
                <w:sz w:val="24"/>
                <w:szCs w:val="24"/>
              </w:rPr>
              <w:t>Before dashboard build</w:t>
            </w:r>
          </w:p>
        </w:tc>
        <w:tc>
          <w:tcPr>
            <w:tcW w:w="1900" w:type="dxa"/>
            <w:tcMar>
              <w:top w:w="80" w:type="dxa"/>
              <w:left w:w="120" w:type="dxa"/>
              <w:bottom w:w="80" w:type="dxa"/>
              <w:right w:w="120" w:type="dxa"/>
            </w:tcMar>
          </w:tcPr>
          <w:p w14:paraId="7462DC35" w14:textId="77777777" w:rsidR="00785B65" w:rsidRDefault="00D149E1">
            <w:r>
              <w:rPr>
                <w:rFonts w:ascii="Calibri" w:eastAsia="Calibri" w:hAnsi="Calibri" w:cs="Calibri"/>
                <w:sz w:val="24"/>
                <w:szCs w:val="24"/>
              </w:rPr>
              <w:t>Open</w:t>
            </w:r>
          </w:p>
        </w:tc>
      </w:tr>
      <w:tr w:rsidR="00785B65" w14:paraId="16BB7868" w14:textId="77777777">
        <w:tblPrEx>
          <w:tblCellMar>
            <w:top w:w="0" w:type="dxa"/>
            <w:bottom w:w="0" w:type="dxa"/>
          </w:tblCellMar>
        </w:tblPrEx>
        <w:tc>
          <w:tcPr>
            <w:tcW w:w="3800" w:type="dxa"/>
            <w:tcMar>
              <w:top w:w="80" w:type="dxa"/>
              <w:left w:w="120" w:type="dxa"/>
              <w:bottom w:w="80" w:type="dxa"/>
              <w:right w:w="120" w:type="dxa"/>
            </w:tcMar>
          </w:tcPr>
          <w:p w14:paraId="0D4BBD1F" w14:textId="77777777" w:rsidR="00785B65" w:rsidRDefault="00D149E1">
            <w:r>
              <w:rPr>
                <w:rFonts w:ascii="Calibri" w:eastAsia="Calibri" w:hAnsi="Calibri" w:cs="Calibri"/>
                <w:sz w:val="24"/>
                <w:szCs w:val="24"/>
              </w:rPr>
              <w:t>Confirm real-time replica database sync latency with the infrastructure/CI-CD specialist</w:t>
            </w:r>
          </w:p>
        </w:tc>
        <w:tc>
          <w:tcPr>
            <w:tcW w:w="1850" w:type="dxa"/>
            <w:tcMar>
              <w:top w:w="80" w:type="dxa"/>
              <w:left w:w="120" w:type="dxa"/>
              <w:bottom w:w="80" w:type="dxa"/>
              <w:right w:w="120" w:type="dxa"/>
            </w:tcMar>
          </w:tcPr>
          <w:p w14:paraId="2DA2F47A" w14:textId="0DFC442D" w:rsidR="00785B65" w:rsidRDefault="00E06158">
            <w:r>
              <w:rPr>
                <w:rFonts w:ascii="Calibri" w:eastAsia="Calibri" w:hAnsi="Calibri" w:cs="Calibri"/>
                <w:sz w:val="24"/>
                <w:szCs w:val="24"/>
              </w:rPr>
              <w:t>Chinmay</w:t>
            </w:r>
            <w:r w:rsidR="00D149E1">
              <w:rPr>
                <w:rFonts w:ascii="Calibri" w:eastAsia="Calibri" w:hAnsi="Calibri" w:cs="Calibri"/>
                <w:sz w:val="24"/>
                <w:szCs w:val="24"/>
              </w:rPr>
              <w:t xml:space="preserve"> Patkar</w:t>
            </w:r>
          </w:p>
        </w:tc>
        <w:tc>
          <w:tcPr>
            <w:tcW w:w="1800" w:type="dxa"/>
            <w:tcMar>
              <w:top w:w="80" w:type="dxa"/>
              <w:left w:w="120" w:type="dxa"/>
              <w:bottom w:w="80" w:type="dxa"/>
              <w:right w:w="120" w:type="dxa"/>
            </w:tcMar>
          </w:tcPr>
          <w:p w14:paraId="5F89B839" w14:textId="77777777" w:rsidR="00785B65" w:rsidRDefault="00D149E1">
            <w:r>
              <w:rPr>
                <w:rFonts w:ascii="Calibri" w:eastAsia="Calibri" w:hAnsi="Calibri" w:cs="Calibri"/>
                <w:sz w:val="24"/>
                <w:szCs w:val="24"/>
              </w:rPr>
              <w:t>Before finalizing reporting architecture</w:t>
            </w:r>
          </w:p>
        </w:tc>
        <w:tc>
          <w:tcPr>
            <w:tcW w:w="1900" w:type="dxa"/>
            <w:tcMar>
              <w:top w:w="80" w:type="dxa"/>
              <w:left w:w="120" w:type="dxa"/>
              <w:bottom w:w="80" w:type="dxa"/>
              <w:right w:w="120" w:type="dxa"/>
            </w:tcMar>
          </w:tcPr>
          <w:p w14:paraId="416D3C9F" w14:textId="77777777" w:rsidR="00785B65" w:rsidRDefault="00D149E1">
            <w:r>
              <w:rPr>
                <w:rFonts w:ascii="Calibri" w:eastAsia="Calibri" w:hAnsi="Calibri" w:cs="Calibri"/>
                <w:sz w:val="24"/>
                <w:szCs w:val="24"/>
              </w:rPr>
              <w:t>Open</w:t>
            </w:r>
          </w:p>
        </w:tc>
      </w:tr>
      <w:tr w:rsidR="00785B65" w14:paraId="50807225" w14:textId="77777777">
        <w:tblPrEx>
          <w:tblCellMar>
            <w:top w:w="0" w:type="dxa"/>
            <w:bottom w:w="0" w:type="dxa"/>
          </w:tblCellMar>
        </w:tblPrEx>
        <w:tc>
          <w:tcPr>
            <w:tcW w:w="3800" w:type="dxa"/>
            <w:tcMar>
              <w:top w:w="80" w:type="dxa"/>
              <w:left w:w="120" w:type="dxa"/>
              <w:bottom w:w="80" w:type="dxa"/>
              <w:right w:w="120" w:type="dxa"/>
            </w:tcMar>
          </w:tcPr>
          <w:p w14:paraId="3106DCB0" w14:textId="77777777" w:rsidR="00785B65" w:rsidRDefault="00D149E1">
            <w:r>
              <w:rPr>
                <w:rFonts w:ascii="Calibri" w:eastAsia="Calibri" w:hAnsi="Calibri" w:cs="Calibri"/>
                <w:sz w:val="24"/>
                <w:szCs w:val="24"/>
              </w:rPr>
              <w:t>Share the guest web app design zip file once current revisions are complete (cloud design tool restricts direct link sharing)</w:t>
            </w:r>
          </w:p>
        </w:tc>
        <w:tc>
          <w:tcPr>
            <w:tcW w:w="1850" w:type="dxa"/>
            <w:tcMar>
              <w:top w:w="80" w:type="dxa"/>
              <w:left w:w="120" w:type="dxa"/>
              <w:bottom w:w="80" w:type="dxa"/>
              <w:right w:w="120" w:type="dxa"/>
            </w:tcMar>
          </w:tcPr>
          <w:p w14:paraId="6F4D1A89" w14:textId="49FFD90C" w:rsidR="00785B65" w:rsidRDefault="00D149E1">
            <w:r>
              <w:rPr>
                <w:rFonts w:ascii="Calibri" w:eastAsia="Calibri" w:hAnsi="Calibri" w:cs="Calibri"/>
                <w:sz w:val="24"/>
                <w:szCs w:val="24"/>
              </w:rPr>
              <w:t xml:space="preserve">Aishwarya More / </w:t>
            </w:r>
            <w:r w:rsidR="00E06158">
              <w:rPr>
                <w:rFonts w:ascii="Calibri" w:eastAsia="Calibri" w:hAnsi="Calibri" w:cs="Calibri"/>
                <w:sz w:val="24"/>
                <w:szCs w:val="24"/>
              </w:rPr>
              <w:t>Chinmay</w:t>
            </w:r>
            <w:r>
              <w:rPr>
                <w:rFonts w:ascii="Calibri" w:eastAsia="Calibri" w:hAnsi="Calibri" w:cs="Calibri"/>
                <w:sz w:val="24"/>
                <w:szCs w:val="24"/>
              </w:rPr>
              <w:t xml:space="preserve"> Patkar</w:t>
            </w:r>
          </w:p>
        </w:tc>
        <w:tc>
          <w:tcPr>
            <w:tcW w:w="1800" w:type="dxa"/>
            <w:tcMar>
              <w:top w:w="80" w:type="dxa"/>
              <w:left w:w="120" w:type="dxa"/>
              <w:bottom w:w="80" w:type="dxa"/>
              <w:right w:w="120" w:type="dxa"/>
            </w:tcMar>
          </w:tcPr>
          <w:p w14:paraId="7BFFE85C" w14:textId="77777777" w:rsidR="00785B65" w:rsidRDefault="00D149E1">
            <w:r>
              <w:rPr>
                <w:rFonts w:ascii="Calibri" w:eastAsia="Calibri" w:hAnsi="Calibri" w:cs="Calibri"/>
                <w:sz w:val="24"/>
                <w:szCs w:val="24"/>
              </w:rPr>
              <w:t>Once ready</w:t>
            </w:r>
          </w:p>
        </w:tc>
        <w:tc>
          <w:tcPr>
            <w:tcW w:w="1900" w:type="dxa"/>
            <w:tcMar>
              <w:top w:w="80" w:type="dxa"/>
              <w:left w:w="120" w:type="dxa"/>
              <w:bottom w:w="80" w:type="dxa"/>
              <w:right w:w="120" w:type="dxa"/>
            </w:tcMar>
          </w:tcPr>
          <w:p w14:paraId="23821586" w14:textId="77777777" w:rsidR="00785B65" w:rsidRDefault="00D149E1">
            <w:r>
              <w:rPr>
                <w:rFonts w:ascii="Calibri" w:eastAsia="Calibri" w:hAnsi="Calibri" w:cs="Calibri"/>
                <w:sz w:val="24"/>
                <w:szCs w:val="24"/>
              </w:rPr>
              <w:t>Open</w:t>
            </w:r>
          </w:p>
        </w:tc>
      </w:tr>
      <w:tr w:rsidR="00785B65" w14:paraId="42960BCF" w14:textId="77777777">
        <w:tblPrEx>
          <w:tblCellMar>
            <w:top w:w="0" w:type="dxa"/>
            <w:bottom w:w="0" w:type="dxa"/>
          </w:tblCellMar>
        </w:tblPrEx>
        <w:tc>
          <w:tcPr>
            <w:tcW w:w="3800" w:type="dxa"/>
            <w:tcMar>
              <w:top w:w="80" w:type="dxa"/>
              <w:left w:w="120" w:type="dxa"/>
              <w:bottom w:w="80" w:type="dxa"/>
              <w:right w:w="120" w:type="dxa"/>
            </w:tcMar>
          </w:tcPr>
          <w:p w14:paraId="6AA7E5AF" w14:textId="77777777" w:rsidR="00785B65" w:rsidRDefault="00D149E1">
            <w:r>
              <w:rPr>
                <w:rFonts w:ascii="Calibri" w:eastAsia="Calibri" w:hAnsi="Calibri" w:cs="Calibri"/>
                <w:sz w:val="24"/>
                <w:szCs w:val="24"/>
              </w:rPr>
              <w:t>Schedule a dedicated B2C guest platform vision/alignment session (referencing Little Explorer and Six Flags)</w:t>
            </w:r>
          </w:p>
        </w:tc>
        <w:tc>
          <w:tcPr>
            <w:tcW w:w="1850" w:type="dxa"/>
            <w:tcMar>
              <w:top w:w="80" w:type="dxa"/>
              <w:left w:w="120" w:type="dxa"/>
              <w:bottom w:w="80" w:type="dxa"/>
              <w:right w:w="120" w:type="dxa"/>
            </w:tcMar>
          </w:tcPr>
          <w:p w14:paraId="46234829" w14:textId="0E90EC94" w:rsidR="00785B65" w:rsidRDefault="00D149E1">
            <w:r>
              <w:rPr>
                <w:rFonts w:ascii="Calibri" w:eastAsia="Calibri" w:hAnsi="Calibri" w:cs="Calibri"/>
                <w:sz w:val="24"/>
                <w:szCs w:val="24"/>
              </w:rPr>
              <w:t xml:space="preserve">Qossai </w:t>
            </w:r>
            <w:r>
              <w:rPr>
                <w:rFonts w:ascii="Calibri" w:eastAsia="Calibri" w:hAnsi="Calibri" w:cs="Calibri"/>
                <w:sz w:val="24"/>
                <w:szCs w:val="24"/>
              </w:rPr>
              <w:t xml:space="preserve">/ Allam / </w:t>
            </w:r>
            <w:r w:rsidR="00E06158">
              <w:rPr>
                <w:rFonts w:ascii="Calibri" w:eastAsia="Calibri" w:hAnsi="Calibri" w:cs="Calibri"/>
                <w:sz w:val="24"/>
                <w:szCs w:val="24"/>
              </w:rPr>
              <w:t>Chinmay</w:t>
            </w:r>
            <w:r>
              <w:rPr>
                <w:rFonts w:ascii="Calibri" w:eastAsia="Calibri" w:hAnsi="Calibri" w:cs="Calibri"/>
                <w:sz w:val="24"/>
                <w:szCs w:val="24"/>
              </w:rPr>
              <w:t xml:space="preserve"> Patkar</w:t>
            </w:r>
          </w:p>
        </w:tc>
        <w:tc>
          <w:tcPr>
            <w:tcW w:w="1800" w:type="dxa"/>
            <w:tcMar>
              <w:top w:w="80" w:type="dxa"/>
              <w:left w:w="120" w:type="dxa"/>
              <w:bottom w:w="80" w:type="dxa"/>
              <w:right w:w="120" w:type="dxa"/>
            </w:tcMar>
          </w:tcPr>
          <w:p w14:paraId="529421B6" w14:textId="77777777" w:rsidR="00785B65" w:rsidRDefault="00D149E1">
            <w:r>
              <w:rPr>
                <w:rFonts w:ascii="Calibri" w:eastAsia="Calibri" w:hAnsi="Calibri" w:cs="Calibri"/>
                <w:sz w:val="24"/>
                <w:szCs w:val="24"/>
              </w:rPr>
              <w:t>Separate session, TBC</w:t>
            </w:r>
          </w:p>
        </w:tc>
        <w:tc>
          <w:tcPr>
            <w:tcW w:w="1900" w:type="dxa"/>
            <w:tcMar>
              <w:top w:w="80" w:type="dxa"/>
              <w:left w:w="120" w:type="dxa"/>
              <w:bottom w:w="80" w:type="dxa"/>
              <w:right w:w="120" w:type="dxa"/>
            </w:tcMar>
          </w:tcPr>
          <w:p w14:paraId="17DE34A3" w14:textId="77777777" w:rsidR="00785B65" w:rsidRDefault="00D149E1">
            <w:r>
              <w:rPr>
                <w:rFonts w:ascii="Calibri" w:eastAsia="Calibri" w:hAnsi="Calibri" w:cs="Calibri"/>
                <w:sz w:val="24"/>
                <w:szCs w:val="24"/>
              </w:rPr>
              <w:t>Open</w:t>
            </w:r>
          </w:p>
        </w:tc>
      </w:tr>
      <w:tr w:rsidR="00785B65" w14:paraId="2CF11CFB" w14:textId="77777777">
        <w:tblPrEx>
          <w:tblCellMar>
            <w:top w:w="0" w:type="dxa"/>
            <w:bottom w:w="0" w:type="dxa"/>
          </w:tblCellMar>
        </w:tblPrEx>
        <w:tc>
          <w:tcPr>
            <w:tcW w:w="3800" w:type="dxa"/>
            <w:tcMar>
              <w:top w:w="80" w:type="dxa"/>
              <w:left w:w="120" w:type="dxa"/>
              <w:bottom w:w="80" w:type="dxa"/>
              <w:right w:w="120" w:type="dxa"/>
            </w:tcMar>
          </w:tcPr>
          <w:p w14:paraId="114FDFB1" w14:textId="77777777" w:rsidR="00785B65" w:rsidRDefault="00D149E1">
            <w:r>
              <w:rPr>
                <w:rFonts w:ascii="Calibri" w:eastAsia="Calibri" w:hAnsi="Calibri" w:cs="Calibri"/>
                <w:sz w:val="24"/>
                <w:szCs w:val="24"/>
              </w:rPr>
              <w:t>Prepare and lead tomorrow's session on rental management and the subscription/licensing module</w:t>
            </w:r>
          </w:p>
        </w:tc>
        <w:tc>
          <w:tcPr>
            <w:tcW w:w="1850" w:type="dxa"/>
            <w:tcMar>
              <w:top w:w="80" w:type="dxa"/>
              <w:left w:w="120" w:type="dxa"/>
              <w:bottom w:w="80" w:type="dxa"/>
              <w:right w:w="120" w:type="dxa"/>
            </w:tcMar>
          </w:tcPr>
          <w:p w14:paraId="40453476" w14:textId="68D0A75B" w:rsidR="00785B65" w:rsidRDefault="00D149E1">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39FA5E52" w14:textId="77777777" w:rsidR="00785B65" w:rsidRDefault="00D149E1">
            <w:r>
              <w:rPr>
                <w:rFonts w:ascii="Calibri" w:eastAsia="Calibri" w:hAnsi="Calibri" w:cs="Calibri"/>
                <w:sz w:val="24"/>
                <w:szCs w:val="24"/>
              </w:rPr>
              <w:t>Tomorrow, same time (10:00)</w:t>
            </w:r>
          </w:p>
        </w:tc>
        <w:tc>
          <w:tcPr>
            <w:tcW w:w="1900" w:type="dxa"/>
            <w:tcMar>
              <w:top w:w="80" w:type="dxa"/>
              <w:left w:w="120" w:type="dxa"/>
              <w:bottom w:w="80" w:type="dxa"/>
              <w:right w:w="120" w:type="dxa"/>
            </w:tcMar>
          </w:tcPr>
          <w:p w14:paraId="55014641" w14:textId="77777777" w:rsidR="00785B65" w:rsidRDefault="00D149E1">
            <w:r>
              <w:rPr>
                <w:rFonts w:ascii="Calibri" w:eastAsia="Calibri" w:hAnsi="Calibri" w:cs="Calibri"/>
                <w:sz w:val="24"/>
                <w:szCs w:val="24"/>
              </w:rPr>
              <w:t>Open</w:t>
            </w:r>
          </w:p>
        </w:tc>
      </w:tr>
    </w:tbl>
    <w:p w14:paraId="38F19C34" w14:textId="77777777" w:rsidR="00785B65" w:rsidRDefault="00785B65">
      <w:pPr>
        <w:spacing w:after="160"/>
      </w:pPr>
    </w:p>
    <w:p w14:paraId="28025A9F" w14:textId="77777777" w:rsidR="00785B65" w:rsidRDefault="00D149E1">
      <w:pPr>
        <w:spacing w:before="180" w:after="100"/>
      </w:pPr>
      <w:r>
        <w:rPr>
          <w:rFonts w:ascii="Calibri" w:eastAsia="Calibri" w:hAnsi="Calibri" w:cs="Calibri"/>
          <w:b/>
          <w:bCs/>
          <w:color w:val="215E99"/>
          <w:sz w:val="32"/>
          <w:szCs w:val="32"/>
        </w:rPr>
        <w:t>8. Next Steps</w:t>
      </w:r>
    </w:p>
    <w:p w14:paraId="7D5B5688" w14:textId="77777777" w:rsidR="00785B65" w:rsidRDefault="00D149E1">
      <w:pPr>
        <w:pStyle w:val="ListParagraph"/>
        <w:numPr>
          <w:ilvl w:val="0"/>
          <w:numId w:val="2"/>
        </w:numPr>
        <w:spacing w:after="70"/>
      </w:pPr>
      <w:r>
        <w:rPr>
          <w:rFonts w:ascii="Calibri" w:eastAsia="Calibri" w:hAnsi="Calibri" w:cs="Calibri"/>
          <w:sz w:val="24"/>
          <w:szCs w:val="24"/>
        </w:rPr>
        <w:t>Tomorrow's session (same time, 10:00) will cover rental management and the subscription/licensing module.</w:t>
      </w:r>
    </w:p>
    <w:p w14:paraId="34139844" w14:textId="77777777" w:rsidR="00785B65" w:rsidRDefault="00D149E1">
      <w:pPr>
        <w:pStyle w:val="ListParagraph"/>
        <w:numPr>
          <w:ilvl w:val="0"/>
          <w:numId w:val="2"/>
        </w:numPr>
        <w:spacing w:after="70"/>
      </w:pPr>
      <w:r>
        <w:rPr>
          <w:rFonts w:ascii="Calibri" w:eastAsia="Calibri" w:hAnsi="Calibri" w:cs="Calibri"/>
          <w:sz w:val="24"/>
          <w:szCs w:val="24"/>
        </w:rPr>
        <w:t>Qossai is targeting completion of remaining core modules by end of this week, with AI-focused modules and dedicated AI sessions to begin next week.</w:t>
      </w:r>
    </w:p>
    <w:p w14:paraId="6EC54217" w14:textId="77777777" w:rsidR="00785B65" w:rsidRDefault="00D149E1">
      <w:pPr>
        <w:pStyle w:val="ListParagraph"/>
        <w:numPr>
          <w:ilvl w:val="0"/>
          <w:numId w:val="2"/>
        </w:numPr>
        <w:spacing w:after="70"/>
      </w:pPr>
      <w:r>
        <w:rPr>
          <w:rFonts w:ascii="Calibri" w:eastAsia="Calibri" w:hAnsi="Calibri" w:cs="Calibri"/>
          <w:sz w:val="24"/>
          <w:szCs w:val="24"/>
        </w:rPr>
        <w:t>A separate session will be scheduled to align on the B2C guest platform's vision and direction.</w:t>
      </w:r>
    </w:p>
    <w:p w14:paraId="208560F2" w14:textId="77777777" w:rsidR="00785B65" w:rsidRDefault="00D149E1">
      <w:pPr>
        <w:pStyle w:val="ListParagraph"/>
        <w:numPr>
          <w:ilvl w:val="0"/>
          <w:numId w:val="2"/>
        </w:numPr>
        <w:spacing w:after="70"/>
      </w:pPr>
      <w:r>
        <w:rPr>
          <w:rFonts w:ascii="Calibri" w:eastAsia="Calibri" w:hAnsi="Calibri" w:cs="Calibri"/>
          <w:sz w:val="24"/>
          <w:szCs w:val="24"/>
        </w:rPr>
        <w:t>Softlabs' UI/UX skeleton wireframes may be ready for review as early as next week.</w:t>
      </w:r>
    </w:p>
    <w:p w14:paraId="37E4EFAB" w14:textId="77777777" w:rsidR="00785B65" w:rsidRDefault="00D149E1">
      <w:pPr>
        <w:spacing w:before="120"/>
        <w:jc w:val="center"/>
      </w:pPr>
      <w:r>
        <w:rPr>
          <w:rFonts w:ascii="Calibri" w:eastAsia="Calibri" w:hAnsi="Calibri" w:cs="Calibri"/>
          <w:i/>
          <w:iCs/>
          <w:color w:val="595959"/>
          <w:sz w:val="24"/>
          <w:szCs w:val="24"/>
        </w:rPr>
        <w:t>--- End of Minutes ---</w:t>
      </w:r>
    </w:p>
    <w:sectPr w:rsidR="00785B65">
      <w:headerReference w:type="default" r:id="rId7"/>
      <w:footerReference w:type="default" r:id="rId8"/>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3FC3" w14:textId="77777777" w:rsidR="00D149E1" w:rsidRDefault="00D149E1">
      <w:r>
        <w:separator/>
      </w:r>
    </w:p>
  </w:endnote>
  <w:endnote w:type="continuationSeparator" w:id="0">
    <w:p w14:paraId="01AA9543" w14:textId="77777777" w:rsidR="00D149E1" w:rsidRDefault="00D14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BF21" w14:textId="77777777" w:rsidR="00785B65" w:rsidRDefault="00D149E1">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E06158">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E06158">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6D8BA" w14:textId="77777777" w:rsidR="00D149E1" w:rsidRDefault="00D149E1">
      <w:r>
        <w:separator/>
      </w:r>
    </w:p>
  </w:footnote>
  <w:footnote w:type="continuationSeparator" w:id="0">
    <w:p w14:paraId="53174815" w14:textId="77777777" w:rsidR="00D149E1" w:rsidRDefault="00D14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785B65" w14:paraId="10523C6F" w14:textId="77777777">
      <w:tblPrEx>
        <w:tblCellMar>
          <w:top w:w="0" w:type="dxa"/>
          <w:bottom w:w="0" w:type="dxa"/>
        </w:tblCellMar>
      </w:tblPrEx>
      <w:tc>
        <w:tcPr>
          <w:tcW w:w="4675" w:type="dxa"/>
          <w:tcMar>
            <w:bottom w:w="80" w:type="dxa"/>
          </w:tcMar>
          <w:vAlign w:val="center"/>
        </w:tcPr>
        <w:p w14:paraId="7E5034FD" w14:textId="77777777" w:rsidR="00785B65" w:rsidRDefault="00785B65"/>
      </w:tc>
      <w:tc>
        <w:tcPr>
          <w:tcW w:w="4675" w:type="dxa"/>
          <w:tcMar>
            <w:bottom w:w="80" w:type="dxa"/>
          </w:tcMar>
          <w:vAlign w:val="center"/>
        </w:tcPr>
        <w:p w14:paraId="660DCB57" w14:textId="77777777" w:rsidR="00785B65" w:rsidRDefault="00D149E1">
          <w:pPr>
            <w:spacing w:after="20"/>
            <w:jc w:val="right"/>
          </w:pPr>
          <w:r>
            <w:rPr>
              <w:noProof/>
            </w:rPr>
            <w:drawing>
              <wp:inline distT="0" distB="0" distL="0" distR="0" wp14:anchorId="4C128AF0" wp14:editId="7E68FFFC">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3A3EA525" w14:textId="77777777" w:rsidR="00785B65" w:rsidRDefault="00D149E1">
          <w:pPr>
            <w:jc w:val="right"/>
          </w:pPr>
          <w:r>
            <w:rPr>
              <w:noProof/>
            </w:rPr>
            <w:drawing>
              <wp:inline distT="0" distB="0" distL="0" distR="0" wp14:anchorId="1D316ED8" wp14:editId="0C761788">
                <wp:extent cx="933450" cy="190500"/>
                <wp:effectExtent l="0" t="0" r="0" b="0"/>
                <wp:docPr id="1430142445" name="Picture 143014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3A44"/>
    <w:multiLevelType w:val="hybridMultilevel"/>
    <w:tmpl w:val="155E2D52"/>
    <w:lvl w:ilvl="0" w:tplc="EEC22A3A">
      <w:start w:val="1"/>
      <w:numFmt w:val="bullet"/>
      <w:lvlText w:val="●"/>
      <w:lvlJc w:val="left"/>
      <w:pPr>
        <w:ind w:left="720" w:hanging="360"/>
      </w:pPr>
    </w:lvl>
    <w:lvl w:ilvl="1" w:tplc="5E52E846">
      <w:start w:val="1"/>
      <w:numFmt w:val="bullet"/>
      <w:lvlText w:val="○"/>
      <w:lvlJc w:val="left"/>
      <w:pPr>
        <w:ind w:left="1440" w:hanging="360"/>
      </w:pPr>
    </w:lvl>
    <w:lvl w:ilvl="2" w:tplc="68B8F0CA">
      <w:start w:val="1"/>
      <w:numFmt w:val="bullet"/>
      <w:lvlText w:val="■"/>
      <w:lvlJc w:val="left"/>
      <w:pPr>
        <w:ind w:left="2160" w:hanging="360"/>
      </w:pPr>
    </w:lvl>
    <w:lvl w:ilvl="3" w:tplc="F418BD24">
      <w:start w:val="1"/>
      <w:numFmt w:val="bullet"/>
      <w:lvlText w:val="●"/>
      <w:lvlJc w:val="left"/>
      <w:pPr>
        <w:ind w:left="2880" w:hanging="360"/>
      </w:pPr>
    </w:lvl>
    <w:lvl w:ilvl="4" w:tplc="C3FC37CE">
      <w:start w:val="1"/>
      <w:numFmt w:val="bullet"/>
      <w:lvlText w:val="○"/>
      <w:lvlJc w:val="left"/>
      <w:pPr>
        <w:ind w:left="3600" w:hanging="360"/>
      </w:pPr>
    </w:lvl>
    <w:lvl w:ilvl="5" w:tplc="21F626BC">
      <w:start w:val="1"/>
      <w:numFmt w:val="bullet"/>
      <w:lvlText w:val="■"/>
      <w:lvlJc w:val="left"/>
      <w:pPr>
        <w:ind w:left="4320" w:hanging="360"/>
      </w:pPr>
    </w:lvl>
    <w:lvl w:ilvl="6" w:tplc="560C6AFA">
      <w:start w:val="1"/>
      <w:numFmt w:val="bullet"/>
      <w:lvlText w:val="●"/>
      <w:lvlJc w:val="left"/>
      <w:pPr>
        <w:ind w:left="5040" w:hanging="360"/>
      </w:pPr>
    </w:lvl>
    <w:lvl w:ilvl="7" w:tplc="822694E8">
      <w:start w:val="1"/>
      <w:numFmt w:val="bullet"/>
      <w:lvlText w:val="●"/>
      <w:lvlJc w:val="left"/>
      <w:pPr>
        <w:ind w:left="5760" w:hanging="360"/>
      </w:pPr>
    </w:lvl>
    <w:lvl w:ilvl="8" w:tplc="F7BEBA66">
      <w:start w:val="1"/>
      <w:numFmt w:val="bullet"/>
      <w:lvlText w:val="●"/>
      <w:lvlJc w:val="left"/>
      <w:pPr>
        <w:ind w:left="6480" w:hanging="360"/>
      </w:pPr>
    </w:lvl>
  </w:abstractNum>
  <w:abstractNum w:abstractNumId="1" w15:restartNumberingAfterBreak="0">
    <w:nsid w:val="7FBB0918"/>
    <w:multiLevelType w:val="hybridMultilevel"/>
    <w:tmpl w:val="3F32E5A8"/>
    <w:lvl w:ilvl="0" w:tplc="03D418E2">
      <w:start w:val="1"/>
      <w:numFmt w:val="bullet"/>
      <w:lvlText w:val="•"/>
      <w:lvlJc w:val="left"/>
      <w:pPr>
        <w:ind w:left="360" w:hanging="260"/>
      </w:pPr>
    </w:lvl>
    <w:lvl w:ilvl="1" w:tplc="FE84923A">
      <w:start w:val="1"/>
      <w:numFmt w:val="bullet"/>
      <w:lvlText w:val="◦"/>
      <w:lvlJc w:val="left"/>
      <w:pPr>
        <w:ind w:left="720" w:hanging="260"/>
      </w:pPr>
    </w:lvl>
    <w:lvl w:ilvl="2" w:tplc="5D48208C">
      <w:numFmt w:val="decimal"/>
      <w:lvlText w:val=""/>
      <w:lvlJc w:val="left"/>
    </w:lvl>
    <w:lvl w:ilvl="3" w:tplc="E9F85BDA">
      <w:numFmt w:val="decimal"/>
      <w:lvlText w:val=""/>
      <w:lvlJc w:val="left"/>
    </w:lvl>
    <w:lvl w:ilvl="4" w:tplc="16D8AFC4">
      <w:numFmt w:val="decimal"/>
      <w:lvlText w:val=""/>
      <w:lvlJc w:val="left"/>
    </w:lvl>
    <w:lvl w:ilvl="5" w:tplc="93549640">
      <w:numFmt w:val="decimal"/>
      <w:lvlText w:val=""/>
      <w:lvlJc w:val="left"/>
    </w:lvl>
    <w:lvl w:ilvl="6" w:tplc="AA085E2E">
      <w:numFmt w:val="decimal"/>
      <w:lvlText w:val=""/>
      <w:lvlJc w:val="left"/>
    </w:lvl>
    <w:lvl w:ilvl="7" w:tplc="97121282">
      <w:numFmt w:val="decimal"/>
      <w:lvlText w:val=""/>
      <w:lvlJc w:val="left"/>
    </w:lvl>
    <w:lvl w:ilvl="8" w:tplc="7E68BC8C">
      <w:numFmt w:val="decimal"/>
      <w:lvlText w:val=""/>
      <w:lvlJc w:val="left"/>
    </w:lvl>
  </w:abstractNum>
  <w:num w:numId="1" w16cid:durableId="1559240176">
    <w:abstractNumId w:val="0"/>
    <w:lvlOverride w:ilvl="0">
      <w:startOverride w:val="1"/>
    </w:lvlOverride>
  </w:num>
  <w:num w:numId="2" w16cid:durableId="1626304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B65"/>
    <w:rsid w:val="0051309C"/>
    <w:rsid w:val="00785B65"/>
    <w:rsid w:val="00D149E1"/>
    <w:rsid w:val="00E06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22605"/>
  <w15:docId w15:val="{F05BDF10-588E-4FC7-AFA8-3D9DF14A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3367</Words>
  <Characters>19193</Characters>
  <Application>Microsoft Office Word</Application>
  <DocSecurity>0</DocSecurity>
  <Lines>159</Lines>
  <Paragraphs>45</Paragraphs>
  <ScaleCrop>false</ScaleCrop>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2026-09-08T11:57:00Z</dcterms:created>
  <dcterms:modified xsi:type="dcterms:W3CDTF">2026-09-08T11:57:00Z</dcterms:modified>
</cp:coreProperties>
</file>