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EVALUATION RESPONSE MATRIX</w:t>
      </w:r>
    </w:p>
    <w:p>
      <w:pPr>
        <w:spacing w:after="60"/>
      </w:pPr>
      <w:r>
        <w:rPr>
          <w:rFonts w:ascii="Calibri" w:cs="Calibri" w:eastAsia="Calibri" w:hAnsi="Calibri"/>
          <w:b/>
          <w:bCs/>
          <w:color w:val="1F3864"/>
          <w:sz w:val="24"/>
          <w:szCs w:val="24"/>
        </w:rPr>
        <w:t xml:space="preserve">Response to the Head IT &amp; AI assessment of the Softlabs technical and commercial submission</w:t>
      </w:r>
    </w:p>
    <w:p>
      <w:pPr>
        <w:spacing w:after="240"/>
      </w:pPr>
      <w:r>
        <w:rPr>
          <w:rFonts w:ascii="Calibri" w:cs="Calibri" w:eastAsia="Calibri" w:hAnsi="Calibri"/>
          <w:i/>
          <w:iCs/>
          <w:color w:val="44546A"/>
          <w:sz w:val="21"/>
          <w:szCs w:val="21"/>
        </w:rPr>
        <w:t xml:space="preserve">AI-Enabled Integrated Manufacturing and Enterprise Platform · RFP AL/RFP/AI-PLATFORM/2026/01</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2400"/>
        <w:gridCol w:w="8000"/>
      </w:tblGrid>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Prepared for</w:t>
            </w:r>
          </w:p>
        </w:tc>
        <w:tc>
          <w:tcPr>
            <w:tcW w:type="dxa" w:w="80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Ashok Leyland — Head IT &amp; AI, and Mr Ashutosh Mishra (authorized contact)</w:t>
            </w:r>
          </w:p>
        </w:tc>
      </w:tr>
      <w:tr>
        <w:tc>
          <w:tcPr>
            <w:tcW w:type="dxa" w:w="2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Prepared by</w:t>
            </w:r>
          </w:p>
        </w:tc>
        <w:tc>
          <w:tcPr>
            <w:tcW w:type="dxa" w:w="80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Softlabs Technologies and Development Private Limited, Mumbai</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Supersedes</w:t>
            </w:r>
          </w:p>
        </w:tc>
        <w:tc>
          <w:tcPr>
            <w:tcW w:type="dxa" w:w="80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Technical Approach v2.x and Commercial Proposal v2.1</w:t>
            </w:r>
          </w:p>
        </w:tc>
      </w:tr>
      <w:tr>
        <w:tc>
          <w:tcPr>
            <w:tcW w:type="dxa" w:w="2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Accompanies</w:t>
            </w:r>
          </w:p>
        </w:tc>
        <w:tc>
          <w:tcPr>
            <w:tcW w:type="dxa" w:w="80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Technical Approach and Solution Architecture v3.0; Commercial Proposal v3.0</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Date</w:t>
            </w:r>
          </w:p>
        </w:tc>
        <w:tc>
          <w:tcPr>
            <w:tcW w:type="dxa" w:w="80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[ACTION — insert date of issue]</w:t>
            </w:r>
          </w:p>
        </w:tc>
      </w:tr>
      <w:tr>
        <w:tc>
          <w:tcPr>
            <w:tcW w:type="dxa" w:w="2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Classification</w:t>
            </w:r>
          </w:p>
        </w:tc>
        <w:tc>
          <w:tcPr>
            <w:tcW w:type="dxa" w:w="80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Commercial-in-Confidence</w:t>
            </w:r>
          </w:p>
        </w:tc>
      </w:tr>
    </w:tbl>
    <w:p>
      <w:pPr>
        <w:spacing w:after="0"/>
      </w:pPr>
      <w:r>
        <w:rPr>
          <w:sz w:val="16"/>
          <w:szCs w:val="16"/>
        </w:rPr>
        <w:t xml:space="preserve"/>
      </w:r>
    </w:p>
    <w:tbl>
      <w:tblPr>
        <w:tblW w:type="dxa" w:w="10400"/>
        <w:tblBorders>
          <w:top w:val="single" w:color="BF9000" w:sz="6"/>
          <w:left w:val="single" w:color="BF9000" w:sz="6"/>
          <w:bottom w:val="single" w:color="BF9000" w:sz="6"/>
          <w:right w:val="single" w:color="BF9000" w:sz="6"/>
          <w:insideH w:val="none" w:color="FFFFFF" w:sz="0"/>
          <w:insideV w:val="none" w:color="FFFFFF" w:sz="0"/>
        </w:tblBorders>
      </w:tblPr>
      <w:tblGrid>
        <w:gridCol w:w="10400"/>
      </w:tblGrid>
      <w:tr>
        <w:tc>
          <w:tcPr>
            <w:tcW w:type="dxa" w:w="10400"/>
            <w:shd w:fill="E2EFDA" w:color="auto" w:val="clear"/>
            <w:tcMar>
              <w:top w:type="dxa" w:w="140"/>
              <w:left w:type="dxa" w:w="160"/>
              <w:bottom w:type="dxa" w:w="140"/>
              <w:right w:type="dxa" w:w="160"/>
            </w:tcMar>
          </w:tcPr>
          <w:p>
            <w:pPr>
              <w:spacing w:after="80"/>
            </w:pPr>
            <w:r>
              <w:rPr>
                <w:rFonts w:ascii="Calibri" w:cs="Calibri" w:eastAsia="Calibri" w:hAnsi="Calibri"/>
                <w:b/>
                <w:bCs/>
                <w:color w:val="1F3864"/>
                <w:sz w:val="20"/>
                <w:szCs w:val="20"/>
              </w:rPr>
              <w:t xml:space="preserve">Purpose of this document</w:t>
            </w:r>
          </w:p>
          <w:p>
            <w:pPr>
              <w:spacing w:after="80"/>
            </w:pPr>
            <w:r>
              <w:rPr>
                <w:rFonts w:ascii="Calibri" w:cs="Calibri" w:eastAsia="Calibri" w:hAnsi="Calibri"/>
                <w:sz w:val="19"/>
                <w:szCs w:val="19"/>
              </w:rPr>
              <w:t xml:space="preserve">The assessment concluded that the submission was not ready for technical or commercial approval in its then form. We accept that conclusion without qualification. Fourteen evaluation areas were scored; eleven were below 3.5 and four were at or below 2.0.</w:t>
            </w:r>
          </w:p>
          <w:p>
            <w:pPr>
              <w:spacing w:after="80"/>
            </w:pPr>
            <w:r>
              <w:rPr>
                <w:rFonts w:ascii="Calibri" w:cs="Calibri" w:eastAsia="Calibri" w:hAnsi="Calibri"/>
                <w:sz w:val="19"/>
                <w:szCs w:val="19"/>
              </w:rPr>
              <w:t xml:space="preserve">This matrix takes each of the fourteen areas in turn, states what we understand the finding to be, states what has changed, and points to the exact section of the revised documents where the change can be verified. Where a finding identified a defect rather than a gap, we say so plainly rather than reframing it.</w:t>
            </w:r>
          </w:p>
          <w:p>
            <w:pPr>
              <w:spacing w:after="0"/>
            </w:pPr>
            <w:r>
              <w:rPr>
                <w:rFonts w:ascii="Calibri" w:cs="Calibri" w:eastAsia="Calibri" w:hAnsi="Calibri"/>
                <w:sz w:val="19"/>
                <w:szCs w:val="19"/>
              </w:rPr>
              <w:t xml:space="preserve">Two findings required more than a documentation change. The infrastructure exclusion and the resource plan were symptoms of a price that could not carry the scope. That is addressed at Section 3 of this document and is the reason the revised submission restructures Phase 1 rather than simply re-presenting it.</w:t>
            </w:r>
          </w:p>
        </w:tc>
      </w:tr>
    </w:tbl>
    <w:p>
      <w:r>
        <w:br w:type="page"/>
      </w:r>
    </w:p>
    <w:p>
      <w:pPr>
        <w:pStyle w:val="Heading1"/>
        <w:spacing w:after="160" w:before="360"/>
      </w:pPr>
      <w:r>
        <w:rPr>
          <w:rFonts w:ascii="Calibri" w:cs="Calibri" w:eastAsia="Calibri" w:hAnsi="Calibri"/>
          <w:b/>
          <w:bCs/>
          <w:color w:val="1F3864"/>
          <w:sz w:val="30"/>
          <w:szCs w:val="30"/>
        </w:rPr>
        <w:t xml:space="preserve">1. Summary of Changes by Evaluation Area</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1800"/>
        <w:gridCol w:w="600"/>
        <w:gridCol w:w="2700"/>
        <w:gridCol w:w="3400"/>
        <w:gridCol w:w="1900"/>
      </w:tblGrid>
      <w:tr>
        <w:trPr>
          <w:tblHeader/>
        </w:trPr>
        <w:tc>
          <w:tcPr>
            <w:tcW w:type="dxa" w:w="1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Evaluation area</w:t>
            </w:r>
          </w:p>
        </w:tc>
        <w:tc>
          <w:tcPr>
            <w:tcW w:type="dxa" w:w="6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Score</w:t>
            </w:r>
          </w:p>
        </w:tc>
        <w:tc>
          <w:tcPr>
            <w:tcW w:type="dxa" w:w="27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Root cause we accept</w:t>
            </w:r>
          </w:p>
        </w:tc>
        <w:tc>
          <w:tcPr>
            <w:tcW w:type="dxa" w:w="34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Principal change</w:t>
            </w:r>
          </w:p>
        </w:tc>
        <w:tc>
          <w:tcPr>
            <w:tcW w:type="dxa" w:w="19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Verify at</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Understanding of business requirements</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4.0</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No adverse finding</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Requirements traceability matrix extended to every FR, EFR, AI and ARCH identifier, with compliance state and evidence reference</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Technical v3.0 §3; compliance matrix annexure</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Enterprise architecture</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3.5</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Principles stated without deployment detail, sizing or a technology bill of materials</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Deployment topology, region and DR posture, and full technology bill of materials now stated and costed</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§2.3 and Annexure A; Technical v3.0 §4</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AI and Responsible AI design</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3.5</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Controls described; acceptance thresholds deferred to a post-award exercise</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Sixteen numbered acceptance thresholds with metric, value and evaluation method, proposed now and contractual on Week 4 confirmation</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B</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Manufacturing / OT architecture</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3.0</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Read-only position correct, but feasibility unproven and incumbent-vendor dependency pushed to Ashok Leyland</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Purdue L3.5 topology, protocol and port set, no-write-path verification as a gate artefact, optional data diode priced; pre-award connectivity workshop offered</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C.2 and §2.3; Section 4 of this document</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Data architecture and governance</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3.0</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Framework sound, but remediation of the data the AI depends on was excluded</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Bounded remediation allowance now inside the fixed fee, with published unit rates beyond it</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§10.3</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Functional scope</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2.5</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Scope limited to one pilot plant and agreed lines, with the limit excluded rather than priced</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Pilot scope retained but every extension — plant, line, connector, language, mobile, AI use case, domain — carries a firm published unit price</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§11</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Infrastructure and sizing</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1.5</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Materially incomplete and unpriced; RFP §6 sizing response and §12 lines B1–B4 not answered</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Parametric sizing across three bands with full driver assumptions; Azure, edge, licence and AI consumption costed; Band 1 not-to-exceed of ₹88,00,000</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A</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Cybersecurity</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3.0</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Control statements present; evidence, toolchain and ownership absent</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Toolchain named, gate-by-gate evidence artefacts defined, SBOM and CERT-In empanelled penetration test itemized and included in the fee, OT Security Lead staffed and named</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C and §5.2</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Delivery schedule</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2.0</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Aggressive, dependency-heavy, and a day-for-day slip clause that voided the mandatory December date</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Re-baselined fifteen-week Phase 1a plan; last responsible award date stated; day-for-day clause withdrawn and replaced with a recovery mechanism and liquidated damages</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D and §6.4</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Resource plan</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1.5</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No rate card; four RFP §11 roles unstaffed; effort table irreconcilable with the technical delivery model</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Full rate card by grade, location and day rate; bottom-up effort build-up reconciling to the quoted price; every RFP §11 role staffed; one team described identically in both documents</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§5.1 to §5.5</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Testing and acceptance</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2.5</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Structure sound; thresholds and test volumes not stated</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Acceptance thresholds with data volumes and concurrency stated per metric; evaluation assets delivered and independently re-runnable by Ashok Leyland</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Annexure B; Technical v3.0 §9</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completeness</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2.0</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Software price available; true TCO absent</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Complete three-year evaluated TCO covering software, AMC, infrastructure, licences and AI consumption. Every RFP §12.1 field carries a value</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§4 and §8</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risk allocation</w:t>
            </w:r>
          </w:p>
        </w:tc>
        <w:tc>
          <w:tcPr>
            <w:tcW w:type="dxa" w:w="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1.5</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Disproportionately shifted to Ashok Leyland — 50% pre-kickoff advance, 5% effective retention, no delay remedy, uncapped travel, no liability position</w:t>
            </w:r>
          </w:p>
        </w:tc>
        <w:tc>
          <w:tcPr>
            <w:tcW w:type="dxa" w:w="3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Advance withdrawn; RFP §12.2 structure adopted; 10% retention on full value; liquidated damages, service credits, travel cap, liability cap and insurance stated</w:t>
            </w:r>
          </w:p>
        </w:tc>
        <w:tc>
          <w:tcPr>
            <w:tcW w:type="dxa" w:w="1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v3.0 §6.1 to §6.4 and §9</w:t>
            </w:r>
          </w:p>
        </w:tc>
      </w:tr>
      <w:tr>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Bid-document quality</w:t>
            </w:r>
          </w:p>
        </w:tc>
        <w:tc>
          <w:tcPr>
            <w:tcW w:type="dxa" w:w="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1.5</w:t>
            </w:r>
          </w:p>
        </w:tc>
        <w:tc>
          <w:tcPr>
            <w:tcW w:type="dxa" w:w="2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Material errors and unfilled fields</w:t>
            </w:r>
          </w:p>
        </w:tc>
        <w:tc>
          <w:tcPr>
            <w:tcW w:type="dxa" w:w="3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Full defect register at Section 2 of this document, with each item corrected and the correction locatable</w:t>
            </w:r>
          </w:p>
        </w:tc>
        <w:tc>
          <w:tcPr>
            <w:tcW w:type="dxa" w:w="1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Section 2 of this document</w:t>
            </w:r>
          </w:p>
        </w:tc>
      </w:tr>
    </w:tbl>
    <w:p>
      <w:r>
        <w:br w:type="page"/>
      </w:r>
    </w:p>
    <w:p>
      <w:pPr>
        <w:pStyle w:val="Heading1"/>
        <w:spacing w:after="160" w:before="360"/>
      </w:pPr>
      <w:r>
        <w:rPr>
          <w:rFonts w:ascii="Calibri" w:cs="Calibri" w:eastAsia="Calibri" w:hAnsi="Calibri"/>
          <w:b/>
          <w:bCs/>
          <w:color w:val="1F3864"/>
          <w:sz w:val="30"/>
          <w:szCs w:val="30"/>
        </w:rPr>
        <w:t xml:space="preserve">2. Defect Register — Bid-Document Quality</w:t>
      </w:r>
    </w:p>
    <w:p>
      <w:pPr>
        <w:spacing w:after="120"/>
        <w:jc w:val="left"/>
      </w:pPr>
      <w:r>
        <w:rPr>
          <w:rFonts w:ascii="Calibri" w:cs="Calibri" w:eastAsia="Calibri" w:hAnsi="Calibri"/>
          <w:b w:val="false"/>
          <w:bCs w:val="false"/>
          <w:i w:val="false"/>
          <w:iCs w:val="false"/>
          <w:color w:val="000000"/>
          <w:sz w:val="20"/>
          <w:szCs w:val="20"/>
        </w:rPr>
        <w:t xml:space="preserve">The finding of material errors and unfilled fields is accepted. Every defect we have been able to identify in Commercial Proposal v2.1 is listed below with its correction. We would rather publish this list than have Ashok Leyland compile it a second time.</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500"/>
        <w:gridCol w:w="4700"/>
        <w:gridCol w:w="5200"/>
      </w:tblGrid>
      <w:tr>
        <w:trPr>
          <w:tblHeader/>
        </w:trPr>
        <w:tc>
          <w:tcPr>
            <w:tcW w:type="dxa" w:w="5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w:t>
            </w:r>
          </w:p>
        </w:tc>
        <w:tc>
          <w:tcPr>
            <w:tcW w:type="dxa" w:w="47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Defect in v2.1</w:t>
            </w:r>
          </w:p>
        </w:tc>
        <w:tc>
          <w:tcPr>
            <w:tcW w:type="dxa" w:w="52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Correction in v3.0</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Signature dated 27/08/2027 — a date after the engagement completes</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Corrected; issue date is a controlled field at §12</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Cover field read "[Bidder legal entity name] — to be completed by bidder"</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Softlabs Technologies and Development Private Limited stated on the cover</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Cover field read "[Insert submission date]"</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Controlled field, completed at issue</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4</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Quotation validity stated as 90 days on the cover and §4, and 30 days at §9. The 30-day figure also failed RFP §1.2, which requires at least 90</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90 days throughout; the inconsistency is explicitly retired at §9</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5</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The contents page promised a rate card at §5. No rate card existed — no grade rates, no day rates, no person-days, no cost. RFP §11.1 makes it mandatory</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Full rate card at §5.1, with effort and cost build-up at §5.2 and §5.3</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6</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Three cross-references to "the Section 5 rate card" pointed at a table that did not exist</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All three now resolve</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7</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The resource table’s Total row was blank; the Backend Engineer row carried no grade</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Totals, grades, person-days, rates and costs stated for every row</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8</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§5 Terms read "unless replacement is required becomes evitable" — malformed, and the intended word was the opposite of the one used</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Key-personnel substitution terms rewritten at §5.5</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9</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RFP §12.2 milestone percentages were replaced rather than supplemented. RFP §12 required the requested structure also to be quoted for comparison</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RFP §12.2 structure is now the primary quotation at §6.1; any alternative is offered secondarily at §6.3</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10</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Retention described as 10% but applied only to the 50% that was gate-linked, giving 5% of contract value</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10% on full contract value across both phases; ₹8,00,000 on Phase 1a and ₹6,50,000 on Phase 1b</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11</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Travel quoted at actuals, uncapped. RFP §12 line C4 requires included or capped</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Capped at 3% of each phase value; nothing above the cap without prior written approval</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12</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Warranty ran to 17 March 2027 but the three-year table charged a full year of AMC in 2027 — approximately 9.5 months of cover billed as twelve</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AMC commences per phase at warranty expiry and is invoiced pro rata for the part-year; stated at §7.3</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13</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Four roles mandated by RFP §11 — Manufacturing/MES SME, Workforce/HR SME, Energy SME and Security/OT Security Lead — were absent from the team. No CVs, named individuals, locations, mobilization dates or named backups were provided</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All four staffed and priced at §5.2 and §5.3; named personnel, locations, allocations, mobilization dates and backups at §5.5, with CVs attached</w:t>
            </w:r>
          </w:p>
        </w:tc>
      </w:tr>
      <w:tr>
        <w:tc>
          <w:tcPr>
            <w:tcW w:type="dxa" w:w="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14</w:t>
            </w:r>
          </w:p>
        </w:tc>
        <w:tc>
          <w:tcPr>
            <w:tcW w:type="dxa" w:w="47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The commercial resource table and the delivery model in the technical response described different teams</w:t>
            </w:r>
          </w:p>
        </w:tc>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One team, described identically in Commercial v3.0 §5 and Technical v3.0 §11, with a single weekly effort histogram controlled under change management</w:t>
            </w:r>
          </w:p>
        </w:tc>
      </w:tr>
      <w:tr>
        <w:tc>
          <w:tcPr>
            <w:tcW w:type="dxa" w:w="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15</w:t>
            </w:r>
          </w:p>
        </w:tc>
        <w:tc>
          <w:tcPr>
            <w:tcW w:type="dxa" w:w="47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Seven fields of the RFP §12.1 commercial summary were answered by exclusion rather than by a value</w:t>
            </w:r>
          </w:p>
        </w:tc>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Every field carries a value at §4</w:t>
            </w:r>
          </w:p>
        </w:tc>
      </w:tr>
    </w:tbl>
    <w:p>
      <w:pPr>
        <w:spacing w:after="0"/>
      </w:pPr>
      <w:r>
        <w:rPr>
          <w:sz w:val="16"/>
          <w:szCs w:val="16"/>
        </w:rPr>
        <w:t xml:space="preserve"/>
      </w:r>
    </w:p>
    <w:p>
      <w:pPr>
        <w:spacing w:after="120"/>
        <w:jc w:val="left"/>
      </w:pPr>
      <w:r>
        <w:rPr>
          <w:rFonts w:ascii="Calibri" w:cs="Calibri" w:eastAsia="Calibri" w:hAnsi="Calibri"/>
          <w:b w:val="false"/>
          <w:bCs w:val="false"/>
          <w:i w:val="false"/>
          <w:iCs w:val="false"/>
          <w:color w:val="000000"/>
          <w:sz w:val="20"/>
          <w:szCs w:val="20"/>
        </w:rPr>
        <w:t xml:space="preserve">A document-control procedure has been applied to v3.0: no placeholder text is present other than the fields deliberately reserved for signature and named-personnel entry; every internal cross-reference has been resolved; every arithmetic total has been independently recalculated; and the commercial and technical documents have been reconciled against a single figure set. The same procedure will apply to every subsequent submission on this engagement.</w:t>
      </w:r>
    </w:p>
    <w:p>
      <w:r>
        <w:br w:type="page"/>
      </w:r>
    </w:p>
    <w:p>
      <w:pPr>
        <w:pStyle w:val="Heading1"/>
        <w:spacing w:after="160" w:before="360"/>
      </w:pPr>
      <w:r>
        <w:rPr>
          <w:rFonts w:ascii="Calibri" w:cs="Calibri" w:eastAsia="Calibri" w:hAnsi="Calibri"/>
          <w:b/>
          <w:bCs/>
          <w:color w:val="1F3864"/>
          <w:sz w:val="30"/>
          <w:szCs w:val="30"/>
        </w:rPr>
        <w:t xml:space="preserve">3. The Two Findings That Required More Than a Documentation Change</w:t>
      </w:r>
    </w:p>
    <w:p>
      <w:pPr>
        <w:pStyle w:val="Heading2"/>
        <w:spacing w:after="120" w:before="260"/>
      </w:pPr>
      <w:r>
        <w:rPr>
          <w:rFonts w:ascii="Calibri" w:cs="Calibri" w:eastAsia="Calibri" w:hAnsi="Calibri"/>
          <w:b/>
          <w:bCs/>
          <w:color w:val="1F3864"/>
          <w:sz w:val="24"/>
          <w:szCs w:val="24"/>
        </w:rPr>
        <w:t xml:space="preserve">3.1 Infrastructure and sizing (1.5) and commercial completeness (2.0)</w:t>
      </w:r>
    </w:p>
    <w:p>
      <w:pPr>
        <w:spacing w:after="120"/>
        <w:jc w:val="left"/>
      </w:pPr>
      <w:r>
        <w:rPr>
          <w:rFonts w:ascii="Calibri" w:cs="Calibri" w:eastAsia="Calibri" w:hAnsi="Calibri"/>
          <w:b w:val="false"/>
          <w:bCs w:val="false"/>
          <w:i w:val="false"/>
          <w:iCs w:val="false"/>
          <w:color w:val="000000"/>
          <w:sz w:val="20"/>
          <w:szCs w:val="20"/>
        </w:rPr>
        <w:t xml:space="preserve">Version 2.1 declined to size or price any infrastructure, cloud or edge capacity, third-party licence or AI consumption, on the reasoning that these depend on volumes best established after alignment on the software. The engineering reasoning was not wrong. The commercial consequence was: Ashok Leyland was asked to evaluate a three-year cost of ownership from which roughly half the cost had been removed.</w:t>
      </w:r>
    </w:p>
    <w:p>
      <w:pPr>
        <w:spacing w:after="120"/>
        <w:jc w:val="left"/>
      </w:pPr>
      <w:r>
        <w:rPr>
          <w:rFonts w:ascii="Calibri" w:cs="Calibri" w:eastAsia="Calibri" w:hAnsi="Calibri"/>
          <w:b w:val="false"/>
          <w:bCs w:val="false"/>
          <w:i w:val="false"/>
          <w:iCs w:val="false"/>
          <w:color w:val="000000"/>
          <w:sz w:val="20"/>
          <w:szCs w:val="20"/>
        </w:rPr>
        <w:t xml:space="preserve">The revised submission sizes all of it. Annexure A of Commercial Proposal v3.0 gives a parametric model across three deployment bands, with stated assumptions for plants, lines, assets, users, concurrency, event rates, retention, AI interaction volume and token consumption, and a cost for each band. Band 1 — the agreed pilot — carries a not-to-exceed commitment. Bands 2 and 3 are explicitly indicative, because their drivers are volumes Ashok Leyland has not yet published; we would rather show the model and its sensitivity than assert a number we cannot support.</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5200"/>
        <w:gridCol w:w="2600"/>
        <w:gridCol w:w="2600"/>
      </w:tblGrid>
      <w:tr>
        <w:trPr>
          <w:tblHeader/>
        </w:trPr>
        <w:tc>
          <w:tcPr>
            <w:tcW w:type="dxa" w:w="52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Three-year evaluated TCO, Band 1 (single pilot plant)</w:t>
            </w:r>
          </w:p>
        </w:tc>
        <w:tc>
          <w:tcPr>
            <w:tcW w:type="dxa" w:w="2600"/>
            <w:shd w:fill="D9E2F3" w:color="auto" w:val="clear"/>
            <w:tcMar>
              <w:top w:type="dxa" w:w="60"/>
              <w:left w:type="dxa" w:w="90"/>
              <w:bottom w:type="dxa" w:w="60"/>
              <w:right w:type="dxa" w:w="90"/>
            </w:tcMar>
            <w:vAlign w:val="center"/>
          </w:tcPr>
          <w:p>
            <w:pPr>
              <w:spacing w:after="0"/>
              <w:jc w:val="right"/>
            </w:pPr>
            <w:r>
              <w:rPr>
                <w:rFonts w:ascii="Calibri" w:cs="Calibri" w:eastAsia="Calibri" w:hAnsi="Calibri"/>
                <w:b/>
                <w:bCs/>
                <w:i w:val="false"/>
                <w:iCs w:val="false"/>
                <w:color w:val="000000"/>
                <w:sz w:val="18"/>
                <w:szCs w:val="18"/>
              </w:rPr>
              <w:t xml:space="preserve">v2.1</w:t>
            </w:r>
          </w:p>
        </w:tc>
        <w:tc>
          <w:tcPr>
            <w:tcW w:type="dxa" w:w="2600"/>
            <w:shd w:fill="D9E2F3" w:color="auto" w:val="clear"/>
            <w:tcMar>
              <w:top w:type="dxa" w:w="60"/>
              <w:left w:type="dxa" w:w="90"/>
              <w:bottom w:type="dxa" w:w="60"/>
              <w:right w:type="dxa" w:w="90"/>
            </w:tcMar>
            <w:vAlign w:val="center"/>
          </w:tcPr>
          <w:p>
            <w:pPr>
              <w:spacing w:after="0"/>
              <w:jc w:val="right"/>
            </w:pPr>
            <w:r>
              <w:rPr>
                <w:rFonts w:ascii="Calibri" w:cs="Calibri" w:eastAsia="Calibri" w:hAnsi="Calibri"/>
                <w:b/>
                <w:bCs/>
                <w:i w:val="false"/>
                <w:iCs w:val="false"/>
                <w:color w:val="000000"/>
                <w:sz w:val="18"/>
                <w:szCs w:val="18"/>
              </w:rPr>
              <w:t xml:space="preserve">v3.0</w:t>
            </w:r>
          </w:p>
        </w:tc>
      </w:tr>
      <w:tr>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Software development</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₹80,00,000</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₹1,45,00,000</w:t>
            </w:r>
          </w:p>
        </w:tc>
      </w:tr>
      <w:tr>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Annual Maintenance Contract, Years 2 and 3</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₹29,52,000</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₹53,50,500</w:t>
            </w:r>
          </w:p>
        </w:tc>
      </w:tr>
      <w:tr>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Azure infrastructure, production and non-production</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Excluded</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₹1,60,30,800</w:t>
            </w:r>
          </w:p>
        </w:tc>
      </w:tr>
      <w:tr>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Edge and OT acquisition, one-time</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Excluded</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₹14,00,000</w:t>
            </w:r>
          </w:p>
        </w:tc>
      </w:tr>
      <w:tr>
        <w:tc>
          <w:tcPr>
            <w:tcW w:type="dxa" w:w="5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Third-party licences</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Excluded</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₹10,95,200</w:t>
            </w:r>
          </w:p>
        </w:tc>
      </w:tr>
      <w:tr>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AI model consumption</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Excluded</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₹18,30,000</w:t>
            </w:r>
          </w:p>
        </w:tc>
      </w:tr>
      <w:tr>
        <w:tc>
          <w:tcPr>
            <w:tcW w:type="dxa" w:w="5200"/>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Total, excl. GST</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bCs/>
                <w:i w:val="false"/>
                <w:iCs w:val="false"/>
                <w:color w:val="000000"/>
                <w:sz w:val="18"/>
                <w:szCs w:val="18"/>
              </w:rPr>
              <w:t xml:space="preserve">₹1,09,52,000</w:t>
            </w:r>
          </w:p>
        </w:tc>
        <w:tc>
          <w:tcPr>
            <w:tcW w:type="dxa" w:w="2600"/>
            <w:tcMar>
              <w:top w:type="dxa" w:w="60"/>
              <w:left w:type="dxa" w:w="90"/>
              <w:bottom w:type="dxa" w:w="60"/>
              <w:right w:type="dxa" w:w="90"/>
            </w:tcMar>
            <w:vAlign w:val="center"/>
          </w:tcPr>
          <w:p>
            <w:pPr>
              <w:spacing w:after="0"/>
              <w:jc w:val="right"/>
            </w:pPr>
            <w:r>
              <w:rPr>
                <w:rFonts w:ascii="Calibri" w:cs="Calibri" w:eastAsia="Calibri" w:hAnsi="Calibri"/>
                <w:b/>
                <w:bCs/>
                <w:i w:val="false"/>
                <w:iCs w:val="false"/>
                <w:color w:val="000000"/>
                <w:sz w:val="18"/>
                <w:szCs w:val="18"/>
              </w:rPr>
              <w:t xml:space="preserve">₹4,02,06,500</w:t>
            </w:r>
          </w:p>
        </w:tc>
      </w:tr>
      <w:tr>
        <w:tc>
          <w:tcPr>
            <w:tcW w:type="dxa" w:w="5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Infrastructure and consumption as a share of total</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0%</w:t>
            </w:r>
          </w:p>
        </w:tc>
        <w:tc>
          <w:tcPr>
            <w:tcW w:type="dxa" w:w="2600"/>
            <w:shd w:fill="F2F5FA"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i w:val="false"/>
                <w:iCs w:val="false"/>
                <w:color w:val="000000"/>
                <w:sz w:val="18"/>
                <w:szCs w:val="18"/>
              </w:rPr>
              <w:t xml:space="preserve">51%</w:t>
            </w:r>
          </w:p>
        </w:tc>
      </w:tr>
    </w:tbl>
    <w:p>
      <w:pPr>
        <w:spacing w:after="0"/>
      </w:pPr>
      <w:r>
        <w:rPr>
          <w:sz w:val="16"/>
          <w:szCs w:val="16"/>
        </w:rPr>
        <w:t xml:space="preserve"/>
      </w:r>
    </w:p>
    <w:p>
      <w:pPr>
        <w:spacing w:after="120"/>
        <w:jc w:val="left"/>
      </w:pPr>
      <w:r>
        <w:rPr>
          <w:rFonts w:ascii="Calibri" w:cs="Calibri" w:eastAsia="Calibri" w:hAnsi="Calibri"/>
          <w:b w:val="false"/>
          <w:bCs w:val="false"/>
          <w:i w:val="false"/>
          <w:iCs w:val="false"/>
          <w:color w:val="000000"/>
          <w:sz w:val="20"/>
          <w:szCs w:val="20"/>
        </w:rPr>
        <w:t xml:space="preserve">The relevant number is not that the total rose. It is that the excluded half of the cost of ownership existed either way, and would have arrived on Ashok Leyland’s budget after award rather than during evaluation. We take no margin on infrastructure and recommend that Ashok Leyland procures Azure capacity under its own enterprise agreement, where the discount will exceed anything we can pass through.</w:t>
      </w:r>
    </w:p>
    <w:p>
      <w:pPr>
        <w:pStyle w:val="Heading2"/>
        <w:spacing w:after="120" w:before="260"/>
      </w:pPr>
      <w:r>
        <w:rPr>
          <w:rFonts w:ascii="Calibri" w:cs="Calibri" w:eastAsia="Calibri" w:hAnsi="Calibri"/>
          <w:b/>
          <w:bCs/>
          <w:color w:val="1F3864"/>
          <w:sz w:val="24"/>
          <w:szCs w:val="24"/>
        </w:rPr>
        <w:t xml:space="preserve">3.2 Resource plan (1.5) and delivery schedule (2.0)</w:t>
      </w:r>
    </w:p>
    <w:p>
      <w:pPr>
        <w:spacing w:after="120"/>
        <w:jc w:val="left"/>
      </w:pPr>
      <w:r>
        <w:rPr>
          <w:rFonts w:ascii="Calibri" w:cs="Calibri" w:eastAsia="Calibri" w:hAnsi="Calibri"/>
          <w:b w:val="false"/>
          <w:bCs w:val="false"/>
          <w:i w:val="false"/>
          <w:iCs w:val="false"/>
          <w:color w:val="000000"/>
          <w:sz w:val="20"/>
          <w:szCs w:val="20"/>
        </w:rPr>
        <w:t xml:space="preserve">The effort table in version 2.1 implied a blended rate of approximately ₹8,200 per person-day across a team including a Principal Solution Architect and senior engineers, with onsite plant presence and travel excluded from the price. That was not a rate at which the quoted scope could be staffed. One AI/ML engineer was allocated to twelve AI requirements, and one QA engineer to system, user acceptance, performance, security, disaster-recovery and AI evaluation testing across three modules. The assessment identified this correctly.</w:t>
      </w:r>
    </w:p>
    <w:p>
      <w:pPr>
        <w:spacing w:after="120"/>
        <w:jc w:val="left"/>
      </w:pPr>
      <w:r>
        <w:rPr>
          <w:rFonts w:ascii="Calibri" w:cs="Calibri" w:eastAsia="Calibri" w:hAnsi="Calibri"/>
          <w:b w:val="false"/>
          <w:bCs w:val="false"/>
          <w:i w:val="false"/>
          <w:iCs w:val="false"/>
          <w:color w:val="000000"/>
          <w:sz w:val="20"/>
          <w:szCs w:val="20"/>
        </w:rPr>
        <w:t xml:space="preserve">The revised submission prices the same total scope bottom-up from a published rate card at a blended ₹12,792 per person-day for Phase 1a and ₹12,681 for Phase 1b, after a quantified platform-accelerator reuse credit whose underlying assets are available for inspection during clarification. QA is doubled, the AI capability is led rather than carried by a single engineer, and the four missing subject-matter and security roles are staffed.</w:t>
      </w:r>
    </w:p>
    <w:p>
      <w:pPr>
        <w:spacing w:after="120"/>
        <w:jc w:val="left"/>
      </w:pPr>
      <w:r>
        <w:rPr>
          <w:rFonts w:ascii="Calibri" w:cs="Calibri" w:eastAsia="Calibri" w:hAnsi="Calibri"/>
          <w:b w:val="false"/>
          <w:bCs w:val="false"/>
          <w:i w:val="false"/>
          <w:iCs w:val="false"/>
          <w:color w:val="000000"/>
          <w:sz w:val="20"/>
          <w:szCs w:val="20"/>
        </w:rPr>
        <w:t xml:space="preserve">That build-up prices the full Phase 1 scope at ₹1,45,00,000 rather than ₹80,00,000. Rather than present that as a price increase against a date that has since become tighter, Phase 1 is restructured:</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1600"/>
        <w:gridCol w:w="4400"/>
        <w:gridCol w:w="4400"/>
      </w:tblGrid>
      <w:tr>
        <w:trPr>
          <w:tblHeader/>
        </w:trPr>
        <w:tc>
          <w:tcPr>
            <w:tcW w:type="dxa" w:w="16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
            </w:r>
          </w:p>
        </w:tc>
        <w:tc>
          <w:tcPr>
            <w:tcW w:type="dxa" w:w="44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Phase 1a</w:t>
            </w:r>
          </w:p>
        </w:tc>
        <w:tc>
          <w:tcPr>
            <w:tcW w:type="dxa" w:w="44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Phase 1b</w:t>
            </w:r>
          </w:p>
        </w:tc>
      </w:tr>
      <w:tr>
        <w:tc>
          <w:tcPr>
            <w:tcW w:type="dxa" w:w="1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Scope</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Platform foundation, M1 MPAS/MES production and quality intelligence, AI-01 RCA, AI-03 Summary, AI-07 knowledge assistant, dashboards, workflow, migration, testing, training, cutover, hypercare</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M2 workforce intelligence, M3 energy management, AI-02 CAPA, AI-04 agentic chatbot, AI-05 and AI-06 services, cross-module correlation use case</w:t>
            </w:r>
          </w:p>
        </w:tc>
      </w:tr>
      <w:tr>
        <w:tc>
          <w:tcPr>
            <w:tcW w:type="dxa" w:w="1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Production go-live</w:t>
            </w:r>
          </w:p>
        </w:tc>
        <w:tc>
          <w:tcPr>
            <w:tcW w:type="dxa" w:w="4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18 December 2026</w:t>
            </w:r>
          </w:p>
        </w:tc>
        <w:tc>
          <w:tcPr>
            <w:tcW w:type="dxa" w:w="4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26 March 2027</w:t>
            </w:r>
          </w:p>
        </w:tc>
      </w:tr>
      <w:tr>
        <w:tc>
          <w:tcPr>
            <w:tcW w:type="dxa" w:w="1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Closure</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31 December 2026</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10 April 2027</w:t>
            </w:r>
          </w:p>
        </w:tc>
      </w:tr>
      <w:tr>
        <w:tc>
          <w:tcPr>
            <w:tcW w:type="dxa" w:w="1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Price, excl. GST</w:t>
            </w:r>
          </w:p>
        </w:tc>
        <w:tc>
          <w:tcPr>
            <w:tcW w:type="dxa" w:w="4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₹80,00,000</w:t>
            </w:r>
          </w:p>
        </w:tc>
        <w:tc>
          <w:tcPr>
            <w:tcW w:type="dxa" w:w="44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₹65,00,000</w:t>
            </w:r>
          </w:p>
        </w:tc>
      </w:tr>
      <w:tr>
        <w:tc>
          <w:tcPr>
            <w:tcW w:type="dxa" w:w="1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Commitment</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Fixed price, gate-linked, liquidated damages at 0.5% per week capped at 5%</w:t>
            </w:r>
          </w:p>
        </w:tc>
        <w:tc>
          <w:tcPr>
            <w:tcW w:type="dxa" w:w="44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Fixed price, gate-linked, same remedies, contracted under the same purchase order</w:t>
            </w:r>
          </w:p>
        </w:tc>
      </w:tr>
    </w:tbl>
    <w:p>
      <w:pPr>
        <w:spacing w:after="0"/>
      </w:pPr>
      <w:r>
        <w:rPr>
          <w:sz w:val="16"/>
          <w:szCs w:val="16"/>
        </w:rPr>
        <w:t xml:space="preserve"/>
      </w:r>
    </w:p>
    <w:tbl>
      <w:tblPr>
        <w:tblW w:type="dxa" w:w="10400"/>
        <w:tblBorders>
          <w:top w:val="single" w:color="BF9000" w:sz="6"/>
          <w:left w:val="single" w:color="BF9000" w:sz="6"/>
          <w:bottom w:val="single" w:color="BF9000" w:sz="6"/>
          <w:right w:val="single" w:color="BF9000" w:sz="6"/>
          <w:insideH w:val="none" w:color="FFFFFF" w:sz="0"/>
          <w:insideV w:val="none" w:color="FFFFFF" w:sz="0"/>
        </w:tblBorders>
      </w:tblPr>
      <w:tblGrid>
        <w:gridCol w:w="10400"/>
      </w:tblGrid>
      <w:tr>
        <w:tc>
          <w:tcPr>
            <w:tcW w:type="dxa" w:w="10400"/>
            <w:shd w:fill="FFF2CC" w:color="auto" w:val="clear"/>
            <w:tcMar>
              <w:top w:type="dxa" w:w="140"/>
              <w:left w:type="dxa" w:w="160"/>
              <w:bottom w:type="dxa" w:w="140"/>
              <w:right w:type="dxa" w:w="160"/>
            </w:tcMar>
          </w:tcPr>
          <w:p>
            <w:pPr>
              <w:spacing w:after="80"/>
            </w:pPr>
            <w:r>
              <w:rPr>
                <w:rFonts w:ascii="Calibri" w:cs="Calibri" w:eastAsia="Calibri" w:hAnsi="Calibri"/>
                <w:b/>
                <w:bCs/>
                <w:color w:val="1F3864"/>
                <w:sz w:val="20"/>
                <w:szCs w:val="20"/>
              </w:rPr>
              <w:t xml:space="preserve">What this means for the December 2026 obligation</w:t>
            </w:r>
          </w:p>
          <w:p>
            <w:pPr>
              <w:spacing w:after="80"/>
            </w:pPr>
            <w:r>
              <w:rPr>
                <w:rFonts w:ascii="Calibri" w:cs="Calibri" w:eastAsia="Calibri" w:hAnsi="Calibri"/>
                <w:sz w:val="19"/>
                <w:szCs w:val="19"/>
              </w:rPr>
              <w:t xml:space="preserve">Phase 1a is held at ₹80,00,000 — the figure already evaluated — by matching the December scope to what that budget genuinely resources, rather than by understating effort. Phase 1b is not deferred or left to be scoped later; it is a fixed-price commitment with its own gates and remedies, awarded together with Phase 1a.</w:t>
            </w:r>
          </w:p>
          <w:p>
            <w:pPr>
              <w:spacing w:after="80"/>
            </w:pPr>
            <w:r>
              <w:rPr>
                <w:rFonts w:ascii="Calibri" w:cs="Calibri" w:eastAsia="Calibri" w:hAnsi="Calibri"/>
                <w:sz w:val="19"/>
                <w:szCs w:val="19"/>
              </w:rPr>
              <w:t xml:space="preserve">The cross-module correlation use case is placed in Phase 1b because it depends functionally on M2 and M3 being in production. Correlating quality loss with workforce skill mix and energy behaviour cannot be demonstrated before the workforce and energy modules exist; sequencing it earlier would produce a demonstration rather than a capability.</w:t>
            </w:r>
          </w:p>
          <w:p>
            <w:pPr>
              <w:spacing w:after="0"/>
            </w:pPr>
            <w:r>
              <w:rPr>
                <w:rFonts w:ascii="Calibri" w:cs="Calibri" w:eastAsia="Calibri" w:hAnsi="Calibri"/>
                <w:sz w:val="19"/>
                <w:szCs w:val="19"/>
              </w:rPr>
              <w:t xml:space="preserve">We recognize this is a variation from the RFP’s requirement that all three modules complete by 31 December 2026, and we flag it as such rather than leaving it to be discovered. If Ashok Leyland requires all three modules and all four AI use cases in production by that date, we will quote that plan at the resourcing it genuinely requires; we will not quote it at a price we do not believe can deliver it.</w:t>
            </w:r>
          </w:p>
        </w:tc>
      </w:tr>
    </w:tbl>
    <w:p>
      <w:r>
        <w:br w:type="page"/>
      </w:r>
    </w:p>
    <w:p>
      <w:pPr>
        <w:pStyle w:val="Heading1"/>
        <w:spacing w:after="160" w:before="360"/>
      </w:pPr>
      <w:r>
        <w:rPr>
          <w:rFonts w:ascii="Calibri" w:cs="Calibri" w:eastAsia="Calibri" w:hAnsi="Calibri"/>
          <w:b/>
          <w:bCs/>
          <w:color w:val="1F3864"/>
          <w:sz w:val="30"/>
          <w:szCs w:val="30"/>
        </w:rPr>
        <w:t xml:space="preserve">4. Schedule Feasibility and the Award Date</w:t>
      </w:r>
    </w:p>
    <w:p>
      <w:pPr>
        <w:spacing w:after="120"/>
        <w:jc w:val="left"/>
      </w:pPr>
      <w:r>
        <w:rPr>
          <w:rFonts w:ascii="Calibri" w:cs="Calibri" w:eastAsia="Calibri" w:hAnsi="Calibri"/>
          <w:b w:val="false"/>
          <w:bCs w:val="false"/>
          <w:i w:val="false"/>
          <w:iCs w:val="false"/>
          <w:color w:val="000000"/>
          <w:sz w:val="20"/>
          <w:szCs w:val="20"/>
        </w:rPr>
        <w:t xml:space="preserve">The RFP schedule assumed award on 21 August 2026 and kick-off on 24 August 2026, giving nineteen weeks to the 31 December 2026 completion date. That award has not been made, and the nineteen weeks no longer exist. Any resubmission that reused the original Gantt would be answering a question the calendar has already changed.</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3600"/>
        <w:gridCol w:w="6800"/>
      </w:tblGrid>
      <w:tr>
        <w:trPr>
          <w:tblHeader/>
        </w:trPr>
        <w:tc>
          <w:tcPr>
            <w:tcW w:type="dxa" w:w="36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Parameter</w:t>
            </w:r>
          </w:p>
        </w:tc>
        <w:tc>
          <w:tcPr>
            <w:tcW w:type="dxa" w:w="6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Value</w:t>
            </w:r>
          </w:p>
        </w:tc>
      </w:tr>
      <w:tr>
        <w:tc>
          <w:tcPr>
            <w:tcW w:type="dxa" w:w="3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Phase 1a duration from kick-off</w:t>
            </w:r>
          </w:p>
        </w:tc>
        <w:tc>
          <w:tcPr>
            <w:tcW w:type="dxa" w:w="6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15 weeks — 13 to production go-live, 2 of hypercare to closure</w:t>
            </w:r>
          </w:p>
        </w:tc>
      </w:tr>
      <w:tr>
        <w:tc>
          <w:tcPr>
            <w:tcW w:type="dxa" w:w="3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Award-to-mobilization interval</w:t>
            </w:r>
          </w:p>
        </w:tc>
        <w:tc>
          <w:tcPr>
            <w:tcW w:type="dxa" w:w="6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3 working days</w:t>
            </w:r>
          </w:p>
        </w:tc>
      </w:tr>
      <w:tr>
        <w:tc>
          <w:tcPr>
            <w:tcW w:type="dxa" w:w="3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Last responsible award date for a 31 December 2026 closure</w:t>
            </w:r>
          </w:p>
        </w:tc>
        <w:tc>
          <w:tcPr>
            <w:tcW w:type="dxa" w:w="6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17 September 2026</w:t>
            </w:r>
          </w:p>
        </w:tc>
      </w:tr>
      <w:tr>
        <w:tc>
          <w:tcPr>
            <w:tcW w:type="dxa" w:w="3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Consequence of award after that date</w:t>
            </w:r>
          </w:p>
        </w:tc>
        <w:tc>
          <w:tcPr>
            <w:tcW w:type="dxa" w:w="6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Closure moves day-for-day into January 2027. We will re-present a plan with a revised closure date at the same price, or with a further reduced Phase 1a scope at a reduced price, at Ashok Leyland’s election</w:t>
            </w:r>
          </w:p>
        </w:tc>
      </w:tr>
      <w:tr>
        <w:tc>
          <w:tcPr>
            <w:tcW w:type="dxa" w:w="3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Float in the plan</w:t>
            </w:r>
          </w:p>
        </w:tc>
        <w:tc>
          <w:tcPr>
            <w:tcW w:type="dxa" w:w="6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8"/>
                <w:szCs w:val="18"/>
              </w:rPr>
              <w:t xml:space="preserve">None. Every week is on the critical path. Float is created structurally: any Phase 1a scope that cannot complete by 18 December without compromising quality moves into Phase 1b under change control at no additional charge, rather than being delivered late or delivered untested</w:t>
            </w:r>
          </w:p>
        </w:tc>
      </w:tr>
    </w:tbl>
    <w:p>
      <w:pPr>
        <w:spacing w:after="0"/>
      </w:pPr>
      <w:r>
        <w:rPr>
          <w:sz w:val="16"/>
          <w:szCs w:val="16"/>
        </w:rPr>
        <w:t xml:space="preserve"/>
      </w:r>
    </w:p>
    <w:p>
      <w:pPr>
        <w:spacing w:after="120"/>
        <w:jc w:val="left"/>
      </w:pPr>
      <w:r>
        <w:rPr>
          <w:rFonts w:ascii="Calibri" w:cs="Calibri" w:eastAsia="Calibri" w:hAnsi="Calibri"/>
          <w:b w:val="false"/>
          <w:bCs w:val="false"/>
          <w:i w:val="false"/>
          <w:iCs w:val="false"/>
          <w:color w:val="000000"/>
          <w:sz w:val="20"/>
          <w:szCs w:val="20"/>
        </w:rPr>
        <w:t xml:space="preserve">The day-for-day slip clause at v2.1 §10.1 is withdrawn. Against a date the RFP makes mandatory, an open-ended slip clause effectively voided the commitment, and the assessment was right to read it as dependency-heavy. It is replaced by a defined recovery mechanism, an excusable-delay test that requires the dependency to have been logged in the joint RAID register within five business days, and liquidated damages that attach to us where the delay is ours.</w:t>
      </w:r>
    </w:p>
    <w:p>
      <w:pPr>
        <w:pStyle w:val="Heading2"/>
        <w:spacing w:after="120" w:before="260"/>
      </w:pPr>
      <w:r>
        <w:rPr>
          <w:rFonts w:ascii="Calibri" w:cs="Calibri" w:eastAsia="Calibri" w:hAnsi="Calibri"/>
          <w:b/>
          <w:bCs/>
          <w:color w:val="1F3864"/>
          <w:sz w:val="24"/>
          <w:szCs w:val="24"/>
        </w:rPr>
        <w:t xml:space="preserve">4.1 Actions we propose before award, at our cost</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3200"/>
        <w:gridCol w:w="1500"/>
        <w:gridCol w:w="3900"/>
        <w:gridCol w:w="1800"/>
      </w:tblGrid>
      <w:tr>
        <w:trPr>
          <w:tblHeader/>
        </w:trPr>
        <w:tc>
          <w:tcPr>
            <w:tcW w:type="dxa" w:w="32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Action</w:t>
            </w:r>
          </w:p>
        </w:tc>
        <w:tc>
          <w:tcPr>
            <w:tcW w:type="dxa" w:w="15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Duration</w:t>
            </w:r>
          </w:p>
        </w:tc>
        <w:tc>
          <w:tcPr>
            <w:tcW w:type="dxa" w:w="39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Purpose</w:t>
            </w:r>
          </w:p>
        </w:tc>
        <w:tc>
          <w:tcPr>
            <w:tcW w:type="dxa" w:w="1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Addresses</w:t>
            </w:r>
          </w:p>
        </w:tc>
      </w:tr>
      <w:tr>
        <w:tc>
          <w:tcPr>
            <w:tcW w:type="dxa" w:w="3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MPAS/MES and iSkill connectivity workshop at the pilot plant, with the incumbent vendors present</w:t>
            </w:r>
          </w:p>
        </w:tc>
        <w:tc>
          <w:tcPr>
            <w:tcW w:type="dxa" w:w="1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2 days</w:t>
            </w:r>
          </w:p>
        </w:tc>
        <w:tc>
          <w:tcPr>
            <w:tcW w:type="dxa" w:w="3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Establish that the read-only acquisition path is technically available and identify any licence or interface gap before it becomes a post-award dependency</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Manufacturing/OT architecture 3.0</w:t>
            </w:r>
          </w:p>
        </w:tc>
      </w:tr>
      <w:tr>
        <w:tc>
          <w:tcPr>
            <w:tcW w:type="dxa" w:w="3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Data-readiness pre-assessment against a sample extract</w:t>
            </w:r>
          </w:p>
        </w:tc>
        <w:tc>
          <w:tcPr>
            <w:tcW w:type="dxa" w:w="1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5 days</w:t>
            </w:r>
          </w:p>
        </w:tc>
        <w:tc>
          <w:tcPr>
            <w:tcW w:type="dxa" w:w="3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Measure DR-1 to DR-8 before contract signature so that the price protection at Commercial §9 is exercised against known rather than assumed data</w:t>
            </w:r>
          </w:p>
        </w:tc>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Data architecture 3.0</w:t>
            </w:r>
          </w:p>
        </w:tc>
      </w:tr>
      <w:tr>
        <w:tc>
          <w:tcPr>
            <w:tcW w:type="dxa" w:w="3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Working session on the Annexure B acceptance thresholds with the quality, production and HR functions</w:t>
            </w:r>
          </w:p>
        </w:tc>
        <w:tc>
          <w:tcPr>
            <w:tcW w:type="dxa" w:w="1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 day</w:t>
            </w:r>
          </w:p>
        </w:tc>
        <w:tc>
          <w:tcPr>
            <w:tcW w:type="dxa" w:w="3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Convert our proposed thresholds into agreed thresholds before award rather than at Week 4</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AI design 3.5; testing 2.5</w:t>
            </w:r>
          </w:p>
        </w:tc>
      </w:tr>
      <w:tr>
        <w:tc>
          <w:tcPr>
            <w:tcW w:type="dxa" w:w="3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Architecture and security walkthrough with Ashok Leyland IT and OT security</w:t>
            </w:r>
          </w:p>
        </w:tc>
        <w:tc>
          <w:tcPr>
            <w:tcW w:type="dxa" w:w="15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1 day</w:t>
            </w:r>
          </w:p>
        </w:tc>
        <w:tc>
          <w:tcPr>
            <w:tcW w:type="dxa" w:w="39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Validate the Purdue L3.5 topology, firewall posture and Entra ID integration against Ashok Leyland standards</w:t>
            </w:r>
          </w:p>
        </w:tc>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Enterprise architecture 3.5; cybersecurity 3.0</w:t>
            </w:r>
          </w:p>
        </w:tc>
      </w:tr>
      <w:tr>
        <w:tc>
          <w:tcPr>
            <w:tcW w:type="dxa" w:w="3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Reference calls and site visit — three comparable manufacturing implementations with contactable customers</w:t>
            </w:r>
          </w:p>
        </w:tc>
        <w:tc>
          <w:tcPr>
            <w:tcW w:type="dxa" w:w="15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Scheduled at Ashok Leyland’s convenience</w:t>
            </w:r>
          </w:p>
        </w:tc>
        <w:tc>
          <w:tcPr>
            <w:tcW w:type="dxa" w:w="39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Evidence for the manufacturing experience criterion at RFP §14, which carries 10% weight and which our submission had not evidenced</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Manufacturing experience and references</w:t>
            </w:r>
          </w:p>
        </w:tc>
      </w:tr>
    </w:tbl>
    <w:p>
      <w:pPr>
        <w:spacing w:after="0"/>
      </w:pPr>
      <w:r>
        <w:rPr>
          <w:sz w:val="16"/>
          <w:szCs w:val="16"/>
        </w:rPr>
        <w:t xml:space="preserve"/>
      </w:r>
    </w:p>
    <w:p>
      <w:pPr>
        <w:spacing w:after="120"/>
        <w:jc w:val="left"/>
      </w:pPr>
      <w:r>
        <w:rPr>
          <w:rFonts w:ascii="Calibri" w:cs="Calibri" w:eastAsia="Calibri" w:hAnsi="Calibri"/>
          <w:b w:val="false"/>
          <w:bCs w:val="false"/>
          <w:i w:val="false"/>
          <w:iCs w:val="false"/>
          <w:color w:val="000000"/>
          <w:sz w:val="20"/>
          <w:szCs w:val="20"/>
        </w:rPr>
        <w:t xml:space="preserve">None of these is chargeable and none is conditional on award. They exist because four of the fourteen findings concern feasibility that can be proven now rather than asserted, and we would rather prove them before Ashok Leyland commits.</w:t>
      </w:r>
    </w:p>
    <w:p>
      <w:r>
        <w:br w:type="page"/>
      </w:r>
    </w:p>
    <w:p>
      <w:pPr>
        <w:pStyle w:val="Heading1"/>
        <w:spacing w:after="160" w:before="360"/>
      </w:pPr>
      <w:r>
        <w:rPr>
          <w:rFonts w:ascii="Calibri" w:cs="Calibri" w:eastAsia="Calibri" w:hAnsi="Calibri"/>
          <w:b/>
          <w:bCs/>
          <w:color w:val="1F3864"/>
          <w:sz w:val="30"/>
          <w:szCs w:val="30"/>
        </w:rPr>
        <w:t xml:space="preserve">5. Positions We Have Not Changed, and Why</w:t>
      </w:r>
    </w:p>
    <w:p>
      <w:pPr>
        <w:spacing w:after="120"/>
        <w:jc w:val="left"/>
      </w:pPr>
      <w:r>
        <w:rPr>
          <w:rFonts w:ascii="Calibri" w:cs="Calibri" w:eastAsia="Calibri" w:hAnsi="Calibri"/>
          <w:b w:val="false"/>
          <w:bCs w:val="false"/>
          <w:i w:val="false"/>
          <w:iCs w:val="false"/>
          <w:color w:val="000000"/>
          <w:sz w:val="20"/>
          <w:szCs w:val="20"/>
        </w:rPr>
        <w:t xml:space="preserve">Three positions from the original submission are retained. We set out the reasoning so that Ashok Leyland can reject them explicitly rather than have them persist by default.</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2600"/>
        <w:gridCol w:w="4600"/>
        <w:gridCol w:w="3200"/>
      </w:tblGrid>
      <w:tr>
        <w:trPr>
          <w:tblHeader/>
        </w:trPr>
        <w:tc>
          <w:tcPr>
            <w:tcW w:type="dxa" w:w="26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Position retained</w:t>
            </w:r>
          </w:p>
        </w:tc>
        <w:tc>
          <w:tcPr>
            <w:tcW w:type="dxa" w:w="46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Reasoning</w:t>
            </w:r>
          </w:p>
        </w:tc>
        <w:tc>
          <w:tcPr>
            <w:tcW w:type="dxa" w:w="32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What we will do if Ashok Leyland disagrees</w:t>
            </w:r>
          </w:p>
        </w:tc>
      </w:tr>
      <w:tr>
        <w:tc>
          <w:tcPr>
            <w:tcW w:type="dxa" w:w="2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No write, control or configuration path into MES, SCADA, PLC, EMS, historian or quality systems</w:t>
            </w:r>
          </w:p>
        </w:tc>
        <w:tc>
          <w:tcPr>
            <w:tcW w:type="dxa" w:w="4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 platform that can write into OT systems acquires a safety and regulatory obligation disproportionate to the value of the write. Every use case in RFP §4 is achievable on read-only acquisition with human-executed actions. The assessment recognized this position as sensible; we are not softening it under commercial pressure</w:t>
            </w:r>
          </w:p>
        </w:tc>
        <w:tc>
          <w:tcPr>
            <w:tcW w:type="dxa" w:w="3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Where a specific write-back is required — for example CAPA status back into the quality system — we will scope it as a discrete, gated, separately assessed change with its own safety review, rather than as a general capability</w:t>
            </w:r>
          </w:p>
        </w:tc>
      </w:tr>
      <w:tr>
        <w:tc>
          <w:tcPr>
            <w:tcW w:type="dxa" w:w="2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Correction of master data at source remains an Ashok Leyland responsibility</w:t>
            </w:r>
          </w:p>
        </w:tc>
        <w:tc>
          <w:tcPr>
            <w:tcW w:type="dxa" w:w="46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Only Ashok Leyland can authorize a change in MPAS/MES. We have brought the mapping and normalization work inside our fixed fee (Commercial §10.3), but we cannot own a change we cannot make</w:t>
            </w:r>
          </w:p>
        </w:tc>
        <w:tc>
          <w:tcPr>
            <w:tcW w:type="dxa" w:w="32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We will provide the remediation instructions, the exception reports and the reconciliation evidence, and will perform the work under change control at the published day rate where Ashok Leyland grants the access to do so</w:t>
            </w:r>
          </w:p>
        </w:tc>
      </w:tr>
      <w:tr>
        <w:tc>
          <w:tcPr>
            <w:tcW w:type="dxa" w:w="2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Infrastructure procured directly by Ashok Leyland rather than passed through us</w:t>
            </w:r>
          </w:p>
        </w:tc>
        <w:tc>
          <w:tcPr>
            <w:tcW w:type="dxa" w:w="46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Ashok Leyland’s Azure enterprise agreement will price better than anything we can resell, and direct procurement keeps the cost transparent and the exit clean</w:t>
            </w:r>
          </w:p>
        </w:tc>
        <w:tc>
          <w:tcPr>
            <w:tcW w:type="dxa" w:w="32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We will procure and pass through at cost plus a 5% administration fee, disclosed on every invoice, per Commercial §9</w:t>
            </w:r>
          </w:p>
        </w:tc>
      </w:tr>
    </w:tbl>
    <w:p>
      <w:pPr>
        <w:spacing w:after="0"/>
      </w:pPr>
      <w:r>
        <w:rPr>
          <w:sz w:val="16"/>
          <w:szCs w:val="16"/>
        </w:rPr>
        <w:t xml:space="preserve"/>
      </w:r>
    </w:p>
    <w:p>
      <w:pPr>
        <w:pStyle w:val="Heading1"/>
        <w:spacing w:after="160" w:before="360"/>
      </w:pPr>
      <w:r>
        <w:rPr>
          <w:rFonts w:ascii="Calibri" w:cs="Calibri" w:eastAsia="Calibri" w:hAnsi="Calibri"/>
          <w:b/>
          <w:bCs/>
          <w:color w:val="1F3864"/>
          <w:sz w:val="30"/>
          <w:szCs w:val="30"/>
        </w:rPr>
        <w:t xml:space="preserve">6. Documents Accompanying This Matrix</w:t>
      </w:r>
    </w:p>
    <w:tbl>
      <w:tblPr>
        <w:tblW w:type="dxa" w:w="10400"/>
        <w:tblBorders>
          <w:top w:val="single" w:color="B4C6E7" w:sz="4"/>
          <w:left w:val="single" w:color="B4C6E7" w:sz="4"/>
          <w:bottom w:val="single" w:color="B4C6E7" w:sz="4"/>
          <w:right w:val="single" w:color="B4C6E7" w:sz="4"/>
          <w:insideH w:val="single" w:color="D6DCE5" w:sz="2"/>
          <w:insideV w:val="single" w:color="D6DCE5" w:sz="2"/>
        </w:tblBorders>
      </w:tblPr>
      <w:tblGrid>
        <w:gridCol w:w="2800"/>
        <w:gridCol w:w="1800"/>
        <w:gridCol w:w="5800"/>
      </w:tblGrid>
      <w:tr>
        <w:trPr>
          <w:tblHeader/>
        </w:trPr>
        <w:tc>
          <w:tcPr>
            <w:tcW w:type="dxa" w:w="2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Document</w:t>
            </w:r>
          </w:p>
        </w:tc>
        <w:tc>
          <w:tcPr>
            <w:tcW w:type="dxa" w:w="1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Status</w:t>
            </w:r>
          </w:p>
        </w:tc>
        <w:tc>
          <w:tcPr>
            <w:tcW w:type="dxa" w:w="5800"/>
            <w:shd w:fill="D9E2F3"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000000"/>
                <w:sz w:val="18"/>
                <w:szCs w:val="18"/>
              </w:rPr>
              <w:t xml:space="preserve">Principal changes</w:t>
            </w:r>
          </w:p>
        </w:tc>
      </w:tr>
      <w:tr>
        <w:tc>
          <w:tcPr>
            <w:tcW w:type="dxa" w:w="2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Commercial Proposal v3.0</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Supersedes v2.1 in full</w:t>
            </w:r>
          </w:p>
        </w:tc>
        <w:tc>
          <w:tcPr>
            <w:tcW w:type="dxa" w:w="5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Rate card and effort build-up; RFP §12.2 payment structure with the advance withdrawn; liquidated damages, service credits, travel cap, liability and insurance; parametric infrastructure sizing and complete three-year TCO; AI acceptance thresholds; security evidence commitments; re-baselined schedule with the last responsible award date; scope extension unit prices</w:t>
            </w:r>
          </w:p>
        </w:tc>
      </w:tr>
      <w:tr>
        <w:tc>
          <w:tcPr>
            <w:tcW w:type="dxa" w:w="2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Technical Approach and Solution Architecture v3.0</w:t>
            </w:r>
          </w:p>
        </w:tc>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Supersedes v2.x in full</w:t>
            </w:r>
          </w:p>
        </w:tc>
        <w:tc>
          <w:tcPr>
            <w:tcW w:type="dxa" w:w="5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Deployment topology and technology bill of materials; OT boundary design; requirement-by-requirement compliance matrix per RFP §10.2; single reconciled delivery team and effort histogram; Phase 2 enterprise and agentic scaling plan</w:t>
            </w:r>
          </w:p>
        </w:tc>
      </w:tr>
      <w:tr>
        <w:tc>
          <w:tcPr>
            <w:tcW w:type="dxa" w:w="2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Dependency-linked Gantt</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New</w:t>
            </w:r>
          </w:p>
        </w:tc>
        <w:tc>
          <w:tcPr>
            <w:tcW w:type="dxa" w:w="5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Microsoft Project and Excel formats per RFP §9, with task IDs, predecessors, critical-path indicator, effort in person-days, Ashok Leyland and vendor owners, named resource histogram by role and week, and baseline-versus-actual control</w:t>
            </w:r>
          </w:p>
        </w:tc>
      </w:tr>
      <w:tr>
        <w:tc>
          <w:tcPr>
            <w:tcW w:type="dxa" w:w="2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Requirement compliance matrix</w:t>
            </w:r>
          </w:p>
        </w:tc>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New</w:t>
            </w:r>
          </w:p>
        </w:tc>
        <w:tc>
          <w:tcPr>
            <w:tcW w:type="dxa" w:w="5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Every FR, EFR, AI, ARCH and NFR identifier with compliance state, delivery method, evidence reference and any exception with its cost and schedule impact, in the format required at RFP §10.2</w:t>
            </w:r>
          </w:p>
        </w:tc>
      </w:tr>
      <w:tr>
        <w:tc>
          <w:tcPr>
            <w:tcW w:type="dxa" w:w="2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Key personnel CVs and background IP schedule</w:t>
            </w:r>
          </w:p>
        </w:tc>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New</w:t>
            </w:r>
          </w:p>
        </w:tc>
        <w:tc>
          <w:tcPr>
            <w:tcW w:type="dxa" w:w="5800"/>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Per RFP §11 and §15</w:t>
            </w:r>
          </w:p>
        </w:tc>
      </w:tr>
      <w:tr>
        <w:tc>
          <w:tcPr>
            <w:tcW w:type="dxa" w:w="2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Manufacturing reference pack</w:t>
            </w:r>
          </w:p>
        </w:tc>
        <w:tc>
          <w:tcPr>
            <w:tcW w:type="dxa" w:w="1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New</w:t>
            </w:r>
          </w:p>
        </w:tc>
        <w:tc>
          <w:tcPr>
            <w:tcW w:type="dxa" w:w="5800"/>
            <w:shd w:fill="F2F5FA"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000000"/>
                <w:sz w:val="17"/>
                <w:szCs w:val="17"/>
              </w:rPr>
              <w:t xml:space="preserve">Three comparable implementations with contactable reference customers, per RFP §10</w:t>
            </w:r>
          </w:p>
        </w:tc>
      </w:tr>
    </w:tbl>
    <w:p>
      <w:pPr>
        <w:spacing w:after="0"/>
      </w:pPr>
      <w:r>
        <w:rPr>
          <w:sz w:val="16"/>
          <w:szCs w:val="16"/>
        </w:rPr>
        <w:t xml:space="preserve"/>
      </w:r>
    </w:p>
    <w:tbl>
      <w:tblPr>
        <w:tblW w:type="dxa" w:w="10400"/>
        <w:tblBorders>
          <w:top w:val="single" w:color="BF9000" w:sz="6"/>
          <w:left w:val="single" w:color="BF9000" w:sz="6"/>
          <w:bottom w:val="single" w:color="BF9000" w:sz="6"/>
          <w:right w:val="single" w:color="BF9000" w:sz="6"/>
          <w:insideH w:val="none" w:color="FFFFFF" w:sz="0"/>
          <w:insideV w:val="none" w:color="FFFFFF" w:sz="0"/>
        </w:tblBorders>
      </w:tblPr>
      <w:tblGrid>
        <w:gridCol w:w="10400"/>
      </w:tblGrid>
      <w:tr>
        <w:tc>
          <w:tcPr>
            <w:tcW w:type="dxa" w:w="10400"/>
            <w:shd w:fill="E2EFDA" w:color="auto" w:val="clear"/>
            <w:tcMar>
              <w:top w:type="dxa" w:w="140"/>
              <w:left w:type="dxa" w:w="160"/>
              <w:bottom w:type="dxa" w:w="140"/>
              <w:right w:type="dxa" w:w="160"/>
            </w:tcMar>
          </w:tcPr>
          <w:p>
            <w:pPr>
              <w:spacing w:after="80"/>
            </w:pPr>
            <w:r>
              <w:rPr>
                <w:rFonts w:ascii="Calibri" w:cs="Calibri" w:eastAsia="Calibri" w:hAnsi="Calibri"/>
                <w:b/>
                <w:bCs/>
                <w:color w:val="1F3864"/>
                <w:sz w:val="20"/>
                <w:szCs w:val="20"/>
              </w:rPr>
              <w:t xml:space="preserve">Closing position</w:t>
            </w:r>
          </w:p>
          <w:p>
            <w:pPr>
              <w:spacing w:after="80"/>
            </w:pPr>
            <w:r>
              <w:rPr>
                <w:rFonts w:ascii="Calibri" w:cs="Calibri" w:eastAsia="Calibri" w:hAnsi="Calibri"/>
                <w:sz w:val="19"/>
                <w:szCs w:val="19"/>
              </w:rPr>
              <w:t xml:space="preserve">We are not asking Ashok Leyland to re-read a document that has been reworded. Four of the fourteen findings identified defects, and those are listed and corrected. Two identified a price that could not carry the scope, and that has been rebuilt from the bottom up rather than defended. One identified a schedule that the calendar has since made tighter still, and we have said so.</w:t>
            </w:r>
          </w:p>
          <w:p>
            <w:pPr>
              <w:spacing w:after="0"/>
            </w:pPr>
            <w:r>
              <w:rPr>
                <w:rFonts w:ascii="Calibri" w:cs="Calibri" w:eastAsia="Calibri" w:hAnsi="Calibri"/>
                <w:sz w:val="19"/>
                <w:szCs w:val="19"/>
              </w:rPr>
              <w:t xml:space="preserve">We would welcome a technical clarification session on the revised submission, and we would prefer to hold the five pre-award actions at Section 4.1 before any award decision rather than after it.</w:t>
            </w:r>
          </w:p>
        </w:tc>
      </w:tr>
    </w:tbl>
    <w:sectPr>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5"/>
        <w:szCs w:val="15"/>
      </w:rPr>
      <w:t xml:space="preserve">Softlabs · Ashok Leyland AI Platform · Evaluation Response Matrix v1.0  |  Commercial-in-Confidence  |  Page </w:t>
    </w:r>
    <w:r>
      <w:rPr>
        <w:rFonts w:ascii="Calibri" w:cs="Calibri" w:eastAsia="Calibri" w:hAnsi="Calibri"/>
        <w:color w:val="44546A"/>
        <w:sz w:val="15"/>
        <w:szCs w:val="15"/>
      </w:rPr>
      <w:fldChar w:fldCharType="begin"/>
      <w:instrText xml:space="preserve">PAGE</w:instrText>
      <w:fldChar w:fldCharType="separate"/>
      <w:fldChar w:fldCharType="end"/>
    </w:r>
    <w:r>
      <w:rPr>
        <w:rFonts w:ascii="Calibri" w:cs="Calibri" w:eastAsia="Calibri" w:hAnsi="Calibri"/>
        <w:color w:val="44546A"/>
        <w:sz w:val="15"/>
        <w:szCs w:val="15"/>
      </w:rPr>
      <w:t xml:space="preserve"> of </w:t>
    </w:r>
    <w:r>
      <w:rPr>
        <w:rFonts w:ascii="Calibri" w:cs="Calibri" w:eastAsia="Calibri" w:hAnsi="Calibri"/>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2026-09-04T06:20:05.305Z</dcterms:created>
  <dcterms:modified xsi:type="dcterms:W3CDTF">2026-09-04T06:20:05.312Z</dcterms:modified>
</cp:coreProperties>
</file>

<file path=docProps/custom.xml><?xml version="1.0" encoding="utf-8"?>
<Properties xmlns="http://schemas.openxmlformats.org/officeDocument/2006/custom-properties" xmlns:vt="http://schemas.openxmlformats.org/officeDocument/2006/docPropsVTypes"/>
</file>