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7016" w14:textId="77777777" w:rsidR="003223C8" w:rsidRPr="001C131A" w:rsidRDefault="00A13A07">
      <w:pPr>
        <w:spacing w:after="60"/>
        <w:jc w:val="center"/>
        <w:rPr>
          <w:sz w:val="44"/>
          <w:szCs w:val="44"/>
        </w:rPr>
      </w:pPr>
      <w:r w:rsidRPr="001C131A">
        <w:rPr>
          <w:b/>
          <w:bCs/>
          <w:color w:val="1F3864"/>
          <w:sz w:val="44"/>
          <w:szCs w:val="44"/>
        </w:rPr>
        <w:t>Minutes of Meeting</w:t>
      </w:r>
    </w:p>
    <w:p w14:paraId="7D59DBBF" w14:textId="77777777" w:rsidR="003223C8" w:rsidRDefault="00A13A07">
      <w:pPr>
        <w:spacing w:after="240"/>
        <w:jc w:val="center"/>
      </w:pPr>
      <w:r>
        <w:rPr>
          <w:i/>
          <w:iCs/>
          <w:color w:val="2E5395"/>
        </w:rPr>
        <w:t>Workshop — CRM, Marketing Automation, Loyalty &amp; CMS / White-Label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2972"/>
        <w:gridCol w:w="2065"/>
        <w:gridCol w:w="2937"/>
      </w:tblGrid>
      <w:tr w:rsidR="003223C8" w14:paraId="1776B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33D5" w14:textId="77777777" w:rsidR="003223C8" w:rsidRDefault="00A13A07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5F8D" w14:textId="77777777" w:rsidR="003223C8" w:rsidRDefault="00A13A07">
            <w:r>
              <w:rPr>
                <w:color w:val="000000"/>
              </w:rPr>
              <w:t>20-August-2026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B70BA" w14:textId="77777777" w:rsidR="003223C8" w:rsidRDefault="00A13A07">
            <w:r>
              <w:rPr>
                <w:b/>
                <w:bCs/>
                <w:color w:val="1F3864"/>
              </w:rPr>
              <w:t>Project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05481" w14:textId="77777777" w:rsidR="003223C8" w:rsidRDefault="00A13A07">
            <w:r>
              <w:rPr>
                <w:color w:val="000000"/>
              </w:rPr>
              <w:t>TICVAI</w:t>
            </w:r>
          </w:p>
        </w:tc>
      </w:tr>
      <w:tr w:rsidR="003223C8" w14:paraId="42323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6DD2" w14:textId="77777777" w:rsidR="003223C8" w:rsidRDefault="00A13A07">
            <w:r>
              <w:rPr>
                <w:b/>
                <w:bCs/>
                <w:color w:val="1F3864"/>
              </w:rPr>
              <w:t>Meeting Type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8EA14" w14:textId="77777777" w:rsidR="003223C8" w:rsidRDefault="00A13A07">
            <w:r>
              <w:rPr>
                <w:color w:val="000000"/>
              </w:rPr>
              <w:t>Functional Workshop — CRM, Marketing Automation &amp; CMS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8E478" w14:textId="77777777" w:rsidR="003223C8" w:rsidRDefault="00A13A07">
            <w:r>
              <w:rPr>
                <w:b/>
                <w:bCs/>
                <w:color w:val="1F3864"/>
              </w:rPr>
              <w:t>Prepared by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1BC51" w14:textId="77777777" w:rsidR="003223C8" w:rsidRDefault="00A13A07">
            <w:r>
              <w:rPr>
                <w:color w:val="000000"/>
              </w:rPr>
              <w:t>Chitrangi Mestry</w:t>
            </w:r>
          </w:p>
        </w:tc>
      </w:tr>
    </w:tbl>
    <w:p w14:paraId="1BADA459" w14:textId="77777777" w:rsidR="003223C8" w:rsidRDefault="00A13A07">
      <w:pPr>
        <w:spacing w:before="200" w:after="200"/>
      </w:pPr>
      <w:r>
        <w:rPr>
          <w:b/>
          <w:bCs/>
          <w:i/>
          <w:iCs/>
          <w:color w:val="444444"/>
        </w:rPr>
        <w:t xml:space="preserve">Note: </w:t>
      </w:r>
      <w:r>
        <w:rPr>
          <w:i/>
          <w:iCs/>
          <w:color w:val="444444"/>
        </w:rPr>
        <w:t>This recording is filed under “F&amp;B, Retail, Procurement &amp; Inventory,” but the session actually covered CRM, marketing automation, loyalty/wallet, RBAC and CMS/white-label configuration — no F&amp;B, retail, procurement or inventory content was discussed. This MoM reflects the content actually covered; the F&amp;B/Retail/Procurement/Inventory workshop remains outstanding (see Open Items).</w:t>
      </w:r>
    </w:p>
    <w:p w14:paraId="6F869FC1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Primary Objective</w:t>
      </w:r>
    </w:p>
    <w:p w14:paraId="1AAB9C83" w14:textId="77777777" w:rsidR="003223C8" w:rsidRDefault="00A13A07">
      <w:pPr>
        <w:spacing w:after="120"/>
      </w:pPr>
      <w:r>
        <w:t>Solution/Product team to continue the functional walkthrough of the TICVAI reference platform — covering CRM and customer profile management, identity resolution and duplicate handling, consent and data privacy, audience segmentation, loyalty/membership/wallet mechanics, marketing automation, role-based access control, AI chat/case management, and CMS/white-label website and mobile app configuration — for review, validation and alignment on functional scope and simplification opportunities.</w:t>
      </w:r>
    </w:p>
    <w:p w14:paraId="44A0088F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Participants</w:t>
      </w:r>
    </w:p>
    <w:p w14:paraId="4A752DE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TICVAI Team</w:t>
      </w:r>
    </w:p>
    <w:p w14:paraId="0C6F4D4B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Softlabs Team</w:t>
      </w:r>
    </w:p>
    <w:p w14:paraId="24F4DD36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Agenda</w:t>
      </w:r>
    </w:p>
    <w:p w14:paraId="60D7257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Walkthrough of CRM — customer profiles, unique/mandatory fields, family &amp; guardian linking</w:t>
      </w:r>
    </w:p>
    <w:p w14:paraId="38C59063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Duplicate profile detection, identity resolution and merge rules</w:t>
      </w:r>
    </w:p>
    <w:p w14:paraId="0E41025B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Consent policy, data privacy and retention/archival</w:t>
      </w:r>
    </w:p>
    <w:p w14:paraId="6F040F1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Audience segmentation, behavioural analytics and data migration</w:t>
      </w:r>
    </w:p>
    <w:p w14:paraId="09C48BE7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Loyalty, membership tiers and wallet functionality</w:t>
      </w:r>
    </w:p>
    <w:p w14:paraId="5437D197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Marketing automation — campaigns, offers and the Visual Journey Builder</w:t>
      </w:r>
    </w:p>
    <w:p w14:paraId="7C70824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Role-based access control (RBAC) for CRM and configuration modules</w:t>
      </w:r>
    </w:p>
    <w:p w14:paraId="03435B6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AI chat box, routing/queue management and case management</w:t>
      </w:r>
    </w:p>
    <w:p w14:paraId="4A1738E4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Surveys and gamification</w:t>
      </w:r>
    </w:p>
    <w:p w14:paraId="77EE69E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CMS and white-label website / mobile app configuration, with reference-site walkthroughs</w:t>
      </w:r>
    </w:p>
    <w:p w14:paraId="1062BDE9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4. Detailed Discussion</w:t>
      </w:r>
    </w:p>
    <w:p w14:paraId="371C3D3B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lastRenderedPageBreak/>
        <w:t>4.1 CRM — Customer Profiles, Unique Fields &amp; Family/Guardian Linking</w:t>
      </w:r>
    </w:p>
    <w:p w14:paraId="5165D301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Allam walked through the reference CRM's guest dashboard (active/inactive/duplicate profile counts, lifetime value), guest directory/search, and customer segmentation by source (individual, corporate, group, travel agent, OTA).</w:t>
      </w:r>
    </w:p>
    <w:p w14:paraId="4A5CADA5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Profile fields must be fully configurable/user-defined (e.g., nationality vs. country of residence), with per-field unique and required flags; group profiles (group name, description, contact person) mirror individual fields but are independently configurable.</w:t>
      </w:r>
    </w:p>
    <w:p w14:paraId="607E7C70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Decision: </w:t>
      </w:r>
      <w:r>
        <w:t>at least one of e-mail address or mobile number will be enforced as mandatory (not both), since some customers decline to share e-mail; the system supports conditional “either/or” mandatory-field rules.</w:t>
      </w:r>
    </w:p>
    <w:p w14:paraId="6F78CB4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Family/guardian linking confirmed as a core requirement (e.g., father, spouse, daughter linked as one family unit), consistent with family-ticket and family-membership configurations; Chinmay confirmed the same linking model should extend to operations-team entitlement relationships.</w:t>
      </w:r>
    </w:p>
    <w:p w14:paraId="081C110F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Wallet balances are shared across a linked family — a parent's top-up can be drawn down by a linked child's wristband without a separate top-up.</w:t>
      </w:r>
    </w:p>
    <w:p w14:paraId="37C71609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Corporate/B2B profiles support a self-service onboarding flow: company profile creation (name, address, trade licence, VAT certificate), admin approval/rejection, rate/product setup, and credential issuance.</w:t>
      </w:r>
    </w:p>
    <w:p w14:paraId="6BA529D7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4.2 Duplicate Detection, Identity Resolution &amp; Merge Rules</w:t>
      </w:r>
    </w:p>
    <w:p w14:paraId="3A42FD64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Guest checkout creates a new profile on every purchase unless matched to an existing one. Matching rules (fuzzy name similarity, exact mobile match, exact e-mail match) flag likely duplicates for merge, as demonstrated on the sample “duplicate review and merge” screen (500 profiles, ~100 matched by mobile number).</w:t>
      </w:r>
    </w:p>
    <w:p w14:paraId="36FFA88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Extended discussion (Qossai, Chinmay) covered edge cases: two accounts with different e-mails but matching name/mobile; a customer intentionally maintaining separate accounts (e.g., personal vs. corporate); and which e-mail becomes the login of record after a merge.</w:t>
      </w:r>
    </w:p>
    <w:p w14:paraId="08F18D5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Decision: </w:t>
      </w:r>
      <w:r>
        <w:t>profiles cannot be merged automatically without customer consent. The system will identify likely-duplicate profiles algorithmically and notify the customer (push notification or e-mail); the merge proceeds only on customer confirmation. An admin-side review queue will also track flagged duplicates independent of customer response.</w:t>
      </w:r>
    </w:p>
    <w:p w14:paraId="35C879A8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4.3 Consent, Data Privacy &amp; Retention</w:t>
      </w:r>
    </w:p>
    <w:p w14:paraId="66EFF234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Consent policy configuration governs marketing/newsletter/survey communications; customers who do not opt in must not receive promotional communications.</w:t>
      </w:r>
    </w:p>
    <w:p w14:paraId="1E2B9C5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A data-subject-request module manages privacy inquiries (access, correction, deletion) with status tracking (submitted → in progress → completed).</w:t>
      </w:r>
    </w:p>
    <w:p w14:paraId="0A1A9612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Decision: </w:t>
      </w:r>
      <w:r>
        <w:t>data retention/archival periods (e.g., 3–5 years of “live” data before archival) will be configurable per tenant/venue at setup time, with a system default that administrators can override.</w:t>
      </w:r>
    </w:p>
    <w:p w14:paraId="38FBF4CD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4.4 Audience Segmentation, Behavioural Analytics &amp; Data Migration</w:t>
      </w:r>
    </w:p>
    <w:p w14:paraId="34EB2228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lastRenderedPageBreak/>
        <w:t>A dynamic segment builder supports rule-based segments (e.g., purchase value bands, product-specific purchases, recency of purchase) for sales/marketing reporting.</w:t>
      </w:r>
    </w:p>
    <w:p w14:paraId="3B8A2F86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Static list import (CSV/Excel) supports migrating historical customer/segment data during onboarding.</w:t>
      </w:r>
    </w:p>
    <w:p w14:paraId="3F4DFD19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</w:rPr>
        <w:t xml:space="preserve">Action: </w:t>
      </w:r>
      <w:r>
        <w:t>hold a dedicated data-migration workshop to define import formats and validation rules.</w:t>
      </w:r>
    </w:p>
    <w:p w14:paraId="2DF3849F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Google Analytics will be integrated to capture full on-site behavioural tracking (browsing, cart abandonment, checkout drop-off) natively into the platform's own reporting, feeding behavioural segments (cart-abandon, app session, campaign-open, survey-completed, etc.) directly into marketing automation.</w:t>
      </w:r>
    </w:p>
    <w:p w14:paraId="723387BF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4.5 Loyalty, Membership &amp; Wallet</w:t>
      </w:r>
    </w:p>
    <w:p w14:paraId="3DEBAF3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Loyalty rules support point accrual by product/spend tier (e.g., bronze/silver/gold thresholds with corresponding point values) and tier-based benefit unlocks (e.g., platinum-tier discounts on F&amp;B and ticketing).</w:t>
      </w:r>
    </w:p>
    <w:p w14:paraId="15AE6C96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Loyalty and wallet are both modelled as customer-linked entities, consistent with the family-wallet-sharing behaviour in 4.1.</w:t>
      </w:r>
    </w:p>
    <w:p w14:paraId="5F887D86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</w:rPr>
        <w:t xml:space="preserve">Action: </w:t>
      </w:r>
      <w:r>
        <w:t>hold a dedicated follow-up session to define the full loyalty programme configuration (tiers, point rules, redemption, expiry) — today's material was high-level only.</w:t>
      </w:r>
    </w:p>
    <w:p w14:paraId="12445F04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4.6 Marketing Automation — Campaigns, Offers &amp; Visual Journey Builder</w:t>
      </w:r>
    </w:p>
    <w:p w14:paraId="63FDCE0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Campaign tracking covers click-through, conversion and revenue attribution per campaign, with configurable success criteria (e.g., 80% conversion target).</w:t>
      </w:r>
    </w:p>
    <w:p w14:paraId="1AD6D25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The Visual Journey Builder triggers automated, rule-based touchpoints (e.g., abandoned-cart recovery) based on configurable wait periods (same-day, one week, one month), audience segment, and optional incentive (e.g., coupon code).</w:t>
      </w:r>
    </w:p>
    <w:p w14:paraId="3E512D7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Chinmay raised implementation questions on how journey “offer” blocks would be parameterised in the builder UI; Allam clarified offers/discounts are pre-configured in a separate Offers module (coupon code, dynamic discount, or auto-discount URL) and only referenced — not freely defined — within the journey builder.</w:t>
      </w:r>
    </w:p>
    <w:p w14:paraId="4B4A662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Decision: </w:t>
      </w:r>
      <w:r>
        <w:t>offer blocks in the Visual Journey Builder will pull only from pre-configured, system-validated offers (product/ticket-type scoped); ad-hoc discount values cannot be entered directly in the builder.</w:t>
      </w:r>
    </w:p>
    <w:p w14:paraId="003EC9C8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Cart-abandonment triggers support minimum cart-value and product-type filters (e.g., trigger only for membership-ticket abandonment, not general admission). Additional journeys reviewed: birthday rewards, anniversary reminders, cross-sell/upsell, and reservation/survey requests — all gated by customer consent.</w:t>
      </w:r>
    </w:p>
    <w:p w14:paraId="03CFB3AF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4.7 Role-Based Access Control (RBAC)</w:t>
      </w:r>
    </w:p>
    <w:p w14:paraId="522CF2A1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Chinmay proposed a three-tier permission model per module: edit &amp; view, view-only, and hidden (no access) — e.g., a marketing officer should not see the Finance module at all, while a “CRM Officer” vs. “CRM Admin” distinction determines visibility of configuration screens within an accessible module.</w:t>
      </w:r>
    </w:p>
    <w:p w14:paraId="2164D93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lastRenderedPageBreak/>
        <w:t xml:space="preserve">Decision: </w:t>
      </w:r>
      <w:r>
        <w:t>RBAC will be configured per role, per module, with three access levels (edit/view, view-only, hidden), and further sub-permissions within a module (e.g., a CRM role could access Campaigns and Communications but not Journeys). Default role templates will be provided, customisable by admins.</w:t>
      </w:r>
    </w:p>
    <w:p w14:paraId="34EE4563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4.8 AI Chat Box, Routing/Queue &amp; Case Management</w:t>
      </w:r>
    </w:p>
    <w:p w14:paraId="33E8AD19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The AI chat box responds to guided/predefined queries (booking status, rescheduling) and logs guest-conversation history across channels (WhatsApp, web, Instagram, Facebook) with per-channel conversion attribution.</w:t>
      </w:r>
    </w:p>
    <w:p w14:paraId="00457286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Chinmay confirmed the routing/queue configuration (reservation, general, membership &amp; billing, technical support queues with priority and SLA policy) applies specifically to AI-agent conversation routing based on detected query intent.</w:t>
      </w:r>
    </w:p>
    <w:p w14:paraId="03473B60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Decision: </w:t>
      </w:r>
      <w:r>
        <w:t>conversation retention for chat/case history will be configurable (e.g., default of one month, extendable), consistent with the broader data-retention approach.</w:t>
      </w:r>
    </w:p>
    <w:p w14:paraId="5EBD8A4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Case management supports logging from both the customer-facing app/website and the call-centre/admin side, with category, priority, channel, and SLA-based escalation rules.</w:t>
      </w:r>
    </w:p>
    <w:p w14:paraId="286F6535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4.9 Surveys &amp; Gamification</w:t>
      </w:r>
    </w:p>
    <w:p w14:paraId="548A737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Surveys can be triggered at multiple points (post-purchase, post-visit, post-ticket-scan, membership renewal, case closure), fully configurable by business rule.</w:t>
      </w:r>
    </w:p>
    <w:p w14:paraId="5E7CE543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Gamification includes badges/status tiers (e.g., Explorer, Adventurer, Legend) driven by spend or engagement thresholds, feeding into the loyalty tier structure in 4.5.</w:t>
      </w:r>
    </w:p>
    <w:p w14:paraId="7874224A" w14:textId="77777777" w:rsidR="003223C8" w:rsidRDefault="00A13A07">
      <w:pPr>
        <w:spacing w:before="200" w:after="90"/>
      </w:pPr>
      <w:r>
        <w:rPr>
          <w:b/>
          <w:bCs/>
          <w:color w:val="2E5395"/>
          <w:sz w:val="27"/>
          <w:szCs w:val="27"/>
        </w:rPr>
        <w:t>4.10 CMS &amp; White-Label Website / Mobile App Configuration</w:t>
      </w:r>
    </w:p>
    <w:p w14:paraId="1A5460C1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The CMS supports multi-site/multi-venue management (branding, colour palette incl. custom hex codes, fonts, Google Analytics site IDs, production/staging environments) and a drag-and-drop page builder; page layout is standardised (header, footer, hero/card components) but adapts contextually to product type (seat map for seated products, standard flow for general admission).</w:t>
      </w:r>
    </w:p>
    <w:p w14:paraId="321086EF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Chinmay requested documentation of reusable page components per venue type (e.g., seat-map component for stadiums/amphitheatres, park-map component for attraction-style venues) so the same layout can be reused across venues with only imagery/data swapped.</w:t>
      </w:r>
    </w:p>
    <w:p w14:paraId="3F1548DB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</w:rPr>
        <w:t xml:space="preserve">Action: </w:t>
      </w:r>
      <w:r>
        <w:t>finalise the component-count logic for the experiences/dining section on the guest-app landing page (fixed 2–3-card layout vs. a scalable N-count layout) and confirm with Allam's team.</w:t>
      </w:r>
    </w:p>
    <w:p w14:paraId="2E98BEB8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Allam distinguished the main venue website (fully managed by the venue/client) from the white-labelled B2C purchase flow that TICVAI powers once a guest clicks “Book Now” — the white-label flow retains the venue's header/footer branding but product-selection, cart and checkout screens are TICVAI-managed; header/footer links to non-checkout pages redirect back to the main venue site.</w:t>
      </w:r>
    </w:p>
    <w:p w14:paraId="34D9656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 xml:space="preserve">Two reference sites were walked through end-to-end to illustrate target checkout simplicity: a Six Flags–style attraction site (product selection → quantity/name capture → cart summary → login/guest checkout with dual OTP validation) and Platinum List (event → date → interactive seat map with colour-coded pricing → seat selection → one-page checkout via Quick </w:t>
      </w:r>
      <w:r>
        <w:lastRenderedPageBreak/>
        <w:t>Order/Apple/Google, completing in as few as four clicks, with an optional post-purchase profile-completion prompt).</w:t>
      </w:r>
    </w:p>
    <w:p w14:paraId="1314AC24" w14:textId="38650D06" w:rsidR="003223C8" w:rsidRDefault="00A13A07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</w:rPr>
        <w:t xml:space="preserve">Decision: </w:t>
      </w:r>
      <w:r>
        <w:t xml:space="preserve">the TICVAI B2C checkout journey should target a minimal, low-friction flow (in the range of 3–4 steps) modelled on the </w:t>
      </w:r>
      <w:proofErr w:type="spellStart"/>
      <w:r>
        <w:t>Platinum</w:t>
      </w:r>
      <w:r>
        <w:t>List</w:t>
      </w:r>
      <w:proofErr w:type="spellEnd"/>
      <w:r>
        <w:t xml:space="preserve"> example, deferring full profile capture to an optional post-purchase step rather than gating checkout on it.</w:t>
      </w:r>
    </w:p>
    <w:p w14:paraId="1B1C94A2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5. Key Decisions &amp; Agreements</w:t>
      </w:r>
    </w:p>
    <w:p w14:paraId="327EBD21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At least one of e-mail or mobile number is mandatory at profile creation; both cannot be optional simultaneously.</w:t>
      </w:r>
    </w:p>
    <w:p w14:paraId="432A7042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Profile merges require customer confirmation; algorithmic matches are notified to the customer, with an admin review queue in parallel.</w:t>
      </w:r>
    </w:p>
    <w:p w14:paraId="4E216293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Data and conversation retention periods will be configurable per tenant/venue, with system defaults.</w:t>
      </w:r>
    </w:p>
    <w:p w14:paraId="71CF8FFE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Visual Journey Builder offer blocks reference pre-configured, system-validated offers only — no freeform discount entry.</w:t>
      </w:r>
    </w:p>
    <w:p w14:paraId="42D4075F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RBAC follows a three-tier model (edit/view, view-only, hidden) configured per role and per module, with default role templates.</w:t>
      </w:r>
    </w:p>
    <w:p w14:paraId="5B2BAA57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The B2C checkout journey targets a minimal 3–4 step flow, modelled on the Platinum List reference, with profile completion deferred to post-purchase.</w:t>
      </w:r>
    </w:p>
    <w:p w14:paraId="3532BBD9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6. Open Items / Questions for Follow-Up</w:t>
      </w:r>
    </w:p>
    <w:p w14:paraId="765D516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Full loyalty programme configuration (tiers, points, redemption, expiry) — pending dedicated workshop.</w:t>
      </w:r>
    </w:p>
    <w:p w14:paraId="75094AB0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Data migration formats and validation rules for customer/segment import — pending dedicated workshop.</w:t>
      </w:r>
    </w:p>
    <w:p w14:paraId="00833375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RBAC / role-permission matrix documentation, including default role templates — pending from Chinmay.</w:t>
      </w:r>
    </w:p>
    <w:p w14:paraId="4459CA2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Reusable CMS page-component documentation per venue type (seat map, park map, etc.) — pending from Allam.</w:t>
      </w:r>
    </w:p>
    <w:p w14:paraId="43ADDC71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Experiences/dining component-count logic (fixed vs. scalable) for the guest-app landing page — pending confirmation.</w:t>
      </w:r>
    </w:p>
    <w:p w14:paraId="7FEEB3E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F&amp;B, Retail, Procurement &amp; Inventory workshop — not covered in this session; remains outstanding.</w:t>
      </w:r>
    </w:p>
    <w:p w14:paraId="0379022F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7. Action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7"/>
        <w:gridCol w:w="2090"/>
        <w:gridCol w:w="1463"/>
        <w:gridCol w:w="2090"/>
      </w:tblGrid>
      <w:tr w:rsidR="003223C8" w14:paraId="0E25E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58763" w14:textId="77777777" w:rsidR="003223C8" w:rsidRDefault="00A13A07">
            <w:r>
              <w:rPr>
                <w:b/>
                <w:bCs/>
                <w:color w:val="FFFFFF"/>
              </w:rPr>
              <w:t>Action Item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7B149" w14:textId="77777777" w:rsidR="003223C8" w:rsidRDefault="00A13A07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932EF" w14:textId="77777777" w:rsidR="003223C8" w:rsidRDefault="00A13A07">
            <w:r>
              <w:rPr>
                <w:b/>
                <w:bCs/>
                <w:color w:val="FFFFFF"/>
              </w:rPr>
              <w:t>Due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3C694" w14:textId="77777777" w:rsidR="003223C8" w:rsidRDefault="00A13A07">
            <w:r>
              <w:rPr>
                <w:b/>
                <w:bCs/>
                <w:color w:val="FFFFFF"/>
              </w:rPr>
              <w:t>Status</w:t>
            </w:r>
          </w:p>
        </w:tc>
      </w:tr>
      <w:tr w:rsidR="003223C8" w14:paraId="4F51CF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844E7" w14:textId="77777777" w:rsidR="003223C8" w:rsidRDefault="00A13A07">
            <w:r>
              <w:t xml:space="preserve">Share the CRM/marketing reference document (with slide-by-slide </w:t>
            </w:r>
            <w:r>
              <w:lastRenderedPageBreak/>
              <w:t>descriptions) and the sales &amp; marketing sheet by e-mail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4CCE" w14:textId="77777777" w:rsidR="003223C8" w:rsidRDefault="00A13A07">
            <w:r>
              <w:lastRenderedPageBreak/>
              <w:t>Allam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72A1E" w14:textId="77777777" w:rsidR="003223C8" w:rsidRDefault="00A13A07">
            <w:r>
              <w:t>EOD 20-Aug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78BFA" w14:textId="77777777" w:rsidR="003223C8" w:rsidRDefault="00A13A07">
            <w:r>
              <w:t>Open</w:t>
            </w:r>
          </w:p>
        </w:tc>
      </w:tr>
      <w:tr w:rsidR="003223C8" w14:paraId="7F43D6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17D0" w14:textId="77777777" w:rsidR="003223C8" w:rsidRDefault="00A13A07">
            <w:r>
              <w:t>Review the shared CRM/marketing reference document and flag areas for simplification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43159" w14:textId="77777777" w:rsidR="003223C8" w:rsidRDefault="00A13A07">
            <w:r>
              <w:t>Chinmay/Softlabs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F24E" w14:textId="77777777" w:rsidR="003223C8" w:rsidRDefault="00A13A07">
            <w:r>
              <w:t>Next session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D8568" w14:textId="77777777" w:rsidR="003223C8" w:rsidRDefault="00A13A07">
            <w:r>
              <w:t>Open</w:t>
            </w:r>
          </w:p>
        </w:tc>
      </w:tr>
      <w:tr w:rsidR="003223C8" w14:paraId="7A59E4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0200E" w14:textId="77777777" w:rsidR="003223C8" w:rsidRDefault="00A13A07">
            <w:r>
              <w:t>Schedule a dedicated workshop to define the full loyalty programme configuration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B731" w14:textId="77777777" w:rsidR="003223C8" w:rsidRDefault="00A13A07">
            <w:r>
              <w:t>Allam/Chinmay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A12D" w14:textId="77777777" w:rsidR="003223C8" w:rsidRDefault="00A13A07">
            <w:r>
              <w:t>TBC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1509" w14:textId="77777777" w:rsidR="003223C8" w:rsidRDefault="00A13A07">
            <w:r>
              <w:t>Open</w:t>
            </w:r>
          </w:p>
        </w:tc>
      </w:tr>
      <w:tr w:rsidR="003223C8" w14:paraId="4352A9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CBC7" w14:textId="77777777" w:rsidR="003223C8" w:rsidRDefault="00A13A07">
            <w:r>
              <w:t>Schedule a dedicated data-migration workshop covering customer/segment import formats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8534" w14:textId="77777777" w:rsidR="003223C8" w:rsidRDefault="00A13A07">
            <w:r>
              <w:t>Allam/Chinmay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1C04" w14:textId="77777777" w:rsidR="003223C8" w:rsidRDefault="00A13A07">
            <w:r>
              <w:t>TBC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B6AB" w14:textId="77777777" w:rsidR="003223C8" w:rsidRDefault="00A13A07">
            <w:r>
              <w:t>Open</w:t>
            </w:r>
          </w:p>
        </w:tc>
      </w:tr>
      <w:tr w:rsidR="003223C8" w14:paraId="0D7EB6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00BA5" w14:textId="77777777" w:rsidR="003223C8" w:rsidRDefault="00A13A07">
            <w:r>
              <w:t>Document the RBAC / role-permission matrix (edit / view-only / hidden) per module, including default role templates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BAF55" w14:textId="77777777" w:rsidR="003223C8" w:rsidRDefault="00A13A07">
            <w:r>
              <w:t>Chinmay Parab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030D" w14:textId="77777777" w:rsidR="003223C8" w:rsidRDefault="00A13A07">
            <w:r>
              <w:t>TBC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C0C3F" w14:textId="77777777" w:rsidR="003223C8" w:rsidRDefault="00A13A07">
            <w:r>
              <w:t>In Progress</w:t>
            </w:r>
          </w:p>
        </w:tc>
      </w:tr>
      <w:tr w:rsidR="003223C8" w14:paraId="07623D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BE362" w14:textId="77777777" w:rsidR="003223C8" w:rsidRDefault="00A13A07">
            <w:r>
              <w:t>Provide documentation of reusable CMS page components per venue type (seat map, park map, etc.)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EFF2C" w14:textId="77777777" w:rsidR="003223C8" w:rsidRDefault="00A13A07">
            <w:r>
              <w:t>Allam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FE2EB" w14:textId="77777777" w:rsidR="003223C8" w:rsidRDefault="00A13A07">
            <w:r>
              <w:t>TBC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4A75" w14:textId="77777777" w:rsidR="003223C8" w:rsidRDefault="00A13A07">
            <w:r>
              <w:t>Open</w:t>
            </w:r>
          </w:p>
        </w:tc>
      </w:tr>
      <w:tr w:rsidR="003223C8" w14:paraId="0E951D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AA0E4" w14:textId="77777777" w:rsidR="003223C8" w:rsidRDefault="00A13A07">
            <w:r>
              <w:t>Finalise the experiences/dining component-count logic for the guest-app landing page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B317A" w14:textId="77777777" w:rsidR="003223C8" w:rsidRDefault="00A13A07">
            <w:r>
              <w:t>Aishwarya More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0FAE" w14:textId="77777777" w:rsidR="003223C8" w:rsidRDefault="00A13A07">
            <w:r>
              <w:t>TBC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45170" w14:textId="77777777" w:rsidR="003223C8" w:rsidRDefault="00A13A07">
            <w:r>
              <w:t>Open</w:t>
            </w:r>
          </w:p>
        </w:tc>
      </w:tr>
      <w:tr w:rsidR="003223C8" w14:paraId="549D9B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DE768" w14:textId="282D0E95" w:rsidR="003223C8" w:rsidRDefault="00A13A07">
            <w:r>
              <w:t xml:space="preserve">Incorporate </w:t>
            </w:r>
            <w:proofErr w:type="spellStart"/>
            <w:r>
              <w:t>Platinum</w:t>
            </w:r>
            <w:r>
              <w:t>List</w:t>
            </w:r>
            <w:proofErr w:type="spellEnd"/>
            <w:r>
              <w:t xml:space="preserve"> / </w:t>
            </w:r>
            <w:proofErr w:type="spellStart"/>
            <w:r w:rsidR="001C131A">
              <w:t>Qiddiya</w:t>
            </w:r>
            <w:proofErr w:type="spellEnd"/>
            <w:r>
              <w:t xml:space="preserve"> reference-site checkout patterns into the guest-app design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32C51" w14:textId="77777777" w:rsidR="003223C8" w:rsidRDefault="00A13A07">
            <w:r>
              <w:t>Aishwarya More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E75C" w14:textId="77777777" w:rsidR="003223C8" w:rsidRDefault="00A13A07">
            <w:r>
              <w:t>In progress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37649" w14:textId="77777777" w:rsidR="003223C8" w:rsidRDefault="00A13A07">
            <w:r>
              <w:t>In Progress</w:t>
            </w:r>
          </w:p>
        </w:tc>
      </w:tr>
      <w:tr w:rsidR="003223C8" w14:paraId="58612B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F5978" w14:textId="77777777" w:rsidR="003223C8" w:rsidRDefault="00A13A07">
            <w:r>
              <w:t>Schedule and hold the outstanding F&amp;B, Retail, Procurement &amp; Inventory workshop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81A07" w14:textId="77777777" w:rsidR="003223C8" w:rsidRDefault="00A13A07">
            <w:r>
              <w:t>Chinmay/Allam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B3253" w14:textId="77777777" w:rsidR="003223C8" w:rsidRDefault="00A13A07">
            <w:r>
              <w:t>TBC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63AFA" w14:textId="77777777" w:rsidR="003223C8" w:rsidRDefault="00A13A07">
            <w:r>
              <w:t>Open</w:t>
            </w:r>
          </w:p>
        </w:tc>
      </w:tr>
    </w:tbl>
    <w:p w14:paraId="22C97582" w14:textId="77777777" w:rsidR="003223C8" w:rsidRDefault="00A13A07">
      <w:pPr>
        <w:spacing w:before="280" w:after="120"/>
      </w:pPr>
      <w:r>
        <w:rPr>
          <w:b/>
          <w:bCs/>
          <w:color w:val="1F3864"/>
          <w:sz w:val="28"/>
          <w:szCs w:val="28"/>
        </w:rPr>
        <w:t>8. Next Steps</w:t>
      </w:r>
    </w:p>
    <w:p w14:paraId="25ADCF8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Seat management walkthrough session — 21-August-2026, 10:00–11:00 AM Dubai time (slides already prepared by Allam's team).</w:t>
      </w:r>
    </w:p>
    <w:p w14:paraId="1800071A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Continue daily 1–</w:t>
      </w:r>
      <w:proofErr w:type="gramStart"/>
      <w:r>
        <w:t>2 hour</w:t>
      </w:r>
      <w:proofErr w:type="gramEnd"/>
      <w:r>
        <w:t xml:space="preserve"> sessions to cover remaining topics, consistent with the broader workshop cadence.</w:t>
      </w:r>
    </w:p>
    <w:p w14:paraId="541D30BC" w14:textId="77777777" w:rsidR="003223C8" w:rsidRDefault="00A13A07">
      <w:pPr>
        <w:pStyle w:val="ListParagraph"/>
        <w:numPr>
          <w:ilvl w:val="0"/>
          <w:numId w:val="2"/>
        </w:numPr>
        <w:spacing w:after="90"/>
      </w:pPr>
      <w:r>
        <w:t>Follow up on loyalty configuration, data migration, and RBAC documentation as separate dedicated sessions.</w:t>
      </w:r>
    </w:p>
    <w:p w14:paraId="7EE3704A" w14:textId="77777777" w:rsidR="003223C8" w:rsidRDefault="00A13A07">
      <w:pPr>
        <w:spacing w:before="300" w:after="60"/>
        <w:jc w:val="center"/>
      </w:pPr>
      <w:r>
        <w:rPr>
          <w:i/>
          <w:iCs/>
          <w:color w:val="444444"/>
        </w:rPr>
        <w:t>--- End of Minutes ---</w:t>
      </w:r>
    </w:p>
    <w:p w14:paraId="7657B879" w14:textId="6832D8FA" w:rsidR="003223C8" w:rsidRDefault="003223C8">
      <w:pPr>
        <w:jc w:val="center"/>
      </w:pPr>
    </w:p>
    <w:sectPr w:rsidR="003223C8">
      <w:headerReference w:type="default" r:id="rId10"/>
      <w:footerReference w:type="default" r:id="rId11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10A2" w14:textId="77777777" w:rsidR="00A13A07" w:rsidRDefault="00A13A07">
      <w:r>
        <w:separator/>
      </w:r>
    </w:p>
  </w:endnote>
  <w:endnote w:type="continuationSeparator" w:id="0">
    <w:p w14:paraId="6A65D4F7" w14:textId="77777777" w:rsidR="00A13A07" w:rsidRDefault="00A13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E47D" w14:textId="26270CB5" w:rsidR="003223C8" w:rsidRPr="001C131A" w:rsidRDefault="00A13A07" w:rsidP="001C131A">
    <w:pPr>
      <w:pBdr>
        <w:top w:val="single" w:sz="6" w:space="4" w:color="1F3864"/>
      </w:pBdr>
      <w:tabs>
        <w:tab w:val="right" w:pos="9350"/>
      </w:tabs>
      <w:jc w:val="center"/>
      <w:rPr>
        <w:sz w:val="18"/>
        <w:szCs w:val="18"/>
      </w:rPr>
    </w:pPr>
    <w:r w:rsidRPr="001C131A">
      <w:rPr>
        <w:color w:val="444444"/>
        <w:sz w:val="18"/>
        <w:szCs w:val="18"/>
      </w:rPr>
      <w:t xml:space="preserve">Page </w:t>
    </w:r>
    <w:r w:rsidRPr="001C131A">
      <w:rPr>
        <w:color w:val="444444"/>
        <w:sz w:val="18"/>
        <w:szCs w:val="18"/>
      </w:rPr>
      <w:fldChar w:fldCharType="begin"/>
    </w:r>
    <w:r w:rsidRPr="001C131A">
      <w:rPr>
        <w:color w:val="444444"/>
        <w:sz w:val="18"/>
        <w:szCs w:val="18"/>
      </w:rPr>
      <w:instrText>PAGE</w:instrText>
    </w:r>
    <w:r w:rsidRPr="001C131A">
      <w:rPr>
        <w:color w:val="444444"/>
        <w:sz w:val="18"/>
        <w:szCs w:val="18"/>
      </w:rPr>
      <w:fldChar w:fldCharType="separate"/>
    </w:r>
    <w:r w:rsidR="001C131A" w:rsidRPr="001C131A">
      <w:rPr>
        <w:noProof/>
        <w:color w:val="444444"/>
        <w:sz w:val="18"/>
        <w:szCs w:val="18"/>
      </w:rPr>
      <w:t>1</w:t>
    </w:r>
    <w:r w:rsidRPr="001C131A">
      <w:rPr>
        <w:color w:val="444444"/>
        <w:sz w:val="18"/>
        <w:szCs w:val="18"/>
      </w:rPr>
      <w:fldChar w:fldCharType="end"/>
    </w:r>
    <w:r w:rsidRPr="001C131A">
      <w:rPr>
        <w:color w:val="444444"/>
        <w:sz w:val="18"/>
        <w:szCs w:val="18"/>
      </w:rPr>
      <w:t xml:space="preserve"> of </w:t>
    </w:r>
    <w:r w:rsidRPr="001C131A">
      <w:rPr>
        <w:color w:val="444444"/>
        <w:sz w:val="18"/>
        <w:szCs w:val="18"/>
      </w:rPr>
      <w:fldChar w:fldCharType="begin"/>
    </w:r>
    <w:r w:rsidRPr="001C131A">
      <w:rPr>
        <w:color w:val="444444"/>
        <w:sz w:val="18"/>
        <w:szCs w:val="18"/>
      </w:rPr>
      <w:instrText>NUMPAGES</w:instrText>
    </w:r>
    <w:r w:rsidRPr="001C131A">
      <w:rPr>
        <w:color w:val="444444"/>
        <w:sz w:val="18"/>
        <w:szCs w:val="18"/>
      </w:rPr>
      <w:fldChar w:fldCharType="separate"/>
    </w:r>
    <w:r w:rsidR="001C131A" w:rsidRPr="001C131A">
      <w:rPr>
        <w:noProof/>
        <w:color w:val="444444"/>
        <w:sz w:val="18"/>
        <w:szCs w:val="18"/>
      </w:rPr>
      <w:t>2</w:t>
    </w:r>
    <w:r w:rsidRPr="001C131A"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21B0C" w14:textId="77777777" w:rsidR="00A13A07" w:rsidRDefault="00A13A07">
      <w:r>
        <w:separator/>
      </w:r>
    </w:p>
  </w:footnote>
  <w:footnote w:type="continuationSeparator" w:id="0">
    <w:p w14:paraId="186C1543" w14:textId="77777777" w:rsidR="00A13A07" w:rsidRDefault="00A13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DEE75" w14:textId="05897F2D" w:rsidR="003223C8" w:rsidRDefault="001C131A">
    <w:pPr>
      <w:pBdr>
        <w:bottom w:val="single" w:sz="6" w:space="4" w:color="1F3864"/>
      </w:pBdr>
      <w:jc w:val="right"/>
    </w:pPr>
    <w:r>
      <w:rPr>
        <w:noProof/>
      </w:rPr>
      <w:drawing>
        <wp:inline distT="0" distB="0" distL="0" distR="0" wp14:anchorId="780BAFDB" wp14:editId="73665745">
          <wp:extent cx="1285714" cy="238095"/>
          <wp:effectExtent l="0" t="0" r="0" b="0"/>
          <wp:docPr id="2052824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8243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5714" cy="238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  <w:r>
      <w:rPr>
        <w:noProof/>
      </w:rPr>
      <w:drawing>
        <wp:inline distT="0" distB="0" distL="0" distR="0" wp14:anchorId="06E090DB" wp14:editId="7021DB2D">
          <wp:extent cx="942857" cy="180952"/>
          <wp:effectExtent l="0" t="0" r="0" b="0"/>
          <wp:docPr id="19901160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011605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42857" cy="1809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24581"/>
    <w:multiLevelType w:val="hybridMultilevel"/>
    <w:tmpl w:val="58AC46D2"/>
    <w:lvl w:ilvl="0" w:tplc="671C01B6">
      <w:start w:val="1"/>
      <w:numFmt w:val="bullet"/>
      <w:lvlText w:val="•"/>
      <w:lvlJc w:val="left"/>
      <w:pPr>
        <w:ind w:left="504" w:hanging="288"/>
      </w:pPr>
    </w:lvl>
    <w:lvl w:ilvl="1" w:tplc="EE3CFC46">
      <w:numFmt w:val="decimal"/>
      <w:lvlText w:val=""/>
      <w:lvlJc w:val="left"/>
    </w:lvl>
    <w:lvl w:ilvl="2" w:tplc="C2826A04">
      <w:numFmt w:val="decimal"/>
      <w:lvlText w:val=""/>
      <w:lvlJc w:val="left"/>
    </w:lvl>
    <w:lvl w:ilvl="3" w:tplc="A91E6738">
      <w:numFmt w:val="decimal"/>
      <w:lvlText w:val=""/>
      <w:lvlJc w:val="left"/>
    </w:lvl>
    <w:lvl w:ilvl="4" w:tplc="68CE3464">
      <w:numFmt w:val="decimal"/>
      <w:lvlText w:val=""/>
      <w:lvlJc w:val="left"/>
    </w:lvl>
    <w:lvl w:ilvl="5" w:tplc="418C2272">
      <w:numFmt w:val="decimal"/>
      <w:lvlText w:val=""/>
      <w:lvlJc w:val="left"/>
    </w:lvl>
    <w:lvl w:ilvl="6" w:tplc="E45AE970">
      <w:numFmt w:val="decimal"/>
      <w:lvlText w:val=""/>
      <w:lvlJc w:val="left"/>
    </w:lvl>
    <w:lvl w:ilvl="7" w:tplc="30D4A674">
      <w:numFmt w:val="decimal"/>
      <w:lvlText w:val=""/>
      <w:lvlJc w:val="left"/>
    </w:lvl>
    <w:lvl w:ilvl="8" w:tplc="3D4E337C">
      <w:numFmt w:val="decimal"/>
      <w:lvlText w:val=""/>
      <w:lvlJc w:val="left"/>
    </w:lvl>
  </w:abstractNum>
  <w:abstractNum w:abstractNumId="1" w15:restartNumberingAfterBreak="0">
    <w:nsid w:val="746641B4"/>
    <w:multiLevelType w:val="hybridMultilevel"/>
    <w:tmpl w:val="88DAB4BA"/>
    <w:lvl w:ilvl="0" w:tplc="CC7E7DC2">
      <w:start w:val="1"/>
      <w:numFmt w:val="bullet"/>
      <w:lvlText w:val="●"/>
      <w:lvlJc w:val="left"/>
      <w:pPr>
        <w:ind w:left="720" w:hanging="360"/>
      </w:pPr>
    </w:lvl>
    <w:lvl w:ilvl="1" w:tplc="0BAC4642">
      <w:start w:val="1"/>
      <w:numFmt w:val="bullet"/>
      <w:lvlText w:val="○"/>
      <w:lvlJc w:val="left"/>
      <w:pPr>
        <w:ind w:left="1440" w:hanging="360"/>
      </w:pPr>
    </w:lvl>
    <w:lvl w:ilvl="2" w:tplc="D52CB0C0">
      <w:start w:val="1"/>
      <w:numFmt w:val="bullet"/>
      <w:lvlText w:val="■"/>
      <w:lvlJc w:val="left"/>
      <w:pPr>
        <w:ind w:left="2160" w:hanging="360"/>
      </w:pPr>
    </w:lvl>
    <w:lvl w:ilvl="3" w:tplc="649C4512">
      <w:start w:val="1"/>
      <w:numFmt w:val="bullet"/>
      <w:lvlText w:val="●"/>
      <w:lvlJc w:val="left"/>
      <w:pPr>
        <w:ind w:left="2880" w:hanging="360"/>
      </w:pPr>
    </w:lvl>
    <w:lvl w:ilvl="4" w:tplc="295AD9D2">
      <w:start w:val="1"/>
      <w:numFmt w:val="bullet"/>
      <w:lvlText w:val="○"/>
      <w:lvlJc w:val="left"/>
      <w:pPr>
        <w:ind w:left="3600" w:hanging="360"/>
      </w:pPr>
    </w:lvl>
    <w:lvl w:ilvl="5" w:tplc="CE1E0B24">
      <w:start w:val="1"/>
      <w:numFmt w:val="bullet"/>
      <w:lvlText w:val="■"/>
      <w:lvlJc w:val="left"/>
      <w:pPr>
        <w:ind w:left="4320" w:hanging="360"/>
      </w:pPr>
    </w:lvl>
    <w:lvl w:ilvl="6" w:tplc="DA42A400">
      <w:start w:val="1"/>
      <w:numFmt w:val="bullet"/>
      <w:lvlText w:val="●"/>
      <w:lvlJc w:val="left"/>
      <w:pPr>
        <w:ind w:left="5040" w:hanging="360"/>
      </w:pPr>
    </w:lvl>
    <w:lvl w:ilvl="7" w:tplc="353A432C">
      <w:start w:val="1"/>
      <w:numFmt w:val="bullet"/>
      <w:lvlText w:val="●"/>
      <w:lvlJc w:val="left"/>
      <w:pPr>
        <w:ind w:left="5760" w:hanging="360"/>
      </w:pPr>
    </w:lvl>
    <w:lvl w:ilvl="8" w:tplc="7DE42602">
      <w:start w:val="1"/>
      <w:numFmt w:val="bullet"/>
      <w:lvlText w:val="●"/>
      <w:lvlJc w:val="left"/>
      <w:pPr>
        <w:ind w:left="6480" w:hanging="360"/>
      </w:pPr>
    </w:lvl>
  </w:abstractNum>
  <w:num w:numId="1" w16cid:durableId="872576437">
    <w:abstractNumId w:val="1"/>
    <w:lvlOverride w:ilvl="0">
      <w:startOverride w:val="1"/>
    </w:lvlOverride>
  </w:num>
  <w:num w:numId="2" w16cid:durableId="199248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3C8"/>
    <w:rsid w:val="001C131A"/>
    <w:rsid w:val="003223C8"/>
    <w:rsid w:val="0049445F"/>
    <w:rsid w:val="00663BD6"/>
    <w:rsid w:val="00A1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F4905"/>
  <w15:docId w15:val="{5485F7A6-F07F-46BD-A3D6-15DC0B56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13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31A"/>
  </w:style>
  <w:style w:type="paragraph" w:styleId="Footer">
    <w:name w:val="footer"/>
    <w:basedOn w:val="Normal"/>
    <w:link w:val="FooterChar"/>
    <w:uiPriority w:val="99"/>
    <w:unhideWhenUsed/>
    <w:rsid w:val="001C13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C94B2A060D845B54521126503AE5E" ma:contentTypeVersion="11" ma:contentTypeDescription="Create a new document." ma:contentTypeScope="" ma:versionID="8acf91a3a61a75783f8398fbefe85e98">
  <xsd:schema xmlns:xsd="http://www.w3.org/2001/XMLSchema" xmlns:xs="http://www.w3.org/2001/XMLSchema" xmlns:p="http://schemas.microsoft.com/office/2006/metadata/properties" xmlns:ns3="cd5eb7d7-0d54-40d6-ab37-95105846df12" targetNamespace="http://schemas.microsoft.com/office/2006/metadata/properties" ma:root="true" ma:fieldsID="8c45a29d5bb467ee61feee4309144a94" ns3:_="">
    <xsd:import namespace="cd5eb7d7-0d54-40d6-ab37-95105846df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eb7d7-0d54-40d6-ab37-95105846df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5eb7d7-0d54-40d6-ab37-95105846df12" xsi:nil="true"/>
  </documentManagement>
</p:properties>
</file>

<file path=customXml/itemProps1.xml><?xml version="1.0" encoding="utf-8"?>
<ds:datastoreItem xmlns:ds="http://schemas.openxmlformats.org/officeDocument/2006/customXml" ds:itemID="{4C10D442-A37A-4989-9E01-813C92CD7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eb7d7-0d54-40d6-ab37-95105846df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E5CDC0-C5DE-47C5-AE5B-98502F126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ABBEC0-A17D-4AA9-91AB-7810A228C404}">
  <ds:schemaRefs>
    <ds:schemaRef ds:uri="http://schemas.microsoft.com/office/2006/metadata/properties"/>
    <ds:schemaRef ds:uri="http://schemas.microsoft.com/office/infopath/2007/PartnerControls"/>
    <ds:schemaRef ds:uri="cd5eb7d7-0d54-40d6-ab37-95105846df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Chitrangi Mestry</cp:lastModifiedBy>
  <cp:revision>3</cp:revision>
  <dcterms:created xsi:type="dcterms:W3CDTF">2026-08-21T04:32:00Z</dcterms:created>
  <dcterms:modified xsi:type="dcterms:W3CDTF">2026-08-21T04:33:00Z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93812873-a081-40e9-8a81-de303563bfcd</vt:lpwstr>
  </property>
  <property fmtid="{D5CDD505-2E9C-101B-9397-08002B2CF9AE}" pid="3" name="ContentTypeId">
    <vt:lpwstr>0x010100A13C94B2A060D845B54521126503AE5E</vt:lpwstr>
  </property>
</Properties>
</file>