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1995" w:rsidR="00144813" w:rsidRDefault="00E81CFC" w14:paraId="0D6DEE58" w14:textId="77777777">
      <w:pPr>
        <w:spacing w:after="60"/>
        <w:jc w:val="center"/>
        <w:rPr>
          <w:color w:val="215E99" w:themeColor="text2" w:themeTint="BF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44"/>
          <w:szCs w:val="44"/>
        </w:rPr>
        <w:t>Minutes of Meeting</w:t>
      </w:r>
    </w:p>
    <w:p w:rsidR="00144813" w:rsidRDefault="00E81CFC" w14:paraId="4D5D5F23" w14:textId="77777777">
      <w:pPr>
        <w:pBdr>
          <w:bottom w:val="single" w:color="0D6EFD" w:sz="6" w:space="8"/>
        </w:pBdr>
        <w:spacing w:after="160"/>
        <w:jc w:val="center"/>
      </w:pPr>
      <w:r>
        <w:rPr>
          <w:rFonts w:ascii="Calibri" w:hAnsi="Calibri" w:eastAsia="Calibri" w:cs="Calibri"/>
          <w:i/>
          <w:iCs/>
          <w:color w:val="0B1324"/>
          <w:sz w:val="24"/>
          <w:szCs w:val="24"/>
        </w:rPr>
        <w:t>Workshop — Infrastructure Costing, Cloud Architecture &amp; Database Strategy Discussion; Ticketing Configuration Walkthrough</w:t>
      </w:r>
    </w:p>
    <w:tbl>
      <w:tblPr>
        <w:tblW w:w="9302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3109"/>
        <w:gridCol w:w="1691"/>
        <w:gridCol w:w="2811"/>
      </w:tblGrid>
      <w:tr w:rsidR="00144813" w:rsidTr="002B1995" w14:paraId="464F586F" w14:textId="77777777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691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1217B243" w14:textId="77777777">
            <w:r>
              <w:rPr>
                <w:rFonts w:ascii="Calibri" w:hAnsi="Calibri" w:eastAsia="Calibri" w:cs="Calibri"/>
                <w:b/>
                <w:bCs/>
                <w:color w:val="0B1324"/>
                <w:sz w:val="24"/>
                <w:szCs w:val="24"/>
              </w:rPr>
              <w:t>Date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321E6113" w14:textId="77777777">
            <w:r>
              <w:rPr>
                <w:rFonts w:ascii="Calibri" w:hAnsi="Calibri" w:eastAsia="Calibri" w:cs="Calibri"/>
                <w:sz w:val="24"/>
                <w:szCs w:val="24"/>
              </w:rPr>
              <w:t>24-August-2026</w:t>
            </w:r>
          </w:p>
        </w:tc>
        <w:tc>
          <w:tcPr>
            <w:tcW w:w="1691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527EDA3C" w14:textId="77777777">
            <w:r>
              <w:rPr>
                <w:rFonts w:ascii="Calibri" w:hAnsi="Calibri" w:eastAsia="Calibri" w:cs="Calibri"/>
                <w:b/>
                <w:bCs/>
                <w:color w:val="0B1324"/>
                <w:sz w:val="24"/>
                <w:szCs w:val="24"/>
              </w:rPr>
              <w:t>Project</w:t>
            </w:r>
          </w:p>
        </w:tc>
        <w:tc>
          <w:tcPr>
            <w:tcW w:w="2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678722CF" w14:textId="77777777">
            <w:r>
              <w:rPr>
                <w:rFonts w:ascii="Calibri" w:hAnsi="Calibri" w:eastAsia="Calibri" w:cs="Calibri"/>
                <w:sz w:val="24"/>
                <w:szCs w:val="24"/>
              </w:rPr>
              <w:t>TICVAI</w:t>
            </w:r>
          </w:p>
        </w:tc>
      </w:tr>
      <w:tr w:rsidR="00144813" w:rsidTr="002B1995" w14:paraId="70C29D35" w14:textId="77777777">
        <w:tblPrEx>
          <w:tblCellMar>
            <w:top w:w="0" w:type="dxa"/>
            <w:bottom w:w="0" w:type="dxa"/>
          </w:tblCellMar>
        </w:tblPrEx>
        <w:trPr>
          <w:trHeight w:val="1291"/>
        </w:trPr>
        <w:tc>
          <w:tcPr>
            <w:tcW w:w="1691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6D00701D" w14:textId="77777777">
            <w:r>
              <w:rPr>
                <w:rFonts w:ascii="Calibri" w:hAnsi="Calibri" w:eastAsia="Calibri" w:cs="Calibri"/>
                <w:b/>
                <w:bCs/>
                <w:color w:val="0B1324"/>
                <w:sz w:val="24"/>
                <w:szCs w:val="24"/>
              </w:rPr>
              <w:t>Meeting Type</w:t>
            </w:r>
          </w:p>
        </w:tc>
        <w:tc>
          <w:tcPr>
            <w:tcW w:w="3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44DA07EA" w14:textId="77777777">
            <w:r>
              <w:rPr>
                <w:rFonts w:ascii="Calibri" w:hAnsi="Calibri" w:eastAsia="Calibri" w:cs="Calibri"/>
                <w:sz w:val="24"/>
                <w:szCs w:val="24"/>
              </w:rPr>
              <w:t>Technical Workshop — Infrastructure Costing, Cloud Architecture &amp; Database Strategy; Ticketing Configuration Walkthrough</w:t>
            </w:r>
          </w:p>
        </w:tc>
        <w:tc>
          <w:tcPr>
            <w:tcW w:w="1691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7B6E6DC0" w14:textId="77777777">
            <w:r>
              <w:rPr>
                <w:rFonts w:ascii="Calibri" w:hAnsi="Calibri" w:eastAsia="Calibri" w:cs="Calibri"/>
                <w:b/>
                <w:bCs/>
                <w:color w:val="0B1324"/>
                <w:sz w:val="24"/>
                <w:szCs w:val="24"/>
              </w:rPr>
              <w:t>Prepared by</w:t>
            </w:r>
          </w:p>
        </w:tc>
        <w:tc>
          <w:tcPr>
            <w:tcW w:w="2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56756578" w14:textId="77777777">
            <w:r>
              <w:rPr>
                <w:rFonts w:ascii="Calibri" w:hAnsi="Calibri" w:eastAsia="Calibri" w:cs="Calibri"/>
                <w:sz w:val="24"/>
                <w:szCs w:val="24"/>
              </w:rPr>
              <w:t>Chitrangi Mestry</w:t>
            </w:r>
          </w:p>
        </w:tc>
      </w:tr>
    </w:tbl>
    <w:p w:rsidR="00144813" w:rsidRDefault="00144813" w14:paraId="7515FAAE" w14:textId="77777777">
      <w:pPr>
        <w:spacing w:after="160"/>
      </w:pPr>
    </w:p>
    <w:p w:rsidRPr="002B1995" w:rsidR="00144813" w:rsidRDefault="00E81CFC" w14:paraId="673ECBF0" w14:textId="77777777">
      <w:pPr>
        <w:spacing w:before="180" w:after="100"/>
        <w:rPr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Primary Objective</w:t>
      </w:r>
    </w:p>
    <w:p w:rsidR="00144813" w:rsidRDefault="00E81CFC" w14:paraId="6F229139" w14:textId="77777777">
      <w:pPr>
        <w:spacing w:after="120"/>
      </w:pPr>
      <w:r>
        <w:rPr>
          <w:rFonts w:ascii="Calibri" w:hAnsi="Calibri" w:eastAsia="Calibri" w:cs="Calibri"/>
          <w:color w:val="000000"/>
          <w:sz w:val="24"/>
          <w:szCs w:val="24"/>
        </w:rPr>
        <w:t>To resolve the client's open questions on cloud infrastructure sizing, costing and scaling strategy, and to align on the database architecture approach (centralized vs. tenant-owned, and per-module segregation) ahead of Softlabs finalizing the platform's technical architecture; and, following that discussion, to walk the client through the proposed ticket type configuration (open-dated, group/family, membership, event, gift voucher and money card tickets) and the event/ticketing setup flow for review.</w:t>
      </w:r>
    </w:p>
    <w:p w:rsidRPr="002B1995" w:rsidR="00144813" w:rsidRDefault="00E81CFC" w14:paraId="1C2A2C26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Participants</w:t>
      </w:r>
    </w:p>
    <w:p w:rsidR="00144813" w:rsidRDefault="00E81CFC" w14:paraId="18EC6BC6" w14:textId="420B07EE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 xml:space="preserve">TICVAI Team </w:t>
      </w:r>
    </w:p>
    <w:p w:rsidR="00144813" w:rsidRDefault="00E81CFC" w14:paraId="40EF46B9" w14:textId="42615DC1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 xml:space="preserve">Softlabs Team </w:t>
      </w:r>
    </w:p>
    <w:p w:rsidRPr="002B1995" w:rsidR="00144813" w:rsidRDefault="00E81CFC" w14:paraId="3678FF19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Agenda</w:t>
      </w:r>
    </w:p>
    <w:p w:rsidR="00144813" w:rsidRDefault="00E81CFC" w14:paraId="5ADF3E64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Client Q&amp;A on cloud infrastructure sizing, costing models and scaling strategy (AWS/Azure)</w:t>
      </w:r>
    </w:p>
    <w:p w:rsidR="00144813" w:rsidRDefault="00E81CFC" w14:paraId="41697A24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Discussion on database architecture — centralized/shared platform vs. independent tenant-owned deployments</w:t>
      </w:r>
    </w:p>
    <w:p w:rsidR="00144813" w:rsidRDefault="00E81CFC" w14:paraId="067F7B9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High availability, disaster recovery and environment strategy (dev/QA/pre-prod/prod)</w:t>
      </w:r>
    </w:p>
    <w:p w:rsidR="00144813" w:rsidRDefault="00E81CFC" w14:paraId="63B41DE6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Security, penetration testing and multi-tenancy isolation considerations</w:t>
      </w:r>
    </w:p>
    <w:p w:rsidR="00144813" w:rsidRDefault="00E81CFC" w14:paraId="0FEBF18D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Walkthrough of ticket type configuration (open-dated, group/family, membership, event, gift voucher, money card)</w:t>
      </w:r>
    </w:p>
    <w:p w:rsidR="00144813" w:rsidRDefault="00E81CFC" w14:paraId="699E5E66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Walkthrough of event setup, seating, resource management and ticket variants</w:t>
      </w:r>
    </w:p>
    <w:p w:rsidR="00144813" w:rsidRDefault="00E81CFC" w14:paraId="7B986763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Planning for remaining workshop sessions</w:t>
      </w:r>
    </w:p>
    <w:p w:rsidR="002B1995" w:rsidRDefault="002B1995" w14:paraId="0D1732B1" w14:textId="77777777">
      <w:pPr>
        <w:spacing w:before="180" w:after="100"/>
        <w:rPr>
          <w:rFonts w:ascii="Calibri" w:hAnsi="Calibri" w:eastAsia="Calibri" w:cs="Calibri"/>
          <w:b/>
          <w:bCs/>
          <w:color w:val="0D6EFD"/>
          <w:sz w:val="32"/>
          <w:szCs w:val="32"/>
        </w:rPr>
      </w:pPr>
    </w:p>
    <w:p w:rsidR="002B1995" w:rsidRDefault="002B1995" w14:paraId="7DFB323D" w14:textId="77777777">
      <w:pPr>
        <w:spacing w:before="180" w:after="100"/>
        <w:rPr>
          <w:rFonts w:ascii="Calibri" w:hAnsi="Calibri" w:eastAsia="Calibri" w:cs="Calibri"/>
          <w:b/>
          <w:bCs/>
          <w:color w:val="0D6EFD"/>
          <w:sz w:val="32"/>
          <w:szCs w:val="32"/>
        </w:rPr>
      </w:pPr>
    </w:p>
    <w:p w:rsidR="002B1995" w:rsidRDefault="002B1995" w14:paraId="697F4210" w14:textId="77777777">
      <w:pPr>
        <w:spacing w:before="180" w:after="100"/>
        <w:rPr>
          <w:rFonts w:ascii="Calibri" w:hAnsi="Calibri" w:eastAsia="Calibri" w:cs="Calibri"/>
          <w:b/>
          <w:bCs/>
          <w:color w:val="0D6EFD"/>
          <w:sz w:val="32"/>
          <w:szCs w:val="32"/>
        </w:rPr>
      </w:pPr>
    </w:p>
    <w:p w:rsidRPr="002B1995" w:rsidR="002B1995" w:rsidRDefault="00E81CFC" w14:paraId="34C34EC4" w14:textId="5216469D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lastRenderedPageBreak/>
        <w:t>4. Detailed Discussion</w:t>
      </w:r>
    </w:p>
    <w:p w:rsidRPr="002B1995" w:rsidR="00144813" w:rsidP="002B1995" w:rsidRDefault="00E81CFC" w14:paraId="7C04333F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4.1 Infrastructure Costing &amp; Cloud Architecture Approach</w:t>
      </w:r>
    </w:p>
    <w:p w:rsidR="00144813" w:rsidRDefault="00E81CFC" w14:paraId="482EF278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Qossai and Allam requested clarity on infrastructure costing, since the team is finalizing decisions on architecture and components, and asked for a transparent cost model at different scale levels, covering both AWS and Azure.</w:t>
      </w:r>
    </w:p>
    <w:p w:rsidR="00144813" w:rsidRDefault="00E81CFC" w14:paraId="4C18C5BA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Dinesh explained the architecture is being planned on a microservices basis, with each service (ticketing, order, F&amp;B, etc.) potentially isolated at the database level, and outlined the cost/scale trade-off between a fully centralized database versus per-service databases.</w:t>
      </w:r>
    </w:p>
    <w:p w:rsidR="00144813" w:rsidRDefault="00E81CFC" w14:paraId="6D664C2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Requested: </w:t>
      </w:r>
      <w:r>
        <w:rPr>
          <w:rFonts w:ascii="Calibri" w:hAnsi="Calibri" w:eastAsia="Calibri" w:cs="Calibri"/>
          <w:sz w:val="24"/>
          <w:szCs w:val="24"/>
        </w:rPr>
        <w:t xml:space="preserve">the client asked Softlabs to document three illustrative deployment scenarios — (a) independent tenant deployment, (b) centralized/shared platform for small-to-medium tenants, and (c) dedicated infrastructure for large/mega events and flash sales — each with an architecture diagram, auto-scaling </w:t>
      </w:r>
      <w:proofErr w:type="spellStart"/>
      <w:r>
        <w:rPr>
          <w:rFonts w:ascii="Calibri" w:hAnsi="Calibri" w:eastAsia="Calibri" w:cs="Calibri"/>
          <w:sz w:val="24"/>
          <w:szCs w:val="24"/>
        </w:rPr>
        <w:t>behavior</w:t>
      </w:r>
      <w:proofErr w:type="spellEnd"/>
      <w:r>
        <w:rPr>
          <w:rFonts w:ascii="Calibri" w:hAnsi="Calibri" w:eastAsia="Calibri" w:cs="Calibri"/>
          <w:sz w:val="24"/>
          <w:szCs w:val="24"/>
        </w:rPr>
        <w:t xml:space="preserve"> and failure-handling response.</w:t>
      </w:r>
    </w:p>
    <w:p w:rsidRPr="002B1995" w:rsidR="00144813" w:rsidP="002B1995" w:rsidRDefault="00E81CFC" w14:paraId="08838CD8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4.2 Database Architecture — Centralized vs. Tenant-Owned</w:t>
      </w:r>
    </w:p>
    <w:p w:rsidR="00144813" w:rsidRDefault="00E81CFC" w14:paraId="39BF01E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Two hosting models were distinguished: (1) a TICVAI-hosted/managed database for small-to-medium tenants and short-duration event clients, and (2) tenant/client-owned infrastructure for large enterprise clients — Qossai estimated ~90% of large clients will host their own database/infrastructure, for whom Softlabs will only need to provide minimum specification requirements.</w:t>
      </w:r>
    </w:p>
    <w:p w:rsidR="00144813" w:rsidRDefault="00E81CFC" w14:paraId="6FB7CC2F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Near-term expectation: roughly 100–200 tenants on the centralized platform, alongside independently-deployed large-tenant environments and short-duration, high-concurrency dedicated event environments (e.g., a single high-demand ticket sale reaching tens of thousands of concurrent users within a few hours).</w:t>
      </w:r>
    </w:p>
    <w:p w:rsidR="00144813" w:rsidRDefault="00E81CFC" w14:paraId="792110CB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Chinmay raised whether database segregation per microservice should be done from day one or retrofitted later.</w:t>
      </w:r>
    </w:p>
    <w:p w:rsidR="00144813" w:rsidRDefault="00E81CFC" w14:paraId="048E4757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Decision: </w:t>
      </w:r>
      <w:r>
        <w:rPr>
          <w:rFonts w:ascii="Calibri" w:hAnsi="Calibri" w:eastAsia="Calibri" w:cs="Calibri"/>
          <w:sz w:val="24"/>
          <w:szCs w:val="24"/>
        </w:rPr>
        <w:t>Dinesh recommended segregating databases from the start, since splitting a centralized database after 2–3 years in production is significantly more difficult than starting isolated and reconciling/merging later if needed.</w:t>
      </w:r>
    </w:p>
    <w:p w:rsidR="00144813" w:rsidRDefault="00E81CFC" w14:paraId="6153975D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Confirmed: </w:t>
      </w:r>
      <w:r>
        <w:rPr>
          <w:rFonts w:ascii="Calibri" w:hAnsi="Calibri" w:eastAsia="Calibri" w:cs="Calibri"/>
          <w:sz w:val="24"/>
          <w:szCs w:val="24"/>
        </w:rPr>
        <w:t>multiple databases can run on a single database server instance (e.g., separate DB instances within one SQL Server/Postgres/AWS RDS instance) — this does not require separate physical servers.</w:t>
      </w:r>
    </w:p>
    <w:p w:rsidR="00144813" w:rsidRDefault="00E81CFC" w14:paraId="5EE2C4EB" w14:textId="77777777">
      <w:pPr>
        <w:pStyle w:val="ListParagraph"/>
        <w:numPr>
          <w:ilvl w:val="0"/>
          <w:numId w:val="2"/>
        </w:numPr>
        <w:spacing w:after="70"/>
        <w:rPr/>
      </w:pPr>
      <w:r w:rsidRPr="5738BCD9" w:rsidR="2CEC6C5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Confirmed: </w:t>
      </w:r>
      <w:r w:rsidRPr="5738BCD9" w:rsidR="2CEC6C5B">
        <w:rPr>
          <w:rFonts w:ascii="Calibri" w:hAnsi="Calibri" w:eastAsia="Calibri" w:cs="Calibri"/>
          <w:sz w:val="24"/>
          <w:szCs w:val="24"/>
        </w:rPr>
        <w:t>analytical/reporting queries will run against a separate replica database rather than the main transactional database, to avoid impacting live transaction performance.</w:t>
      </w:r>
    </w:p>
    <w:p w:rsidR="5738BCD9" w:rsidP="5738BCD9" w:rsidRDefault="5738BCD9" w14:paraId="7B6854BD" w14:textId="5613C8FF">
      <w:pPr>
        <w:spacing w:before="180" w:after="100"/>
        <w:rPr>
          <w:rFonts w:ascii="Calibri" w:hAnsi="Calibri" w:eastAsia="Calibri" w:cs="Calibri"/>
          <w:b w:val="1"/>
          <w:bCs w:val="1"/>
          <w:color w:val="215E99" w:themeColor="text2" w:themeTint="BF" w:themeShade="FF"/>
          <w:sz w:val="32"/>
          <w:szCs w:val="32"/>
        </w:rPr>
      </w:pPr>
    </w:p>
    <w:p w:rsidRPr="002B1995" w:rsidR="00144813" w:rsidP="002B1995" w:rsidRDefault="00E81CFC" w14:paraId="3CA9480F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4.3 Scaling, High Availability &amp; Multi-Tenancy Isolation</w:t>
      </w:r>
    </w:p>
    <w:p w:rsidR="00144813" w:rsidRDefault="00E81CFC" w14:paraId="453E356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Decision: </w:t>
      </w:r>
      <w:r>
        <w:rPr>
          <w:rFonts w:ascii="Calibri" w:hAnsi="Calibri" w:eastAsia="Calibri" w:cs="Calibri"/>
          <w:sz w:val="24"/>
          <w:szCs w:val="24"/>
        </w:rPr>
        <w:t>high availability does not require multi-region setup — same-region/same-zone HA is sufficient. Multi-region is reserved for disaster recovery (DR), which will be offered as an optional, client-dependent add-on rather than a default.</w:t>
      </w:r>
    </w:p>
    <w:p w:rsidR="00144813" w:rsidRDefault="00E81CFC" w14:paraId="7E927A1D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Decision: </w:t>
      </w:r>
      <w:r>
        <w:rPr>
          <w:rFonts w:ascii="Calibri" w:hAnsi="Calibri" w:eastAsia="Calibri" w:cs="Calibri"/>
          <w:sz w:val="24"/>
          <w:szCs w:val="24"/>
        </w:rPr>
        <w:t>HA will be applied selectively to revenue-critical, customer-facing components (ticketing, POS, B2C front end) rather than uniformly across all modules — e.g., the finance module does not require HA.</w:t>
      </w:r>
    </w:p>
    <w:p w:rsidR="00144813" w:rsidRDefault="00E81CFC" w14:paraId="5463AD5C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lastRenderedPageBreak/>
        <w:t xml:space="preserve">Key requirement (Allam): </w:t>
      </w:r>
      <w:r>
        <w:rPr>
          <w:rFonts w:ascii="Calibri" w:hAnsi="Calibri" w:eastAsia="Calibri" w:cs="Calibri"/>
          <w:sz w:val="24"/>
          <w:szCs w:val="24"/>
        </w:rPr>
        <w:t>on the centralized/shared platform, one tenant's traffic spike (e.g., an unexpected event surge) must not degrade or crash the platform for other tenants sharing the same infrastructure.</w:t>
      </w:r>
    </w:p>
    <w:p w:rsidR="00144813" w:rsidRDefault="00E81CFC" w14:paraId="0EFE81F5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Infrastructure is expected to start minimal (sized for the first ~5 clients) and auto-scale progressively as tenant count grows — not pre-provisioned for a large future scale from day one. Continuous monitoring with scale-up triggers (e.g., around 70% utilization) was agreed as the operating approach, with a possible “reserve instance” strategy floated by Dinesh for isolating a spiking tenant temporarily.</w:t>
      </w:r>
    </w:p>
    <w:p w:rsidR="00144813" w:rsidRDefault="00E81CFC" w14:paraId="54CC5E2F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Qossai noted that once the platform matures, the client (TICVAI) will bring on a dedicated infrastructure engineer to manage servers and scaling on an ongoing basis, working alongside Softlabs.</w:t>
      </w:r>
    </w:p>
    <w:p w:rsidRPr="002B1995" w:rsidR="00144813" w:rsidP="002B1995" w:rsidRDefault="00E81CFC" w14:paraId="3F46042C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4.4 Security &amp; Environment Strategy</w:t>
      </w:r>
    </w:p>
    <w:p w:rsidR="00144813" w:rsidRDefault="00E81CFC" w14:paraId="7C1AD05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Standard security best practices and a web application firewall will be implemented on the infrastructure from Softlabs' side.</w:t>
      </w:r>
    </w:p>
    <w:p w:rsidR="00144813" w:rsidRDefault="00E81CFC" w14:paraId="2BB6A67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Action: </w:t>
      </w:r>
      <w:r>
        <w:rPr>
          <w:rFonts w:ascii="Calibri" w:hAnsi="Calibri" w:eastAsia="Calibri" w:cs="Calibri"/>
          <w:sz w:val="24"/>
          <w:szCs w:val="24"/>
        </w:rPr>
        <w:t>a third-party security audit / penetration test covering the ticketing/client application, B2C and B2B applications, and mobile apps is required before go-live, with any identified severities to be resolved.</w:t>
      </w:r>
    </w:p>
    <w:p w:rsidR="00144813" w:rsidRDefault="00E81CFC" w14:paraId="191C100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Decision: </w:t>
      </w:r>
      <w:r>
        <w:rPr>
          <w:rFonts w:ascii="Calibri" w:hAnsi="Calibri" w:eastAsia="Calibri" w:cs="Calibri"/>
          <w:sz w:val="24"/>
          <w:szCs w:val="24"/>
        </w:rPr>
        <w:t>for the centralized platform, 4 environments (dev, QA, pre-prod, prod) will be maintained during the current active development phase, reducing to 3 (dev, pre-prod, prod) post-</w:t>
      </w:r>
      <w:proofErr w:type="gramStart"/>
      <w:r>
        <w:rPr>
          <w:rFonts w:ascii="Calibri" w:hAnsi="Calibri" w:eastAsia="Calibri" w:cs="Calibri"/>
          <w:sz w:val="24"/>
          <w:szCs w:val="24"/>
        </w:rPr>
        <w:t>rollout</w:t>
      </w:r>
      <w:proofErr w:type="gramEnd"/>
      <w:r>
        <w:rPr>
          <w:rFonts w:ascii="Calibri" w:hAnsi="Calibri" w:eastAsia="Calibri" w:cs="Calibri"/>
          <w:sz w:val="24"/>
          <w:szCs w:val="24"/>
        </w:rPr>
        <w:t>; QA and dev may run as separate instances within a shared environment rather than fully separate environments. Client-owned infrastructure will continue to follow Softlabs' standard 2-environment model (pre-prod, prod).</w:t>
      </w:r>
    </w:p>
    <w:p w:rsidRPr="002B1995" w:rsidR="00144813" w:rsidP="002B1995" w:rsidRDefault="00E81CFC" w14:paraId="649E8665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4.5 Ticketing Configuration Walkthrough (presented by Allam)</w:t>
      </w:r>
    </w:p>
    <w:p w:rsidR="00144813" w:rsidRDefault="00E81CFC" w14:paraId="3096CBF3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Walked through the end-to-end ticket configuration flow: basic information → ticket type configuration → validation → publish.</w:t>
      </w:r>
    </w:p>
    <w:p w:rsidR="00144813" w:rsidRDefault="00E81CFC" w14:paraId="241AFB67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Reviewed the ticket types supported: Open-Dated ticket (no fixed visit date; used for general admission and B2B/travel-agent QR-code resale, e.g., bulk-issued tickets sold onward by travel agents), Group &amp; Family ticket (configurable group size, with single-scan or multi-scan QR-code options), Membership/Subscription ticket (captures full guest details per member; supports renewal, upgrade and cancellation), Event ticket (requires date/time selection; supports resource management and capacity/reservation-ba</w:t>
      </w:r>
      <w:r>
        <w:rPr>
          <w:rFonts w:ascii="Calibri" w:hAnsi="Calibri" w:eastAsia="Calibri" w:cs="Calibri"/>
          <w:sz w:val="24"/>
          <w:szCs w:val="24"/>
        </w:rPr>
        <w:t>sed admission), Gift Voucher, and Money Card (e-wallet, to be discussed in a separate session).</w:t>
      </w:r>
    </w:p>
    <w:p w:rsidR="00144813" w:rsidRDefault="00E81CFC" w14:paraId="3A2B54E4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Guest information capture (name, mobile number, nationality, visit survey, etc.) is configurable per ticket type — even an open-dated admission ticket can optionally be set up to collect this data.</w:t>
      </w:r>
    </w:p>
    <w:p w:rsidR="00144813" w:rsidRDefault="00E81CFC" w14:paraId="2B648AB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Packages: multiple components (e.g., admission + F&amp;B item + retail item, or admission + show) can be bundled with package-level pricing; a package is not required to include F&amp;B or retail — any combination of ticket-type components can be bundled.</w:t>
      </w:r>
    </w:p>
    <w:p w:rsidR="00144813" w:rsidRDefault="00E81CFC" w14:paraId="4B29764D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 xml:space="preserve">Reviewed event ticket setup in detail: event validity window; performances (recurring date/time slots); admission models (general admission, capacity control, reserved seating, resource control, or no admission control); seat map, section and quota-per-sales-channel </w:t>
      </w:r>
      <w:r>
        <w:rPr>
          <w:rFonts w:ascii="Calibri" w:hAnsi="Calibri" w:eastAsia="Calibri" w:cs="Calibri"/>
          <w:sz w:val="24"/>
          <w:szCs w:val="24"/>
        </w:rPr>
        <w:lastRenderedPageBreak/>
        <w:t>configuration (shared pool or split inventory); and resource management (e.g., allocating vehicle and driver resources for an activity such as a desert safari, checked against availability before a ticket can be sold).</w:t>
      </w:r>
    </w:p>
    <w:p w:rsidR="00144813" w:rsidRDefault="00E81CFC" w14:paraId="10AC453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Reviewed supporting configuration areas: ticket variants (adult/child/senior/VIP, fully configurable), waitlist management, pre-sales/sales rules (on-sale/off-sale timing and cut-offs), entitlement and access rules (single/multi-venue, number of entries, zones, early-entry windows), fulfilment channels (email, WhatsApp, SMS), after-sales rules (upgrade, reschedule, cancellation windows), and dynamic/fixed pricing and promotions.</w:t>
      </w:r>
    </w:p>
    <w:p w:rsidRPr="002B1995" w:rsidR="00144813" w:rsidP="002B1995" w:rsidRDefault="00E81CFC" w14:paraId="3BE6F46A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4.6 Workshop Planning</w:t>
      </w:r>
    </w:p>
    <w:p w:rsidR="00144813" w:rsidRDefault="00E81CFC" w14:paraId="263B6645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Remaining product modules (continuation of ticket type/event configuration detail, resource management, wallets) will be covered in daily ~30–</w:t>
      </w:r>
      <w:proofErr w:type="gramStart"/>
      <w:r>
        <w:rPr>
          <w:rFonts w:ascii="Calibri" w:hAnsi="Calibri" w:eastAsia="Calibri" w:cs="Calibri"/>
          <w:sz w:val="24"/>
          <w:szCs w:val="24"/>
        </w:rPr>
        <w:t>60 minute</w:t>
      </w:r>
      <w:proofErr w:type="gramEnd"/>
      <w:r>
        <w:rPr>
          <w:rFonts w:ascii="Calibri" w:hAnsi="Calibri" w:eastAsia="Calibri" w:cs="Calibri"/>
          <w:sz w:val="24"/>
          <w:szCs w:val="24"/>
        </w:rPr>
        <w:t xml:space="preserve"> sessions going forward.</w:t>
      </w:r>
    </w:p>
    <w:p w:rsidR="00144813" w:rsidRDefault="00E81CFC" w14:paraId="4FCF1DC9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Qossai is finalizing the access control / facial recognition vendor selection this week, evaluating HID and Suprema (South Korea); vendor details will be shared once confirmed, expected this week or next.</w:t>
      </w:r>
    </w:p>
    <w:p w:rsidRPr="002B1995" w:rsidR="00144813" w:rsidRDefault="00E81CFC" w14:paraId="57B6951D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5. Key Decisions &amp; Agreements</w:t>
      </w:r>
    </w:p>
    <w:p w:rsidR="00144813" w:rsidRDefault="00E81CFC" w14:paraId="1283655C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High availability will be applied selectively to critical, revenue-generating components (ticketing, POS, B2C); disaster recovery will be an optional, client-dependent add-on.</w:t>
      </w:r>
    </w:p>
    <w:p w:rsidR="00144813" w:rsidRDefault="00E81CFC" w14:paraId="55D43C82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Database segregation per microservice/module will be implemented from the start rather than retrofitted later.</w:t>
      </w:r>
    </w:p>
    <w:p w:rsidR="00144813" w:rsidRDefault="00E81CFC" w14:paraId="4A222902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Reporting/analytics queries will run against a separate replica database, not the main transactional database.</w:t>
      </w:r>
    </w:p>
    <w:p w:rsidR="00144813" w:rsidRDefault="00E81CFC" w14:paraId="1B8C0D24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Infrastructure will start minimal and auto-scale progressively as tenant/client count grows, based on continuous monitoring and utilization-based scale-up triggers.</w:t>
      </w:r>
    </w:p>
    <w:p w:rsidR="00144813" w:rsidRDefault="00E81CFC" w14:paraId="66E0E8A1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4 environments (dev, QA, pre-prod, prod) will be maintained during the current active development phase, reducing to 3 post-</w:t>
      </w:r>
      <w:proofErr w:type="gramStart"/>
      <w:r>
        <w:rPr>
          <w:rFonts w:ascii="Calibri" w:hAnsi="Calibri" w:eastAsia="Calibri" w:cs="Calibri"/>
          <w:sz w:val="24"/>
          <w:szCs w:val="24"/>
        </w:rPr>
        <w:t>rollout</w:t>
      </w:r>
      <w:proofErr w:type="gramEnd"/>
      <w:r>
        <w:rPr>
          <w:rFonts w:ascii="Calibri" w:hAnsi="Calibri" w:eastAsia="Calibri" w:cs="Calibri"/>
          <w:sz w:val="24"/>
          <w:szCs w:val="24"/>
        </w:rPr>
        <w:t>.</w:t>
      </w:r>
    </w:p>
    <w:p w:rsidR="00144813" w:rsidRDefault="00E81CFC" w14:paraId="5D495E6D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A third-party security audit / penetration test (ticketing, B2C, B2B, mobile apps) is required before go-live.</w:t>
      </w:r>
    </w:p>
    <w:p w:rsidR="00144813" w:rsidRDefault="00E81CFC" w14:paraId="62B851B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Ticket configuration will support six core ticket types — Open-Dated, Group/Family, Membership/Subscription, Event, Gift Voucher, and Money Card — each with independently configurable guest-data capture.</w:t>
      </w:r>
    </w:p>
    <w:p w:rsidRPr="002B1995" w:rsidR="00144813" w:rsidRDefault="00E81CFC" w14:paraId="5422C1D3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6. Open Items / Questions for Follow-Up</w:t>
      </w:r>
    </w:p>
    <w:p w:rsidR="00144813" w:rsidRDefault="00E81CFC" w14:paraId="5472A347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Recommended infrastructure architecture proposal (AWS and Azure component options, three deployment scenarios, auto-scaling/failure-handling diagrams, and cost model at each scale) — pending from Dinesh/Softlabs.</w:t>
      </w:r>
    </w:p>
    <w:p w:rsidR="00144813" w:rsidRDefault="00E81CFC" w14:paraId="4CEEBCA6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Pros-and-cons comparison of centralized vs. per-module database architecture — pending from Softlabs' internal session.</w:t>
      </w:r>
    </w:p>
    <w:p w:rsidR="00144813" w:rsidRDefault="00E81CFC" w14:paraId="7DC80EAF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Rough cost-tier expectations for small/medium vs. large tenants — to be discussed once Softlabs shares its architecture/cost proposal.</w:t>
      </w:r>
    </w:p>
    <w:p w:rsidR="00144813" w:rsidRDefault="00E81CFC" w14:paraId="7EE83C5E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lastRenderedPageBreak/>
        <w:t>Access control / facial recognition vendor selection (HID vs. Suprema) — pending from Qossai, expected this week or next.</w:t>
      </w:r>
    </w:p>
    <w:p w:rsidR="00144813" w:rsidRDefault="00E81CFC" w14:paraId="2E60D876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Continuation of the ticketing configuration walkthrough (detailed event configuration session) — scheduled for the next session.</w:t>
      </w:r>
    </w:p>
    <w:p w:rsidRPr="002B1995" w:rsidR="00144813" w:rsidRDefault="00E81CFC" w14:paraId="545CF983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7. Action Items</w:t>
      </w:r>
    </w:p>
    <w:tbl>
      <w:tblPr>
        <w:tblW w:w="1034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5"/>
        <w:gridCol w:w="1701"/>
        <w:gridCol w:w="1560"/>
        <w:gridCol w:w="1417"/>
      </w:tblGrid>
      <w:tr w:rsidR="00144813" w:rsidTr="002B1995" w14:paraId="0DA77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5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0DDCFDD8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Action Item</w:t>
            </w:r>
          </w:p>
        </w:tc>
        <w:tc>
          <w:tcPr>
            <w:tcW w:w="1701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7203067B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Owner</w:t>
            </w:r>
          </w:p>
        </w:tc>
        <w:tc>
          <w:tcPr>
            <w:tcW w:w="1560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791C93AB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Due</w:t>
            </w:r>
          </w:p>
        </w:tc>
        <w:tc>
          <w:tcPr>
            <w:tcW w:w="1417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4813" w:rsidRDefault="00E81CFC" w14:paraId="5859F20B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144813" w:rsidTr="002B1995" w14:paraId="1057B049" w14:textId="77777777">
        <w:tblPrEx>
          <w:tblCellMar>
            <w:top w:w="0" w:type="dxa"/>
            <w:bottom w:w="0" w:type="dxa"/>
          </w:tblCellMar>
        </w:tblPrEx>
        <w:trPr>
          <w:trHeight w:val="2031"/>
        </w:trPr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6BBEFAF6" w14:textId="77777777">
            <w:r>
              <w:rPr>
                <w:rFonts w:ascii="Calibri" w:hAnsi="Calibri" w:eastAsia="Calibri" w:cs="Calibri"/>
                <w:sz w:val="24"/>
                <w:szCs w:val="24"/>
              </w:rPr>
              <w:t>Prepare a recommended infrastructure architecture proposal covering AWS and Azure component options, three deployment scenarios (independent/big-tenant deployment, centralized/shared platform, dedicated mega-event infrastructure), auto-scaling/failure-handling diagrams, and a transparent cost model at each scale level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8AEA887" w14:textId="77777777">
            <w:r>
              <w:rPr>
                <w:rFonts w:ascii="Calibri" w:hAnsi="Calibri" w:eastAsia="Calibri" w:cs="Calibri"/>
                <w:sz w:val="24"/>
                <w:szCs w:val="24"/>
              </w:rPr>
              <w:t>Dinesh / Softlabs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7F8411F0" w14:textId="77777777">
            <w:r>
              <w:rPr>
                <w:rFonts w:ascii="Calibri" w:hAnsi="Calibri" w:eastAsia="Calibri" w:cs="Calibri"/>
                <w:sz w:val="24"/>
                <w:szCs w:val="24"/>
              </w:rPr>
              <w:t>Next session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08B12EA9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Open</w:t>
            </w:r>
          </w:p>
        </w:tc>
      </w:tr>
      <w:tr w:rsidR="00144813" w:rsidTr="002B1995" w14:paraId="68BFAB2B" w14:textId="77777777">
        <w:tblPrEx>
          <w:tblCellMar>
            <w:top w:w="0" w:type="dxa"/>
            <w:bottom w:w="0" w:type="dxa"/>
          </w:tblCellMar>
        </w:tblPrEx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0F129E6A" w14:textId="77777777">
            <w:r>
              <w:rPr>
                <w:rFonts w:ascii="Calibri" w:hAnsi="Calibri" w:eastAsia="Calibri" w:cs="Calibri"/>
                <w:sz w:val="24"/>
                <w:szCs w:val="24"/>
              </w:rPr>
              <w:t>Hold internal Softlabs session to finalize the database/hosting plan across the three deployment scenarios, including the microservice-level database segregation approach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5853FD55" w14:textId="77777777">
            <w:r>
              <w:rPr>
                <w:rFonts w:ascii="Calibri" w:hAnsi="Calibri" w:eastAsia="Calibri" w:cs="Calibri"/>
                <w:sz w:val="24"/>
                <w:szCs w:val="24"/>
              </w:rPr>
              <w:t>Dinesh / Chinmay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292A81E4" w14:textId="77777777">
            <w:r>
              <w:rPr>
                <w:rFonts w:ascii="Calibri" w:hAnsi="Calibri" w:eastAsia="Calibri" w:cs="Calibri"/>
                <w:sz w:val="24"/>
                <w:szCs w:val="24"/>
              </w:rPr>
              <w:t>TBC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5EC5E3C3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Open</w:t>
            </w:r>
          </w:p>
        </w:tc>
      </w:tr>
      <w:tr w:rsidR="00144813" w:rsidTr="002B1995" w14:paraId="2C9D0645" w14:textId="77777777">
        <w:tblPrEx>
          <w:tblCellMar>
            <w:top w:w="0" w:type="dxa"/>
            <w:bottom w:w="0" w:type="dxa"/>
          </w:tblCellMar>
        </w:tblPrEx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C169014" w14:textId="77777777">
            <w:r>
              <w:rPr>
                <w:rFonts w:ascii="Calibri" w:hAnsi="Calibri" w:eastAsia="Calibri" w:cs="Calibri"/>
                <w:sz w:val="24"/>
                <w:szCs w:val="24"/>
              </w:rPr>
              <w:t>Prepare a pros-and-cons comparison of centralized vs. per-module (segregated) database architecture, covering performance, reporting and offline sync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28A2019F" w14:textId="77777777">
            <w:r>
              <w:rPr>
                <w:rFonts w:ascii="Calibri" w:hAnsi="Calibri" w:eastAsia="Calibri" w:cs="Calibri"/>
                <w:sz w:val="24"/>
                <w:szCs w:val="24"/>
              </w:rPr>
              <w:t>Softlabs Team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6A24E6A2" w14:textId="77777777">
            <w:r>
              <w:rPr>
                <w:rFonts w:ascii="Calibri" w:hAnsi="Calibri" w:eastAsia="Calibri" w:cs="Calibri"/>
                <w:sz w:val="24"/>
                <w:szCs w:val="24"/>
              </w:rPr>
              <w:t>Next session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24B0C5B2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Open</w:t>
            </w:r>
          </w:p>
        </w:tc>
      </w:tr>
      <w:tr w:rsidR="00144813" w:rsidTr="002B1995" w14:paraId="36DB56F3" w14:textId="77777777">
        <w:tblPrEx>
          <w:tblCellMar>
            <w:top w:w="0" w:type="dxa"/>
            <w:bottom w:w="0" w:type="dxa"/>
          </w:tblCellMar>
        </w:tblPrEx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F065F48" w14:textId="77777777">
            <w:r>
              <w:rPr>
                <w:rFonts w:ascii="Calibri" w:hAnsi="Calibri" w:eastAsia="Calibri" w:cs="Calibri"/>
                <w:sz w:val="24"/>
                <w:szCs w:val="24"/>
              </w:rPr>
              <w:t>Share selected access control / facial recognition vendor details (HID or Suprema) once finalized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52821B4E" w14:textId="77777777">
            <w:r>
              <w:rPr>
                <w:rFonts w:ascii="Calibri" w:hAnsi="Calibri" w:eastAsia="Calibri" w:cs="Calibri"/>
                <w:sz w:val="24"/>
                <w:szCs w:val="24"/>
              </w:rPr>
              <w:t>Qossai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645E6A7B" w14:textId="77777777">
            <w:r>
              <w:rPr>
                <w:rFonts w:ascii="Calibri" w:hAnsi="Calibri" w:eastAsia="Calibri" w:cs="Calibri"/>
                <w:sz w:val="24"/>
                <w:szCs w:val="24"/>
              </w:rPr>
              <w:t>This week / next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527E726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Open</w:t>
            </w:r>
          </w:p>
        </w:tc>
      </w:tr>
      <w:tr w:rsidR="00144813" w:rsidTr="002B1995" w14:paraId="39DA4A48" w14:textId="77777777">
        <w:tblPrEx>
          <w:tblCellMar>
            <w:top w:w="0" w:type="dxa"/>
            <w:bottom w:w="0" w:type="dxa"/>
          </w:tblCellMar>
        </w:tblPrEx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7A38052" w14:textId="77777777">
            <w:r>
              <w:rPr>
                <w:rFonts w:ascii="Calibri" w:hAnsi="Calibri" w:eastAsia="Calibri" w:cs="Calibri"/>
                <w:sz w:val="24"/>
                <w:szCs w:val="24"/>
              </w:rPr>
              <w:t>Continue the ticketing configuration walkthrough with a detailed session on event configuration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767E8DAC" w14:textId="77777777">
            <w:r>
              <w:rPr>
                <w:rFonts w:ascii="Calibri" w:hAnsi="Calibri" w:eastAsia="Calibri" w:cs="Calibri"/>
                <w:sz w:val="24"/>
                <w:szCs w:val="24"/>
              </w:rPr>
              <w:t>Allam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700DEF0D" w14:textId="77777777">
            <w:r>
              <w:rPr>
                <w:rFonts w:ascii="Calibri" w:hAnsi="Calibri" w:eastAsia="Calibri" w:cs="Calibri"/>
                <w:sz w:val="24"/>
                <w:szCs w:val="24"/>
              </w:rPr>
              <w:t>Next session (9:30)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6198B165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Open</w:t>
            </w:r>
          </w:p>
        </w:tc>
      </w:tr>
      <w:tr w:rsidR="00144813" w:rsidTr="002B1995" w14:paraId="10E084FA" w14:textId="77777777">
        <w:tblPrEx>
          <w:tblCellMar>
            <w:top w:w="0" w:type="dxa"/>
            <w:bottom w:w="0" w:type="dxa"/>
          </w:tblCellMar>
        </w:tblPrEx>
        <w:tc>
          <w:tcPr>
            <w:tcW w:w="5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066076CA" w14:textId="77777777">
            <w:r>
              <w:rPr>
                <w:rFonts w:ascii="Calibri" w:hAnsi="Calibri" w:eastAsia="Calibri" w:cs="Calibri"/>
                <w:sz w:val="24"/>
                <w:szCs w:val="24"/>
              </w:rPr>
              <w:t>Continue preparing and presenting remaining product modules (ticket types detail, resource management, wallets) in daily sessions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3DB9D390" w14:textId="77777777">
            <w:r>
              <w:rPr>
                <w:rFonts w:ascii="Calibri" w:hAnsi="Calibri" w:eastAsia="Calibri" w:cs="Calibri"/>
                <w:sz w:val="24"/>
                <w:szCs w:val="24"/>
              </w:rPr>
              <w:t>Allam / Qossai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1CF60D49" w14:textId="77777777">
            <w:r>
              <w:rPr>
                <w:rFonts w:ascii="Calibri" w:hAnsi="Calibri" w:eastAsia="Calibri" w:cs="Calibri"/>
                <w:sz w:val="24"/>
                <w:szCs w:val="24"/>
              </w:rPr>
              <w:t>Ongoing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4813" w:rsidRDefault="00E81CFC" w14:paraId="2668786C" w14:textId="77777777">
            <w:r>
              <w:rPr>
                <w:rFonts w:ascii="Calibri" w:hAnsi="Calibri" w:eastAsia="Calibri" w:cs="Calibri"/>
                <w:sz w:val="24"/>
                <w:szCs w:val="24"/>
              </w:rPr>
              <w:t>In Progress</w:t>
            </w:r>
          </w:p>
        </w:tc>
      </w:tr>
    </w:tbl>
    <w:p w:rsidR="00144813" w:rsidRDefault="00144813" w14:paraId="105A3813" w14:textId="77777777">
      <w:pPr>
        <w:spacing w:after="160"/>
      </w:pPr>
    </w:p>
    <w:p w:rsidR="002B1995" w:rsidRDefault="002B1995" w14:paraId="3B35B042" w14:textId="77777777">
      <w:pPr>
        <w:spacing w:after="160"/>
      </w:pPr>
    </w:p>
    <w:p w:rsidRPr="002B1995" w:rsidR="00144813" w:rsidRDefault="00E81CFC" w14:paraId="7025EECA" w14:textId="77777777">
      <w:pPr>
        <w:spacing w:before="180" w:after="100"/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</w:pPr>
      <w:r w:rsidRPr="002B1995">
        <w:rPr>
          <w:rFonts w:ascii="Calibri" w:hAnsi="Calibri" w:eastAsia="Calibri" w:cs="Calibri"/>
          <w:b/>
          <w:bCs/>
          <w:color w:val="215E99" w:themeColor="text2" w:themeTint="BF"/>
          <w:sz w:val="32"/>
          <w:szCs w:val="32"/>
        </w:rPr>
        <w:t>8. Next Steps</w:t>
      </w:r>
    </w:p>
    <w:p w:rsidR="00144813" w:rsidRDefault="00E81CFC" w14:paraId="7A46BCEE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Softlabs to hold an internal session on database/hosting architecture and return with a recommended proposal and cost model.</w:t>
      </w:r>
    </w:p>
    <w:p w:rsidR="00144813" w:rsidRDefault="00E81CFC" w14:paraId="06CAF8EA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Next workshop session scheduled for 9:30 (same time), continuing the ticketing configuration walkthrough with a detailed session on event configuration.</w:t>
      </w:r>
    </w:p>
    <w:p w:rsidR="00144813" w:rsidRDefault="00E81CFC" w14:paraId="33BBE5A0" w14:textId="77777777">
      <w:pPr>
        <w:pStyle w:val="ListParagraph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  <w:sz w:val="24"/>
          <w:szCs w:val="24"/>
        </w:rPr>
        <w:t>Daily ~30–</w:t>
      </w:r>
      <w:proofErr w:type="gramStart"/>
      <w:r>
        <w:rPr>
          <w:rFonts w:ascii="Calibri" w:hAnsi="Calibri" w:eastAsia="Calibri" w:cs="Calibri"/>
          <w:sz w:val="24"/>
          <w:szCs w:val="24"/>
        </w:rPr>
        <w:t>60 minute</w:t>
      </w:r>
      <w:proofErr w:type="gramEnd"/>
      <w:r>
        <w:rPr>
          <w:rFonts w:ascii="Calibri" w:hAnsi="Calibri" w:eastAsia="Calibri" w:cs="Calibri"/>
          <w:sz w:val="24"/>
          <w:szCs w:val="24"/>
        </w:rPr>
        <w:t xml:space="preserve"> sessions to continue covering remaining modules (ticket types detail, resource management, wallets) as quickly as possible.</w:t>
      </w:r>
    </w:p>
    <w:p w:rsidR="00144813" w:rsidRDefault="00E81CFC" w14:paraId="4A6502F1" w14:textId="77777777">
      <w:pPr>
        <w:spacing w:before="120"/>
        <w:jc w:val="center"/>
      </w:pPr>
      <w:r>
        <w:rPr>
          <w:rFonts w:ascii="Calibri" w:hAnsi="Calibri" w:eastAsia="Calibri" w:cs="Calibri"/>
          <w:i/>
          <w:iCs/>
          <w:color w:val="595959"/>
          <w:sz w:val="24"/>
          <w:szCs w:val="24"/>
        </w:rPr>
        <w:t>--- End of Minutes ---</w:t>
      </w:r>
    </w:p>
    <w:sectPr w:rsidR="00144813">
      <w:headerReference w:type="default" r:id="rId7"/>
      <w:footerReference w:type="default" r:id="rId8"/>
      <w:pgSz w:w="12240" w:h="15840" w:orient="portrait"/>
      <w:pgMar w:top="72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1CFC" w:rsidRDefault="00E81CFC" w14:paraId="5744AB41" w14:textId="77777777">
      <w:r>
        <w:separator/>
      </w:r>
    </w:p>
  </w:endnote>
  <w:endnote w:type="continuationSeparator" w:id="0">
    <w:p w:rsidR="00E81CFC" w:rsidRDefault="00E81CFC" w14:paraId="198D0A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4813" w:rsidRDefault="00E81CFC" w14:paraId="645D54A6" w14:textId="77777777">
    <w:pPr>
      <w:jc w:val="center"/>
    </w:pPr>
    <w:r>
      <w:rPr>
        <w:rFonts w:ascii="Calibri" w:hAnsi="Calibri" w:eastAsia="Calibri" w:cs="Calibri"/>
        <w:color w:val="595959"/>
        <w:sz w:val="24"/>
        <w:szCs w:val="24"/>
      </w:rPr>
      <w:t xml:space="preserve">Page </w:t>
    </w:r>
    <w:r>
      <w:rPr>
        <w:rFonts w:ascii="Calibri" w:hAnsi="Calibri" w:eastAsia="Calibri" w:cs="Calibri"/>
        <w:color w:val="595959"/>
        <w:sz w:val="24"/>
        <w:szCs w:val="24"/>
      </w:rPr>
      <w:fldChar w:fldCharType="begin"/>
    </w:r>
    <w:r>
      <w:rPr>
        <w:rFonts w:ascii="Calibri" w:hAnsi="Calibri" w:eastAsia="Calibri" w:cs="Calibri"/>
        <w:color w:val="595959"/>
        <w:sz w:val="24"/>
        <w:szCs w:val="24"/>
      </w:rPr>
      <w:instrText>PAGE</w:instrText>
    </w:r>
    <w:r>
      <w:rPr>
        <w:rFonts w:ascii="Calibri" w:hAnsi="Calibri" w:eastAsia="Calibri" w:cs="Calibri"/>
        <w:color w:val="595959"/>
        <w:sz w:val="24"/>
        <w:szCs w:val="24"/>
      </w:rPr>
      <w:fldChar w:fldCharType="separate"/>
    </w:r>
    <w:r w:rsidR="002B1995">
      <w:rPr>
        <w:rFonts w:ascii="Calibri" w:hAnsi="Calibri" w:eastAsia="Calibri" w:cs="Calibri"/>
        <w:noProof/>
        <w:color w:val="595959"/>
        <w:sz w:val="24"/>
        <w:szCs w:val="24"/>
      </w:rPr>
      <w:t>1</w:t>
    </w:r>
    <w:r>
      <w:rPr>
        <w:rFonts w:ascii="Calibri" w:hAnsi="Calibri" w:eastAsia="Calibri" w:cs="Calibri"/>
        <w:color w:val="595959"/>
        <w:sz w:val="24"/>
        <w:szCs w:val="24"/>
      </w:rPr>
      <w:fldChar w:fldCharType="end"/>
    </w:r>
    <w:r>
      <w:rPr>
        <w:rFonts w:ascii="Calibri" w:hAnsi="Calibri" w:eastAsia="Calibri" w:cs="Calibri"/>
        <w:color w:val="595959"/>
        <w:sz w:val="24"/>
        <w:szCs w:val="24"/>
      </w:rPr>
      <w:t xml:space="preserve"> of </w:t>
    </w:r>
    <w:r>
      <w:rPr>
        <w:rFonts w:ascii="Calibri" w:hAnsi="Calibri" w:eastAsia="Calibri" w:cs="Calibri"/>
        <w:color w:val="595959"/>
        <w:sz w:val="24"/>
        <w:szCs w:val="24"/>
      </w:rPr>
      <w:fldChar w:fldCharType="begin"/>
    </w:r>
    <w:r>
      <w:rPr>
        <w:rFonts w:ascii="Calibri" w:hAnsi="Calibri" w:eastAsia="Calibri" w:cs="Calibri"/>
        <w:color w:val="595959"/>
        <w:sz w:val="24"/>
        <w:szCs w:val="24"/>
      </w:rPr>
      <w:instrText>NUMPAGES</w:instrText>
    </w:r>
    <w:r>
      <w:rPr>
        <w:rFonts w:ascii="Calibri" w:hAnsi="Calibri" w:eastAsia="Calibri" w:cs="Calibri"/>
        <w:color w:val="595959"/>
        <w:sz w:val="24"/>
        <w:szCs w:val="24"/>
      </w:rPr>
      <w:fldChar w:fldCharType="separate"/>
    </w:r>
    <w:r w:rsidR="002B1995">
      <w:rPr>
        <w:rFonts w:ascii="Calibri" w:hAnsi="Calibri" w:eastAsia="Calibri" w:cs="Calibri"/>
        <w:noProof/>
        <w:color w:val="595959"/>
        <w:sz w:val="24"/>
        <w:szCs w:val="24"/>
      </w:rPr>
      <w:t>2</w:t>
    </w:r>
    <w:r>
      <w:rPr>
        <w:rFonts w:ascii="Calibri" w:hAnsi="Calibri" w:eastAsia="Calibri" w:cs="Calibri"/>
        <w:color w:val="595959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1CFC" w:rsidRDefault="00E81CFC" w14:paraId="32EFB837" w14:textId="77777777">
      <w:r>
        <w:separator/>
      </w:r>
    </w:p>
  </w:footnote>
  <w:footnote w:type="continuationSeparator" w:id="0">
    <w:p w:rsidR="00E81CFC" w:rsidRDefault="00E81CFC" w14:paraId="51AE7B3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935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75"/>
      <w:gridCol w:w="4675"/>
    </w:tblGrid>
    <w:tr w:rsidR="00144813" w14:paraId="039083B3" w14:textId="77777777">
      <w:tblPrEx>
        <w:tblCellMar>
          <w:top w:w="0" w:type="dxa"/>
          <w:bottom w:w="0" w:type="dxa"/>
        </w:tblCellMar>
      </w:tblPrEx>
      <w:tc>
        <w:tcPr>
          <w:tcW w:w="4675" w:type="dxa"/>
          <w:tcMar>
            <w:bottom w:w="80" w:type="dxa"/>
          </w:tcMar>
          <w:vAlign w:val="center"/>
        </w:tcPr>
        <w:p w:rsidR="00144813" w:rsidRDefault="00144813" w14:paraId="24896B24" w14:textId="3EF86C46"/>
      </w:tc>
      <w:tc>
        <w:tcPr>
          <w:tcW w:w="4675" w:type="dxa"/>
          <w:tcMar>
            <w:bottom w:w="80" w:type="dxa"/>
          </w:tcMar>
          <w:vAlign w:val="center"/>
        </w:tcPr>
        <w:p w:rsidR="00144813" w:rsidRDefault="00E81CFC" w14:paraId="46DFF754" w14:textId="77777777">
          <w:pPr>
            <w:spacing w:after="20"/>
            <w:jc w:val="right"/>
          </w:pPr>
          <w:r>
            <w:rPr>
              <w:noProof/>
            </w:rPr>
            <w:drawing>
              <wp:inline distT="0" distB="0" distL="0" distR="0" wp14:anchorId="62283BF3" wp14:editId="3C90D117">
                <wp:extent cx="1238250" cy="228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44813" w:rsidRDefault="00E81CFC" w14:paraId="192034A6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1AB223D8" wp14:editId="3F15C9B2">
                <wp:extent cx="933450" cy="190500"/>
                <wp:effectExtent l="0" t="0" r="0" b="0"/>
                <wp:docPr id="1469972826" name="Picture 14699728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F43"/>
    <w:multiLevelType w:val="hybridMultilevel"/>
    <w:tmpl w:val="8E28F9F8"/>
    <w:lvl w:ilvl="0" w:tplc="3EF8FD6A">
      <w:start w:val="1"/>
      <w:numFmt w:val="bullet"/>
      <w:lvlText w:val="•"/>
      <w:lvlJc w:val="left"/>
      <w:pPr>
        <w:ind w:left="360" w:hanging="260"/>
      </w:pPr>
    </w:lvl>
    <w:lvl w:ilvl="1" w:tplc="8EC6DA28">
      <w:start w:val="1"/>
      <w:numFmt w:val="bullet"/>
      <w:lvlText w:val="◦"/>
      <w:lvlJc w:val="left"/>
      <w:pPr>
        <w:ind w:left="720" w:hanging="260"/>
      </w:pPr>
    </w:lvl>
    <w:lvl w:ilvl="2" w:tplc="DB5C0082">
      <w:numFmt w:val="decimal"/>
      <w:lvlText w:val=""/>
      <w:lvlJc w:val="left"/>
    </w:lvl>
    <w:lvl w:ilvl="3" w:tplc="DDAE1FC0">
      <w:numFmt w:val="decimal"/>
      <w:lvlText w:val=""/>
      <w:lvlJc w:val="left"/>
    </w:lvl>
    <w:lvl w:ilvl="4" w:tplc="882A4762">
      <w:numFmt w:val="decimal"/>
      <w:lvlText w:val=""/>
      <w:lvlJc w:val="left"/>
    </w:lvl>
    <w:lvl w:ilvl="5" w:tplc="D7A46B90">
      <w:numFmt w:val="decimal"/>
      <w:lvlText w:val=""/>
      <w:lvlJc w:val="left"/>
    </w:lvl>
    <w:lvl w:ilvl="6" w:tplc="E07C8678">
      <w:numFmt w:val="decimal"/>
      <w:lvlText w:val=""/>
      <w:lvlJc w:val="left"/>
    </w:lvl>
    <w:lvl w:ilvl="7" w:tplc="2DC2BA5C">
      <w:numFmt w:val="decimal"/>
      <w:lvlText w:val=""/>
      <w:lvlJc w:val="left"/>
    </w:lvl>
    <w:lvl w:ilvl="8" w:tplc="FDB23ACC">
      <w:numFmt w:val="decimal"/>
      <w:lvlText w:val=""/>
      <w:lvlJc w:val="left"/>
    </w:lvl>
  </w:abstractNum>
  <w:abstractNum w:abstractNumId="1" w15:restartNumberingAfterBreak="0">
    <w:nsid w:val="6B2E1387"/>
    <w:multiLevelType w:val="hybridMultilevel"/>
    <w:tmpl w:val="A6AC8D26"/>
    <w:lvl w:ilvl="0" w:tplc="5E22B7FC">
      <w:start w:val="1"/>
      <w:numFmt w:val="bullet"/>
      <w:lvlText w:val="●"/>
      <w:lvlJc w:val="left"/>
      <w:pPr>
        <w:ind w:left="720" w:hanging="360"/>
      </w:pPr>
    </w:lvl>
    <w:lvl w:ilvl="1" w:tplc="F87897DC">
      <w:start w:val="1"/>
      <w:numFmt w:val="bullet"/>
      <w:lvlText w:val="○"/>
      <w:lvlJc w:val="left"/>
      <w:pPr>
        <w:ind w:left="1440" w:hanging="360"/>
      </w:pPr>
    </w:lvl>
    <w:lvl w:ilvl="2" w:tplc="602263D2">
      <w:start w:val="1"/>
      <w:numFmt w:val="bullet"/>
      <w:lvlText w:val="■"/>
      <w:lvlJc w:val="left"/>
      <w:pPr>
        <w:ind w:left="2160" w:hanging="360"/>
      </w:pPr>
    </w:lvl>
    <w:lvl w:ilvl="3" w:tplc="F70C3A44">
      <w:start w:val="1"/>
      <w:numFmt w:val="bullet"/>
      <w:lvlText w:val="●"/>
      <w:lvlJc w:val="left"/>
      <w:pPr>
        <w:ind w:left="2880" w:hanging="360"/>
      </w:pPr>
    </w:lvl>
    <w:lvl w:ilvl="4" w:tplc="C1DA5056">
      <w:start w:val="1"/>
      <w:numFmt w:val="bullet"/>
      <w:lvlText w:val="○"/>
      <w:lvlJc w:val="left"/>
      <w:pPr>
        <w:ind w:left="3600" w:hanging="360"/>
      </w:pPr>
    </w:lvl>
    <w:lvl w:ilvl="5" w:tplc="5FE44A42">
      <w:start w:val="1"/>
      <w:numFmt w:val="bullet"/>
      <w:lvlText w:val="■"/>
      <w:lvlJc w:val="left"/>
      <w:pPr>
        <w:ind w:left="4320" w:hanging="360"/>
      </w:pPr>
    </w:lvl>
    <w:lvl w:ilvl="6" w:tplc="55308D52">
      <w:start w:val="1"/>
      <w:numFmt w:val="bullet"/>
      <w:lvlText w:val="●"/>
      <w:lvlJc w:val="left"/>
      <w:pPr>
        <w:ind w:left="5040" w:hanging="360"/>
      </w:pPr>
    </w:lvl>
    <w:lvl w:ilvl="7" w:tplc="FB162AC2">
      <w:start w:val="1"/>
      <w:numFmt w:val="bullet"/>
      <w:lvlText w:val="●"/>
      <w:lvlJc w:val="left"/>
      <w:pPr>
        <w:ind w:left="5760" w:hanging="360"/>
      </w:pPr>
    </w:lvl>
    <w:lvl w:ilvl="8" w:tplc="C576D4F2">
      <w:start w:val="1"/>
      <w:numFmt w:val="bullet"/>
      <w:lvlText w:val="●"/>
      <w:lvlJc w:val="left"/>
      <w:pPr>
        <w:ind w:left="6480" w:hanging="360"/>
      </w:pPr>
    </w:lvl>
  </w:abstractNum>
  <w:num w:numId="1" w16cid:durableId="741677617">
    <w:abstractNumId w:val="1"/>
    <w:lvlOverride w:ilvl="0">
      <w:startOverride w:val="1"/>
    </w:lvlOverride>
  </w:num>
  <w:num w:numId="2" w16cid:durableId="348604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13"/>
    <w:rsid w:val="00144813"/>
    <w:rsid w:val="002056F4"/>
    <w:rsid w:val="002B1995"/>
    <w:rsid w:val="00E81CFC"/>
    <w:rsid w:val="2CEC6C5B"/>
    <w:rsid w:val="5738B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23F5"/>
  <w15:docId w15:val="{D891E18D-443F-401B-898D-83A6D59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199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B1995"/>
  </w:style>
  <w:style w:type="paragraph" w:styleId="Footer">
    <w:name w:val="footer"/>
    <w:basedOn w:val="Normal"/>
    <w:link w:val="FooterChar"/>
    <w:uiPriority w:val="99"/>
    <w:unhideWhenUsed/>
    <w:rsid w:val="002B199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B1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Chitrangi Mestry</lastModifiedBy>
  <revision>3</revision>
  <dcterms:created xsi:type="dcterms:W3CDTF">2026-08-24T09:38:00.0000000Z</dcterms:created>
  <dcterms:modified xsi:type="dcterms:W3CDTF">2026-08-24T09:48:02.9292320Z</dcterms:modified>
</coreProperties>
</file>