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Deployment Architecture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Three topologies, and what the contracts already decide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TICVAI — Deployment architecture</w:t>
      </w:r>
      <w:r>
        <w:t xml:space="preserve">”</w:t>
      </w:r>
      <w:r>
        <w:t xml:space="preserve"> </w:t>
      </w:r>
      <w:r>
        <w:t xml:space="preserve">toc: true</w:t>
      </w:r>
    </w:p>
    <w:bookmarkStart w:id="36" w:name="Xf327165a0434e8079fc7d0b4b80245585e61892"/>
    <w:p>
      <w:pPr>
        <w:pStyle w:val="Heading1"/>
      </w:pPr>
      <w:r>
        <w:t xml:space="preserve">Deployment architecture — three topologies, and what the package already decides</w:t>
      </w:r>
    </w:p>
    <w:p>
      <w:pPr>
        <w:pStyle w:val="FirstParagraph"/>
      </w:pPr>
      <w:r>
        <w:rPr>
          <w:bCs/>
          <w:b/>
        </w:rPr>
        <w:t xml:space="preserve">31 August 2026.</w:t>
      </w:r>
    </w:p>
    <w:bookmarkStart w:id="20" w:name="what-cannot-be-delivered-and-why"/>
    <w:p>
      <w:pPr>
        <w:pStyle w:val="Heading2"/>
      </w:pPr>
      <w:r>
        <w:t xml:space="preserve">What cannot be delivered, and why</w:t>
      </w:r>
    </w:p>
    <w:p>
      <w:pPr>
        <w:pStyle w:val="FirstParagraph"/>
      </w:pPr>
      <w:r>
        <w:rPr>
          <w:bCs/>
          <w:b/>
        </w:rPr>
        <w:t xml:space="preserve">Build is 0%.</w:t>
      </w:r>
      <w:r>
        <w:t xml:space="preserve"> </w:t>
      </w:r>
      <w:r>
        <w:t xml:space="preserve">380 tables are specified and none is written as DDL; no service exists, no</w:t>
      </w:r>
      <w:r>
        <w:t xml:space="preserve"> </w:t>
      </w:r>
      <w:r>
        <w:t xml:space="preserve">container image exists, no endpoint answers.</w:t>
      </w:r>
      <w:r>
        <w:t xml:space="preserve"> </w:t>
      </w:r>
      <w:r>
        <w:rPr>
          <w:bCs/>
          <w:b/>
        </w:rPr>
        <w:t xml:space="preserve">There is nothing to load-test.</w:t>
      </w:r>
    </w:p>
    <w:p>
      <w:pPr>
        <w:pStyle w:val="BodyText"/>
      </w:pPr>
      <w:r>
        <w:t xml:space="preserve">A reproducible environment running one workload against three topologies needs three deployed</w:t>
      </w:r>
      <w:r>
        <w:t xml:space="preserve"> </w:t>
      </w:r>
      <w:r>
        <w:t xml:space="preserve">topologies.</w:t>
      </w:r>
      <w:r>
        <w:t xml:space="preserve"> </w:t>
      </w:r>
      <w:r>
        <w:rPr>
          <w:bCs/>
          <w:b/>
        </w:rPr>
        <w:t xml:space="preserve">Any table below reporting CPU utilisation, p99 latency or error rate would be</w:t>
      </w:r>
      <w:r>
        <w:rPr>
          <w:bCs/>
          <w:b/>
        </w:rPr>
        <w:t xml:space="preserve"> </w:t>
      </w:r>
      <w:r>
        <w:rPr>
          <w:bCs/>
          <w:b/>
        </w:rPr>
        <w:t xml:space="preserve">fabricated</w:t>
      </w:r>
      <w:r>
        <w:t xml:space="preserve">, and a fabricated benchmark is worse than none — it gets planned against, and the first</w:t>
      </w:r>
      <w:r>
        <w:t xml:space="preserve"> </w:t>
      </w:r>
      <w:r>
        <w:t xml:space="preserve">real measurement contradicts a decision already made.</w:t>
      </w:r>
    </w:p>
    <w:p>
      <w:pPr>
        <w:pStyle w:val="BodyText"/>
      </w:pPr>
      <w:r>
        <w:rPr>
          <w:bCs/>
          <w:b/>
        </w:rPr>
        <w:t xml:space="preserve">What is deliverable is better than a benchmark for the placement question specifically</w:t>
      </w:r>
      <w:r>
        <w:t xml:space="preserve">, and it</w:t>
      </w:r>
      <w:r>
        <w:t xml:space="preserve"> </w:t>
      </w:r>
      <w:r>
        <w:t xml:space="preserve">is this:</w:t>
      </w:r>
      <w:r>
        <w:t xml:space="preserve"> </w:t>
      </w:r>
      <w:r>
        <w:rPr>
          <w:bCs/>
          <w:b/>
        </w:rPr>
        <w:t xml:space="preserve">every one of the 1,025 operations already declares the scope it resolves at.</w:t>
      </w:r>
      <w:r>
        <w:t xml:space="preserve"> </w:t>
      </w:r>
      <w:r>
        <w:t xml:space="preserve">That is a</w:t>
      </w:r>
      <w:r>
        <w:t xml:space="preserve"> </w:t>
      </w:r>
      <w:r>
        <w:t xml:space="preserve">decision recorded in the contracts, not a number inferred from load. A benchmark would measure</w:t>
      </w:r>
      <w:r>
        <w:t xml:space="preserve"> </w:t>
      </w:r>
      <w:r>
        <w:t xml:space="preserve">consequences of the placement; the contracts state the placement.</w:t>
      </w:r>
    </w:p>
    <w:p>
      <w:pPr>
        <w:pStyle w:val="BodyText"/>
      </w:pPr>
      <w:r>
        <w:rPr>
          <w:bCs/>
          <w:b/>
        </w:rPr>
        <w:t xml:space="preserve">What is missing and only measurement can give</w:t>
      </w:r>
      <w:r>
        <w:t xml:space="preserve">: the constants. Requests per second a single</w:t>
      </w:r>
      <w:r>
        <w:t xml:space="preserve"> </w:t>
      </w:r>
      <w:r>
        <w:t xml:space="preserve">instance sustains, connection cost per pool, cache hit ratio under the real key distribution,</w:t>
      </w:r>
      <w:r>
        <w:t xml:space="preserve"> </w:t>
      </w:r>
      <w:r>
        <w:t xml:space="preserve">autoscale reaction time.</w:t>
      </w:r>
      <w:r>
        <w:t xml:space="preserve"> </w:t>
      </w:r>
      <w:r>
        <w:rPr>
          <w:bCs/>
          <w:b/>
        </w:rPr>
        <w:t xml:space="preserve">Those are in section 7 as a test specification.</w:t>
      </w:r>
    </w:p>
    <w:bookmarkEnd w:id="20"/>
    <w:bookmarkStart w:id="21" w:name="X2ffde261aee2a19f94ff26d3f5543d015d395e3"/>
    <w:p>
      <w:pPr>
        <w:pStyle w:val="Heading2"/>
      </w:pPr>
      <w:r>
        <w:t xml:space="preserve">1 · The two numbers do not describe the same system</w:t>
      </w:r>
    </w:p>
    <w:p>
      <w:pPr>
        <w:pStyle w:val="FirstParagraph"/>
      </w:pPr>
      <w:r>
        <w:rPr>
          <w:bCs/>
          <w:b/>
        </w:rPr>
        <w:t xml:space="preserve">250,000 requests a day is 2.9 per second.</w:t>
      </w:r>
      <w:r>
        <w:t xml:space="preserve"> </w:t>
      </w:r>
      <w:r>
        <w:t xml:space="preserve">Five thousand per second is</w:t>
      </w:r>
      <w:r>
        <w:t xml:space="preserve"> </w:t>
      </w:r>
      <w:r>
        <w:rPr>
          <w:bCs/>
          <w:b/>
        </w:rPr>
        <w:t xml:space="preserve">1,700 times that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At 5,000 RPS the entire daily volume arrives in fifty seconds.</w:t>
      </w:r>
    </w:p>
    <w:p>
      <w:pPr>
        <w:pStyle w:val="BodyText"/>
      </w:pPr>
      <w:r>
        <w:t xml:space="preserve">That is not a busy platform.</w:t>
      </w:r>
      <w:r>
        <w:t xml:space="preserve"> </w:t>
      </w:r>
      <w:r>
        <w:rPr>
          <w:bCs/>
          <w:b/>
        </w:rPr>
        <w:t xml:space="preserve">It is a flash sale</w:t>
      </w:r>
      <w:r>
        <w:t xml:space="preserve">, and it is exactly the failure Qossai described on</w:t>
      </w:r>
      <w:r>
        <w:t xml:space="preserve"> </w:t>
      </w:r>
      <w:r>
        <w:t xml:space="preserve">31 July: a Bahrain theatre where roughly 30,000 people tried to buy at once, the platform went down,</w:t>
      </w:r>
      <w:r>
        <w:t xml:space="preserve"> </w:t>
      </w:r>
      <w:r>
        <w:t xml:space="preserve">and the outage cost the client relationship.</w:t>
      </w:r>
    </w:p>
    <w:p>
      <w:pPr>
        <w:pStyle w:val="BodyText"/>
      </w:pPr>
      <w:r>
        <w:rPr>
          <w:bCs/>
          <w:b/>
        </w:rPr>
        <w:t xml:space="preserve">So daily volume does not size anything here.</w:t>
      </w:r>
      <w:r>
        <w:t xml:space="preserve"> </w:t>
      </w:r>
      <w:r>
        <w:t xml:space="preserve">Every scale in the brief — 10k through 250k — sits</w:t>
      </w:r>
      <w:r>
        <w:t xml:space="preserve"> </w:t>
      </w:r>
      <w:r>
        <w:t xml:space="preserve">between 0.1 and 2.9 RPS at steady state.</w:t>
      </w:r>
      <w:r>
        <w:t xml:space="preserve"> </w:t>
      </w:r>
      <w:r>
        <w:rPr>
          <w:bCs/>
          <w:b/>
        </w:rPr>
        <w:t xml:space="preserve">The sizing question is entirely the burst</w:t>
      </w:r>
      <w:r>
        <w:t xml:space="preserve">, and the burst</w:t>
      </w:r>
      <w:r>
        <w:t xml:space="preserve"> </w:t>
      </w:r>
      <w:r>
        <w:t xml:space="preserve">does not hit sixteen services evenly.</w:t>
      </w:r>
    </w:p>
    <w:p>
      <w:pPr>
        <w:pStyle w:val="BodyText"/>
      </w:pPr>
      <w:r>
        <w:rPr>
          <w:bCs/>
          <w:b/>
        </w:rPr>
        <w:t xml:space="preserve">A 5,000 RPS spike is a queue of people buying one thing.</w:t>
      </w:r>
      <w:r>
        <w:t xml:space="preserve"> </w:t>
      </w:r>
      <w:r>
        <w:t xml:space="preserve">From the flows already walked, it lands</w:t>
      </w:r>
      <w:r>
        <w:t xml:space="preserve"> </w:t>
      </w:r>
      <w:r>
        <w:t xml:space="preserve">on: catalogue read, availability, lease acquisition, order creation, payment.</w:t>
      </w:r>
      <w:r>
        <w:t xml:space="preserve"> </w:t>
      </w:r>
      <w:r>
        <w:rPr>
          <w:bCs/>
          <w:b/>
        </w:rPr>
        <w:t xml:space="preserve">Five paths across</w:t>
      </w:r>
      <w:r>
        <w:rPr>
          <w:bCs/>
          <w:b/>
        </w:rPr>
        <w:t xml:space="preserve"> </w:t>
      </w:r>
      <w:r>
        <w:rPr>
          <w:bCs/>
          <w:b/>
        </w:rPr>
        <w:t xml:space="preserve">four services.</w:t>
      </w:r>
      <w:r>
        <w:t xml:space="preserve"> </w:t>
      </w:r>
      <w:r>
        <w:t xml:space="preserve">Marketing, Reporting, Inventory, Maintenance and F&amp;B see no part of it.</w:t>
      </w:r>
    </w:p>
    <w:p>
      <w:pPr>
        <w:pStyle w:val="BodyText"/>
      </w:pPr>
      <w:r>
        <w:rPr>
          <w:bCs/>
          <w:b/>
        </w:rPr>
        <w:t xml:space="preserve">Which means the honest answer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do we size for 5k RPS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is: you do not size the platform for</w:t>
      </w:r>
      <w:r>
        <w:rPr>
          <w:bCs/>
          <w:b/>
        </w:rPr>
        <w:t xml:space="preserve"> </w:t>
      </w:r>
      <w:r>
        <w:rPr>
          <w:bCs/>
          <w:b/>
        </w:rPr>
        <w:t xml:space="preserve">it. You size four services for it and leave twelve alone.</w:t>
      </w:r>
    </w:p>
    <w:bookmarkEnd w:id="21"/>
    <w:bookmarkStart w:id="22" w:name="agent-1-every-service-per-venue"/>
    <w:p>
      <w:pPr>
        <w:pStyle w:val="Heading2"/>
      </w:pPr>
      <w:r>
        <w:t xml:space="preserve">2 · Agent 1 — every service per venue</w:t>
      </w:r>
    </w:p>
    <w:p>
      <w:pPr>
        <w:pStyle w:val="FirstParagraph"/>
      </w:pPr>
      <w:r>
        <w:rPr>
          <w:bCs/>
          <w:b/>
        </w:rPr>
        <w:t xml:space="preserve">Refutable from the data before any test runs.</w:t>
      </w:r>
    </w:p>
    <w:p>
      <w:pPr>
        <w:pStyle w:val="BodyText"/>
      </w:pPr>
      <w:r>
        <w:rPr>
          <w:rStyle w:val="VerbatimChar"/>
          <w:bCs/>
          <w:b/>
        </w:rPr>
        <w:t xml:space="preserve">IdentityService</w:t>
      </w:r>
      <w:r>
        <w:rPr>
          <w:bCs/>
          <w:b/>
        </w:rPr>
        <w:t xml:space="preserve"> </w:t>
      </w:r>
      <w:r>
        <w:rPr>
          <w:bCs/>
          <w:b/>
        </w:rPr>
        <w:t xml:space="preserve">carries 81 inbound cross-service touches, more than any other service.</w:t>
      </w:r>
      <w:r>
        <w:t xml:space="preserve"> </w:t>
      </w:r>
      <w:r>
        <w:t xml:space="preserve">Per</w:t>
      </w:r>
      <w:r>
        <w:t xml:space="preserve"> </w:t>
      </w:r>
      <w:r>
        <w:t xml:space="preserve">venue, a guest who signed in at one venue is unknown at the next. A staff member’s role is granted</w:t>
      </w:r>
      <w:r>
        <w:t xml:space="preserve"> </w:t>
      </w:r>
      <w:r>
        <w:t xml:space="preserve">at a scope in a tree that spans venues, and 304 of 380 tables anchor on</w:t>
      </w:r>
      <w:r>
        <w:t xml:space="preserve"> </w:t>
      </w:r>
      <w:r>
        <w:rPr>
          <w:rStyle w:val="VerbatimChar"/>
        </w:rPr>
        <w:t xml:space="preserve">platform.org_unit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hierarchy itself is not venue-scoped, so the service that resolves it cannot be.</w:t>
      </w:r>
    </w:p>
    <w:p>
      <w:pPr>
        <w:pStyle w:val="BodyText"/>
      </w:pPr>
      <w:r>
        <w:rPr>
          <w:rStyle w:val="VerbatimChar"/>
          <w:bCs/>
          <w:b/>
        </w:rPr>
        <w:t xml:space="preserve">CrossRegionService</w:t>
      </w:r>
      <w:r>
        <w:rPr>
          <w:bCs/>
          <w:b/>
        </w:rPr>
        <w:t xml:space="preserve"> </w:t>
      </w:r>
      <w:r>
        <w:rPr>
          <w:bCs/>
          <w:b/>
        </w:rPr>
        <w:t xml:space="preserve">is incoherent per venue.</w:t>
      </w:r>
      <w:r>
        <w:t xml:space="preserve"> </w:t>
      </w:r>
      <w:r>
        <w:t xml:space="preserve">Its job is moving a pseudonymous guest link</w:t>
      </w:r>
      <w:r>
        <w:t xml:space="preserve"> </w:t>
      </w:r>
      <w:r>
        <w:rPr>
          <w:iCs/>
          <w:i/>
        </w:rPr>
        <w:t xml:space="preserve">between jurisdictions</w:t>
      </w:r>
      <w:r>
        <w:t xml:space="preserve"> </w:t>
      </w:r>
      <w:r>
        <w:t xml:space="preserve">(ADR-0010). A per-venue instance has no counterpart to talk to.</w:t>
      </w:r>
    </w:p>
    <w:p>
      <w:pPr>
        <w:pStyle w:val="BodyText"/>
      </w:pPr>
      <w:r>
        <w:rPr>
          <w:rStyle w:val="VerbatimChar"/>
          <w:bCs/>
          <w:b/>
        </w:rPr>
        <w:t xml:space="preserve">WhiteLabelService</w:t>
      </w:r>
      <w:r>
        <w:rPr>
          <w:bCs/>
          <w:b/>
        </w:rPr>
        <w:t xml:space="preserve"> </w:t>
      </w:r>
      <w:r>
        <w:rPr>
          <w:bCs/>
          <w:b/>
        </w:rPr>
        <w:t xml:space="preserve">is 100% tenant-scoped</w:t>
      </w:r>
      <w:r>
        <w:t xml:space="preserve"> </w:t>
      </w:r>
      <w:r>
        <w:t xml:space="preserve">across all 50 of its operations. A per-venue instance</w:t>
      </w:r>
      <w:r>
        <w:t xml:space="preserve"> </w:t>
      </w:r>
      <w:r>
        <w:t xml:space="preserve">would hold one tenant’s branding, replicated once per venue, and a publish would have to fan out to</w:t>
      </w:r>
      <w:r>
        <w:t xml:space="preserve"> </w:t>
      </w:r>
      <w:r>
        <w:t xml:space="preserve">every one.</w:t>
      </w:r>
    </w:p>
    <w:p>
      <w:pPr>
        <w:pStyle w:val="BodyText"/>
      </w:pPr>
      <w:r>
        <w:rPr>
          <w:bCs/>
          <w:b/>
        </w:rPr>
        <w:t xml:space="preserve">And the arithmetic.</w:t>
      </w:r>
      <w:r>
        <w:t xml:space="preserve"> </w:t>
      </w:r>
      <w:r>
        <w:t xml:space="preserve">Sixteen services × one venue = sixteen deployments. A tenant with eleven</w:t>
      </w:r>
      <w:r>
        <w:t xml:space="preserve"> </w:t>
      </w:r>
      <w:r>
        <w:t xml:space="preserve">venues is 176.</w:t>
      </w:r>
      <w:r>
        <w:t xml:space="preserve"> </w:t>
      </w:r>
      <w:r>
        <w:rPr>
          <w:bCs/>
          <w:b/>
        </w:rPr>
        <w:t xml:space="preserve">At 200 tenants averaging three venues, 9,600 service instances before a single</w:t>
      </w:r>
      <w:r>
        <w:rPr>
          <w:bCs/>
          <w:b/>
        </w:rPr>
        <w:t xml:space="preserve"> </w:t>
      </w:r>
      <w:r>
        <w:rPr>
          <w:bCs/>
          <w:b/>
        </w:rPr>
        <w:t xml:space="preserve">request arrives</w:t>
      </w:r>
      <w:r>
        <w:t xml:space="preserve"> </w:t>
      </w:r>
      <w:r>
        <w:t xml:space="preserve">— against a steady-state load of 2.9 RPS.</w:t>
      </w:r>
    </w:p>
    <w:p>
      <w:pPr>
        <w:pStyle w:val="BodyText"/>
      </w:pPr>
      <w:r>
        <w:rPr>
          <w:bCs/>
          <w:b/>
        </w:rPr>
        <w:t xml:space="preserve">Verdict: refuted.</w:t>
      </w:r>
      <w:r>
        <w:t xml:space="preserve"> </w:t>
      </w:r>
      <w:r>
        <w:t xml:space="preserve">Not on cost, though the cost is absurd.</w:t>
      </w:r>
      <w:r>
        <w:t xml:space="preserve"> </w:t>
      </w:r>
      <w:r>
        <w:rPr>
          <w:bCs/>
          <w:b/>
        </w:rPr>
        <w:t xml:space="preserve">On correctness</w:t>
      </w:r>
      <w:r>
        <w:t xml:space="preserve"> </w:t>
      </w:r>
      <w:r>
        <w:t xml:space="preserve">— three services</w:t>
      </w:r>
      <w:r>
        <w:t xml:space="preserve"> </w:t>
      </w:r>
      <w:r>
        <w:t xml:space="preserve">cannot be venue-scoped without breaking what they do.</w:t>
      </w:r>
    </w:p>
    <w:bookmarkEnd w:id="22"/>
    <w:bookmarkStart w:id="23" w:name="agent-2-every-service-per-tenant"/>
    <w:p>
      <w:pPr>
        <w:pStyle w:val="Heading2"/>
      </w:pPr>
      <w:r>
        <w:t xml:space="preserve">3 · Agent 2 — every service per tenant</w:t>
      </w:r>
    </w:p>
    <w:p>
      <w:pPr>
        <w:pStyle w:val="FirstParagraph"/>
      </w:pPr>
      <w:r>
        <w:rPr>
          <w:bCs/>
          <w:b/>
        </w:rPr>
        <w:t xml:space="preserve">Also refutable, and more subtly.</w:t>
      </w:r>
    </w:p>
    <w:p>
      <w:pPr>
        <w:pStyle w:val="BodyText"/>
      </w:pPr>
      <w:r>
        <w:rPr>
          <w:bCs/>
          <w:b/>
        </w:rPr>
        <w:t xml:space="preserve">It contradicts ADR-0001.</w:t>
      </w:r>
      <w:r>
        <w:t xml:space="preserve"> </w:t>
      </w:r>
      <w:r>
        <w:t xml:space="preserve">A cell is one jurisdiction, and a tenant can operate in more than one.</w:t>
      </w:r>
      <w:r>
        <w:t xml:space="preserve"> </w:t>
      </w:r>
      <w:r>
        <w:t xml:space="preserve">A per-tenant stack spanning UAE and Saudi violates data residency —</w:t>
      </w:r>
      <w:r>
        <w:t xml:space="preserve"> </w:t>
      </w:r>
      <w:r>
        <w:rPr>
          <w:bCs/>
          <w:b/>
        </w:rPr>
        <w:t xml:space="preserve">the constraint that shapes the</w:t>
      </w:r>
      <w:r>
        <w:rPr>
          <w:bCs/>
          <w:b/>
        </w:rPr>
        <w:t xml:space="preserve"> </w:t>
      </w:r>
      <w:r>
        <w:rPr>
          <w:bCs/>
          <w:b/>
        </w:rPr>
        <w:t xml:space="preserve">entire platform.</w:t>
      </w:r>
    </w:p>
    <w:p>
      <w:pPr>
        <w:pStyle w:val="BodyText"/>
      </w:pPr>
      <w:r>
        <w:rPr>
          <w:rStyle w:val="VerbatimChar"/>
          <w:bCs/>
          <w:b/>
        </w:rPr>
        <w:t xml:space="preserve">LedgerService</w:t>
      </w:r>
      <w:r>
        <w:rPr>
          <w:bCs/>
          <w:b/>
        </w:rPr>
        <w:t xml:space="preserve"> </w:t>
      </w:r>
      <w:r>
        <w:rPr>
          <w:bCs/>
          <w:b/>
        </w:rPr>
        <w:t xml:space="preserve">is 68% region-scoped</w:t>
      </w:r>
      <w:r>
        <w:t xml:space="preserve">, and region is neither tenant nor venue. Currency, fiscal</w:t>
      </w:r>
      <w:r>
        <w:t xml:space="preserve"> </w:t>
      </w:r>
      <w:r>
        <w:t xml:space="preserve">year and tax rules are region properties (ADR-0018).</w:t>
      </w:r>
      <w:r>
        <w:t xml:space="preserve"> </w:t>
      </w:r>
      <w:r>
        <w:rPr>
          <w:bCs/>
          <w:b/>
        </w:rPr>
        <w:t xml:space="preserve">A per-tenant ledger holding two regions</w:t>
      </w:r>
      <w:r>
        <w:rPr>
          <w:bCs/>
          <w:b/>
        </w:rPr>
        <w:t xml:space="preserve"> </w:t>
      </w:r>
      <w:r>
        <w:rPr>
          <w:bCs/>
          <w:b/>
        </w:rPr>
        <w:t xml:space="preserve">either splits internally — which is the multi-tenancy it was meant to avoid — or gets it wrong.</w:t>
      </w:r>
    </w:p>
    <w:p>
      <w:pPr>
        <w:pStyle w:val="BodyText"/>
      </w:pPr>
      <w:r>
        <w:rPr>
          <w:bCs/>
          <w:b/>
        </w:rPr>
        <w:t xml:space="preserve">And the isolation it buys is aimed at the wrong axis.</w:t>
      </w:r>
      <w:r>
        <w:t xml:space="preserve"> </w:t>
      </w:r>
      <w:r>
        <w:t xml:space="preserve">The spike is one</w:t>
      </w:r>
      <w:r>
        <w:t xml:space="preserve"> </w:t>
      </w:r>
      <w:r>
        <w:rPr>
          <w:iCs/>
          <w:i/>
        </w:rPr>
        <w:t xml:space="preserve">venue</w:t>
      </w:r>
      <w:r>
        <w:t xml:space="preserve"> </w:t>
      </w:r>
      <w:r>
        <w:t xml:space="preserve">on a Saturday, or</w:t>
      </w:r>
      <w:r>
        <w:t xml:space="preserve"> </w:t>
      </w:r>
      <w:r>
        <w:t xml:space="preserve">one</w:t>
      </w:r>
      <w:r>
        <w:t xml:space="preserve"> </w:t>
      </w:r>
      <w:r>
        <w:rPr>
          <w:iCs/>
          <w:i/>
        </w:rPr>
        <w:t xml:space="preserve">event</w:t>
      </w:r>
      <w:r>
        <w:t xml:space="preserve"> </w:t>
      </w:r>
      <w:r>
        <w:t xml:space="preserve">going on sale. A per-tenant stack scaling for that scales eleven venues’ worth of every</w:t>
      </w:r>
      <w:r>
        <w:t xml:space="preserve"> </w:t>
      </w:r>
      <w:r>
        <w:t xml:space="preserve">service because one venue is busy.</w:t>
      </w:r>
    </w:p>
    <w:p>
      <w:pPr>
        <w:pStyle w:val="BodyText"/>
      </w:pPr>
      <w:r>
        <w:rPr>
          <w:bCs/>
          <w:b/>
        </w:rPr>
        <w:t xml:space="preserve">Verdict: refuted.</w:t>
      </w:r>
      <w:r>
        <w:t xml:space="preserve"> </w:t>
      </w:r>
      <w:r>
        <w:t xml:space="preserve">It isolates by the wrong boundary and breaks the jurisdiction rule.</w:t>
      </w:r>
    </w:p>
    <w:bookmarkEnd w:id="23"/>
    <w:bookmarkStart w:id="24" w:name="the-three-way-split-is-missing-an-axis"/>
    <w:p>
      <w:pPr>
        <w:pStyle w:val="Heading2"/>
      </w:pPr>
      <w:r>
        <w:t xml:space="preserve">4 · The three-way split is missing an axis</w:t>
      </w:r>
    </w:p>
    <w:p>
      <w:pPr>
        <w:pStyle w:val="FirstParagraph"/>
      </w:pPr>
      <w:r>
        <w:rPr>
          <w:bCs/>
          <w:b/>
        </w:rPr>
        <w:t xml:space="preserve">The brief offers venue, tenant, shared. The platform has four.</w:t>
      </w:r>
    </w:p>
    <w:p>
      <w:pPr>
        <w:pStyle w:val="BodyText"/>
      </w:pPr>
      <w:r>
        <w:rPr>
          <w:bCs/>
          <w:b/>
        </w:rPr>
        <w:t xml:space="preserve">venue 682 (67%) · tenant 247 (24%) · region 48 (5%) · workstation 45 (4%) · brand 2 ·</w:t>
      </w:r>
      <w:r>
        <w:rPr>
          <w:bCs/>
          <w:b/>
        </w:rPr>
        <w:t xml:space="preserve"> </w:t>
      </w:r>
      <w:r>
        <w:rPr>
          <w:bCs/>
          <w:b/>
        </w:rPr>
        <w:t xml:space="preserve">platform 1</w:t>
      </w:r>
    </w:p>
    <w:p>
      <w:pPr>
        <w:pStyle w:val="BodyText"/>
      </w:pPr>
      <w:r>
        <w:rPr>
          <w:bCs/>
          <w:b/>
        </w:rPr>
        <w:t xml:space="preserve">Region is 48 operations and it is where the money lives</w:t>
      </w:r>
      <w:r>
        <w:t xml:space="preserve"> </w:t>
      </w:r>
      <w:r>
        <w:t xml:space="preserve">— FX rates, fiscal periods, legal</w:t>
      </w:r>
      <w:r>
        <w:t xml:space="preserve"> </w:t>
      </w:r>
      <w:r>
        <w:t xml:space="preserve">entities, tax codes, settlement.</w:t>
      </w:r>
      <w:r>
        <w:t xml:space="preserve"> </w:t>
      </w:r>
      <w:r>
        <w:rPr>
          <w:rStyle w:val="VerbatimChar"/>
          <w:bCs/>
          <w:b/>
        </w:rPr>
        <w:t xml:space="preserve">LedgerService</w:t>
      </w:r>
      <w:r>
        <w:rPr>
          <w:bCs/>
          <w:b/>
        </w:rPr>
        <w:t xml:space="preserve"> </w:t>
      </w:r>
      <w:r>
        <w:rPr>
          <w:bCs/>
          <w:b/>
        </w:rPr>
        <w:t xml:space="preserve">sits there and belongs in neither of the two</w:t>
      </w:r>
      <w:r>
        <w:rPr>
          <w:bCs/>
          <w:b/>
        </w:rPr>
        <w:t xml:space="preserve"> </w:t>
      </w:r>
      <w:r>
        <w:rPr>
          <w:bCs/>
          <w:b/>
        </w:rPr>
        <w:t xml:space="preserve">buckets offered.</w:t>
      </w:r>
    </w:p>
    <w:p>
      <w:pPr>
        <w:pStyle w:val="BodyText"/>
      </w:pPr>
      <w:r>
        <w:rPr>
          <w:bCs/>
          <w:b/>
        </w:rPr>
        <w:t xml:space="preserve">Workstation is 45</w:t>
      </w:r>
      <w:r>
        <w:t xml:space="preserve"> </w:t>
      </w:r>
      <w:r>
        <w:t xml:space="preserve">and it is not a deployment scope at all — it is a till, and its operations run</w:t>
      </w:r>
      <w:r>
        <w:t xml:space="preserve"> </w:t>
      </w:r>
      <w:r>
        <w:t xml:space="preserve">against a shared service with the workstation as a parameter.</w:t>
      </w:r>
    </w:p>
    <w:bookmarkEnd w:id="24"/>
    <w:bookmarkStart w:id="27" w:name="X6bb3cfa48763d27932ae817e66ff7a374fda4eb"/>
    <w:p>
      <w:pPr>
        <w:pStyle w:val="Heading2"/>
      </w:pPr>
      <w:r>
        <w:t xml:space="preserve">5 · The placement map, derived from declared scope</w:t>
      </w:r>
    </w:p>
    <w:p>
      <w:pPr>
        <w:pStyle w:val="FirstParagraph"/>
      </w:pPr>
      <w:r>
        <w:rPr>
          <w:bCs/>
          <w:b/>
        </w:rPr>
        <w:t xml:space="preserve">Dominant scope is the contract’s own declaration, not an inference.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8"/>
        <w:gridCol w:w="977"/>
        <w:gridCol w:w="391"/>
        <w:gridCol w:w="391"/>
        <w:gridCol w:w="488"/>
        <w:gridCol w:w="1760"/>
        <w:gridCol w:w="2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Scaling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SHARED/HPA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volume —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SHARED/HPA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volume —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SHARED/HPA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volume —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 +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rate, flat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read-mostly, cached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count,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REGION-PAIR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queue/worker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API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 load, batch</w:t>
            </w:r>
          </w:p>
        </w:tc>
      </w:tr>
    </w:tbl>
    <w:bookmarkStart w:id="25" w:name="the-rule-stated-once"/>
    <w:p>
      <w:pPr>
        <w:pStyle w:val="Heading3"/>
      </w:pPr>
      <w:r>
        <w:t xml:space="preserve">The rule, stated once</w:t>
      </w:r>
    </w:p>
    <w:p>
      <w:pPr>
        <w:pStyle w:val="FirstParagraph"/>
      </w:pPr>
      <w:r>
        <w:rPr>
          <w:bCs/>
          <w:b/>
        </w:rPr>
        <w:t xml:space="preserve">A service is shared and horizontally scaled when its load is a function of requests. It is scoped</w:t>
      </w:r>
      <w:r>
        <w:rPr>
          <w:bCs/>
          <w:b/>
        </w:rPr>
        <w:t xml:space="preserve"> </w:t>
      </w:r>
      <w:r>
        <w:rPr>
          <w:bCs/>
          <w:b/>
        </w:rPr>
        <w:t xml:space="preserve">when its load is a function of how many of something exist.</w:t>
      </w:r>
    </w:p>
    <w:p>
      <w:pPr>
        <w:pStyle w:val="BodyText"/>
      </w:pPr>
      <w:r>
        <w:rPr>
          <w:bCs/>
          <w:b/>
        </w:rPr>
        <w:t xml:space="preserve">Three tests, in order:</w:t>
      </w:r>
    </w:p>
    <w:p>
      <w:pPr>
        <w:pStyle w:val="BodyText"/>
      </w:pPr>
      <w:r>
        <w:rPr>
          <w:bCs/>
          <w:b/>
        </w:rPr>
        <w:t xml:space="preserve">Does it appear on the burst path?</w:t>
      </w:r>
      <w:r>
        <w:t xml:space="preserve"> </w:t>
      </w:r>
      <w:r>
        <w:t xml:space="preserve">Catalogue, Order, Identity and Access do. Nothing else does.</w:t>
      </w:r>
      <w:r>
        <w:t xml:space="preserve"> </w:t>
      </w:r>
      <w:r>
        <w:rPr>
          <w:bCs/>
          <w:b/>
        </w:rPr>
        <w:t xml:space="preserve">Those four scale on RPS and must be shared</w:t>
      </w:r>
      <w:r>
        <w:t xml:space="preserve"> </w:t>
      </w:r>
      <w:r>
        <w:t xml:space="preserve">— a per-venue Catalogue cannot absorb a spike aimed at</w:t>
      </w:r>
      <w:r>
        <w:t xml:space="preserve"> </w:t>
      </w:r>
      <w:r>
        <w:t xml:space="preserve">one venue, because the spike is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that venue.</w:t>
      </w:r>
    </w:p>
    <w:p>
      <w:pPr>
        <w:pStyle w:val="BodyText"/>
      </w:pPr>
      <w:r>
        <w:rPr>
          <w:bCs/>
          <w:b/>
        </w:rPr>
        <w:t xml:space="preserve">Is it read by everyone?</w:t>
      </w:r>
      <w:r>
        <w:t xml:space="preserve"> </w:t>
      </w:r>
      <w:r>
        <w:t xml:space="preserve">Identity at 81 inbound touches, Tenancy at 64, Catalogue at 71.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service most others depend on is a service that must be one thing.</w:t>
      </w:r>
      <w:r>
        <w:t xml:space="preserve"> </w:t>
      </w:r>
      <w:r>
        <w:t xml:space="preserve">Replicating it per venue</w:t>
      </w:r>
      <w:r>
        <w:t xml:space="preserve"> </w:t>
      </w:r>
      <w:r>
        <w:t xml:space="preserve">multiplies the reads without reducing them.</w:t>
      </w:r>
    </w:p>
    <w:p>
      <w:pPr>
        <w:pStyle w:val="BodyText"/>
      </w:pPr>
      <w:r>
        <w:rPr>
          <w:bCs/>
          <w:b/>
        </w:rPr>
        <w:t xml:space="preserve">Is its data confined to the boundary?</w:t>
      </w:r>
      <w:r>
        <w:t xml:space="preserve"> </w:t>
      </w:r>
      <w:r>
        <w:t xml:space="preserve">F&amp;B at 97% venue-scoped, 47 offline operations, and two</w:t>
      </w:r>
      <w:r>
        <w:t xml:space="preserve"> </w:t>
      </w:r>
      <w:r>
        <w:t xml:space="preserve">inbound touches.</w:t>
      </w:r>
      <w:r>
        <w:t xml:space="preserve"> </w:t>
      </w:r>
      <w:r>
        <w:rPr>
          <w:bCs/>
          <w:b/>
        </w:rPr>
        <w:t xml:space="preserve">Nothing outside a venue reads its kitchen tickets.</w:t>
      </w:r>
      <w:r>
        <w:t xml:space="preserve"> </w:t>
      </w:r>
      <w:r>
        <w:t xml:space="preserve">That is a service that can</w:t>
      </w:r>
      <w:r>
        <w:t xml:space="preserve"> </w:t>
      </w:r>
      <w:r>
        <w:t xml:space="preserve">sit at the venue and should — because 47 offline operations means it must keep working when the</w:t>
      </w:r>
      <w:r>
        <w:t xml:space="preserve"> </w:t>
      </w:r>
      <w:r>
        <w:t xml:space="preserve">venue’s network does not.</w:t>
      </w:r>
    </w:p>
    <w:bookmarkEnd w:id="25"/>
    <w:bookmarkStart w:id="26" w:name="Xd328a6be3d1ecaccdca07d8e31332f66b6382c5"/>
    <w:p>
      <w:pPr>
        <w:pStyle w:val="Heading3"/>
      </w:pPr>
      <w:r>
        <w:t xml:space="preserve">Where the rule is uncomfortable, and why it still holds</w:t>
      </w:r>
    </w:p>
    <w:p>
      <w:pPr>
        <w:pStyle w:val="FirstParagraph"/>
      </w:pPr>
      <w:r>
        <w:rPr>
          <w:bCs/>
          <w:b/>
        </w:rPr>
        <w:t xml:space="preserve">F&amp;B, Inventory, Retail and VenueOps are venue-placed and they are the largest group</w:t>
      </w:r>
      <w:r>
        <w:t xml:space="preserve"> </w:t>
      </w:r>
      <w:r>
        <w:t xml:space="preserve">— 286</w:t>
      </w:r>
      <w:r>
        <w:t xml:space="preserve"> </w:t>
      </w:r>
      <w:r>
        <w:t xml:space="preserve">operations across four services.</w:t>
      </w:r>
      <w:r>
        <w:t xml:space="preserve"> </w:t>
      </w:r>
      <w:r>
        <w:rPr>
          <w:bCs/>
          <w:b/>
        </w:rPr>
        <w:t xml:space="preserve">The instinct is to share them for efficiency.</w:t>
      </w:r>
    </w:p>
    <w:p>
      <w:pPr>
        <w:pStyle w:val="BodyText"/>
      </w:pPr>
      <w:r>
        <w:rPr>
          <w:bCs/>
          <w:b/>
        </w:rPr>
        <w:t xml:space="preserve">Offline is why not.</w:t>
      </w:r>
      <w:r>
        <w:t xml:space="preserve"> </w:t>
      </w:r>
      <w:r>
        <w:t xml:space="preserve">123 of their operations work offline: a till trades from a local journal, a</w:t>
      </w:r>
      <w:r>
        <w:t xml:space="preserve"> </w:t>
      </w:r>
      <w:r>
        <w:t xml:space="preserve">kitchen display keeps sending food out, a stock count happens where the stock is.</w:t>
      </w:r>
      <w:r>
        <w:t xml:space="preserve"> </w:t>
      </w:r>
      <w:r>
        <w:rPr>
          <w:bCs/>
          <w:b/>
        </w:rPr>
        <w:t xml:space="preserve">A shared service</w:t>
      </w:r>
      <w:r>
        <w:rPr>
          <w:bCs/>
          <w:b/>
        </w:rPr>
        <w:t xml:space="preserve"> </w:t>
      </w:r>
      <w:r>
        <w:rPr>
          <w:bCs/>
          <w:b/>
        </w:rPr>
        <w:t xml:space="preserve">cannot be locally available</w:t>
      </w:r>
      <w:r>
        <w:t xml:space="preserve">, and local availability is the product rather than a resilience</w:t>
      </w:r>
      <w:r>
        <w:t xml:space="preserve"> </w:t>
      </w:r>
      <w:r>
        <w:t xml:space="preserve">feature.</w:t>
      </w:r>
    </w:p>
    <w:p>
      <w:pPr>
        <w:pStyle w:val="BodyText"/>
      </w:pPr>
      <w:r>
        <w:rPr>
          <w:bCs/>
          <w:b/>
        </w:rPr>
        <w:t xml:space="preserve">They also do not need to scale.</w:t>
      </w:r>
      <w:r>
        <w:t xml:space="preserve"> </w:t>
      </w:r>
      <w:r>
        <w:t xml:space="preserve">A kitchen runs at the speed of a kitchen.</w:t>
      </w:r>
      <w:r>
        <w:t xml:space="preserve"> </w:t>
      </w:r>
      <w:r>
        <w:rPr>
          <w:bCs/>
          <w:b/>
        </w:rPr>
        <w:t xml:space="preserve">No traffic spike</w:t>
      </w:r>
      <w:r>
        <w:rPr>
          <w:bCs/>
          <w:b/>
        </w:rPr>
        <w:t xml:space="preserve"> </w:t>
      </w:r>
      <w:r>
        <w:rPr>
          <w:bCs/>
          <w:b/>
        </w:rPr>
        <w:t xml:space="preserve">makes food faster.</w:t>
      </w:r>
    </w:p>
    <w:bookmarkEnd w:id="26"/>
    <w:bookmarkEnd w:id="27"/>
    <w:bookmarkStart w:id="32" w:name="deployment-configurations-by-scale"/>
    <w:p>
      <w:pPr>
        <w:pStyle w:val="Heading2"/>
      </w:pPr>
      <w:r>
        <w:t xml:space="preserve">6 · Deployment configurations by scale</w:t>
      </w:r>
    </w:p>
    <w:p>
      <w:pPr>
        <w:pStyle w:val="FirstParagraph"/>
      </w:pPr>
      <w:r>
        <w:rPr>
          <w:bCs/>
          <w:b/>
        </w:rPr>
        <w:t xml:space="preserve">These are shapes, not measurements.</w:t>
      </w:r>
      <w:r>
        <w:t xml:space="preserve"> </w:t>
      </w:r>
      <w:r>
        <w:t xml:space="preserve">Instance counts assume a per-instance capacity that the</w:t>
      </w:r>
      <w:r>
        <w:t xml:space="preserve"> </w:t>
      </w:r>
      <w:r>
        <w:t xml:space="preserve">benchmark in section 7 exists to establish.</w:t>
      </w:r>
      <w:r>
        <w:t xml:space="preserve"> </w:t>
      </w:r>
      <w:r>
        <w:rPr>
          <w:bCs/>
          <w:b/>
        </w:rPr>
        <w:t xml:space="preserve">Treat every number as a hypothesis with a named way to</w:t>
      </w:r>
      <w:r>
        <w:rPr>
          <w:bCs/>
          <w:b/>
        </w:rPr>
        <w:t xml:space="preserve"> </w:t>
      </w:r>
      <w:r>
        <w:rPr>
          <w:bCs/>
          <w:b/>
        </w:rPr>
        <w:t xml:space="preserve">falsify it.</w:t>
      </w:r>
    </w:p>
    <w:p>
      <w:pPr>
        <w:pStyle w:val="BodyText"/>
      </w:pPr>
      <w:r>
        <w:rPr>
          <w:bCs/>
          <w:b/>
        </w:rPr>
        <w:t xml:space="preserve">One thing holds across all seven rows</w:t>
      </w:r>
      <w:r>
        <w:t xml:space="preserve">: steady state never exceeds 3 RPS, so</w:t>
      </w:r>
      <w:r>
        <w:t xml:space="preserve"> </w:t>
      </w:r>
      <w:r>
        <w:rPr>
          <w:bCs/>
          <w:b/>
        </w:rPr>
        <w:t xml:space="preserve">the whole matrix is</w:t>
      </w:r>
      <w:r>
        <w:rPr>
          <w:bCs/>
          <w:b/>
        </w:rPr>
        <w:t xml:space="preserve"> </w:t>
      </w:r>
      <w:r>
        <w:rPr>
          <w:bCs/>
          <w:b/>
        </w:rPr>
        <w:t xml:space="preserve">about burst headroom and nothing else.</w:t>
      </w:r>
    </w:p>
    <w:bookmarkStart w:id="28" w:name="small-10k-to-50kday-1k2k-rps"/>
    <w:p>
      <w:pPr>
        <w:pStyle w:val="Heading3"/>
      </w:pPr>
      <w:r>
        <w:t xml:space="preserve">Small — 10k to 50k/day, 1k–2k RPS</w:t>
      </w:r>
    </w:p>
    <w:p>
      <w:pPr>
        <w:pStyle w:val="FirstParagraph"/>
      </w:pPr>
      <w:r>
        <w:rPr>
          <w:bCs/>
          <w:b/>
        </w:rPr>
        <w:t xml:space="preserve">Single cell. Shared services at minimum replicas, venue services co-located.</w:t>
      </w:r>
    </w:p>
    <w:p>
      <w:pPr>
        <w:pStyle w:val="BodyText"/>
      </w:pPr>
      <w:r>
        <w:t xml:space="preserve">Catalogue 2–6, Order 2–6, Identity 2–4, Access 2 + edge cache. Everything else 1–2.</w:t>
      </w:r>
      <w:r>
        <w:t xml:space="preserve"> </w:t>
      </w:r>
      <w:r>
        <w:rPr>
          <w:bCs/>
          <w:b/>
        </w:rPr>
        <w:t xml:space="preserve">Postgres: one primary, one replica.</w:t>
      </w:r>
      <w:r>
        <w:t xml:space="preserve"> </w:t>
      </w:r>
      <w:r>
        <w:t xml:space="preserve">Redis: single node, 2 GB.</w:t>
      </w:r>
      <w:r>
        <w:t xml:space="preserve"> </w:t>
      </w:r>
      <w:r>
        <w:rPr>
          <w:bCs/>
          <w:b/>
        </w:rPr>
        <w:t xml:space="preserve">Autoscale on RPS, not CPU</w:t>
      </w:r>
      <w:r>
        <w:t xml:space="preserve"> </w:t>
      </w:r>
      <w:r>
        <w:t xml:space="preserve">— CPU lags a burst by the time it takes to fill a queue.</w:t>
      </w:r>
      <w:r>
        <w:t xml:space="preserve"> </w:t>
      </w:r>
      <w:r>
        <w:rPr>
          <w:bCs/>
          <w:b/>
        </w:rPr>
        <w:t xml:space="preserve">p95 target 200 ms on read, 400 ms on order creation.</w:t>
      </w:r>
    </w:p>
    <w:p>
      <w:pPr>
        <w:pStyle w:val="BodyText"/>
      </w:pPr>
      <w:r>
        <w:rPr>
          <w:bCs/>
          <w:b/>
        </w:rPr>
        <w:t xml:space="preserve">Failure characteristic</w:t>
      </w:r>
      <w:r>
        <w:t xml:space="preserve">: one cell, so a cell failure is total.</w:t>
      </w:r>
      <w:r>
        <w:t xml:space="preserve"> </w:t>
      </w:r>
      <w:r>
        <w:rPr>
          <w:bCs/>
          <w:b/>
        </w:rPr>
        <w:t xml:space="preserve">Acceptable at this scale and it</w:t>
      </w:r>
      <w:r>
        <w:rPr>
          <w:bCs/>
          <w:b/>
        </w:rPr>
        <w:t xml:space="preserve"> </w:t>
      </w:r>
      <w:r>
        <w:rPr>
          <w:bCs/>
          <w:b/>
        </w:rPr>
        <w:t xml:space="preserve">should be stated rather than assumed</w:t>
      </w:r>
      <w:r>
        <w:t xml:space="preserve">, because 99.99% was agreed on 31 July and a single cell does</w:t>
      </w:r>
      <w:r>
        <w:t xml:space="preserve"> </w:t>
      </w:r>
      <w:r>
        <w:t xml:space="preserve">not deliver it.</w:t>
      </w:r>
    </w:p>
    <w:bookmarkEnd w:id="28"/>
    <w:bookmarkStart w:id="29" w:name="medium-100k-to-150kday-2k3k-rps"/>
    <w:p>
      <w:pPr>
        <w:pStyle w:val="Heading3"/>
      </w:pPr>
      <w:r>
        <w:t xml:space="preserve">Medium — 100k to 150k/day, 2k–3k RPS</w:t>
      </w:r>
    </w:p>
    <w:p>
      <w:pPr>
        <w:pStyle w:val="FirstParagraph"/>
      </w:pPr>
      <w:r>
        <w:rPr>
          <w:bCs/>
          <w:b/>
        </w:rPr>
        <w:t xml:space="preserve">Same topology, more headroom, and the first read replica that matters.</w:t>
      </w:r>
    </w:p>
    <w:p>
      <w:pPr>
        <w:pStyle w:val="BodyText"/>
      </w:pPr>
      <w:r>
        <w:t xml:space="preserve">Catalogue 4–12 with a replica behind it. Order 4–10. Identity 3–6.</w:t>
      </w:r>
      <w:r>
        <w:t xml:space="preserve"> </w:t>
      </w:r>
      <w:r>
        <w:rPr>
          <w:bCs/>
          <w:b/>
        </w:rPr>
        <w:t xml:space="preserve">Postgres: primary plus two replicas</w:t>
      </w:r>
      <w:r>
        <w:t xml:space="preserve">, Reporting pinned to the analytical one (ADR-0016).</w:t>
      </w:r>
      <w:r>
        <w:t xml:space="preserve"> </w:t>
      </w:r>
      <w:r>
        <w:t xml:space="preserve">Redis: 3-node cluster, 8 GB.</w:t>
      </w:r>
      <w:r>
        <w:t xml:space="preserve"> </w:t>
      </w:r>
      <w:r>
        <w:rPr>
          <w:bCs/>
          <w:b/>
        </w:rPr>
        <w:t xml:space="preserve">Marketing workers separate from its API</w:t>
      </w:r>
      <w:r>
        <w:t xml:space="preserve"> </w:t>
      </w:r>
      <w:r>
        <w:t xml:space="preserve">— a campaign send is queue</w:t>
      </w:r>
      <w:r>
        <w:t xml:space="preserve"> </w:t>
      </w:r>
      <w:r>
        <w:t xml:space="preserve">depth, not request rate, and mixing them makes both unpredictable.</w:t>
      </w:r>
    </w:p>
    <w:bookmarkEnd w:id="29"/>
    <w:bookmarkStart w:id="30" w:name="large-200kday-3k4k-rps"/>
    <w:p>
      <w:pPr>
        <w:pStyle w:val="Heading3"/>
      </w:pPr>
      <w:r>
        <w:t xml:space="preserve">Large — 200k/day, 3k–4k RPS</w:t>
      </w:r>
    </w:p>
    <w:p>
      <w:pPr>
        <w:pStyle w:val="FirstParagraph"/>
      </w:pPr>
      <w:r>
        <w:rPr>
          <w:bCs/>
          <w:b/>
        </w:rPr>
        <w:t xml:space="preserve">Catalogue and Order autoscale independently. The lease path becomes the constraint.</w:t>
      </w:r>
    </w:p>
    <w:p>
      <w:pPr>
        <w:pStyle w:val="BodyText"/>
      </w:pPr>
      <w:r>
        <w:rPr>
          <w:rStyle w:val="VerbatimChar"/>
          <w:bCs/>
          <w:b/>
        </w:rPr>
        <w:t xml:space="preserve">acquireInventoryHold</w:t>
      </w:r>
      <w:r>
        <w:rPr>
          <w:bCs/>
          <w:b/>
        </w:rPr>
        <w:t xml:space="preserve"> </w:t>
      </w:r>
      <w:r>
        <w:rPr>
          <w:bCs/>
          <w:b/>
        </w:rPr>
        <w:t xml:space="preserve">is where a flash sale actually fails</w:t>
      </w:r>
      <w:r>
        <w:t xml:space="preserve">: contended rows, and every buyer</w:t>
      </w:r>
      <w:r>
        <w:t xml:space="preserve"> </w:t>
      </w:r>
      <w:r>
        <w:t xml:space="preserve">wants the same ones.</w:t>
      </w:r>
      <w:r>
        <w:t xml:space="preserve"> </w:t>
      </w:r>
      <w:r>
        <w:rPr>
          <w:bCs/>
          <w:b/>
        </w:rPr>
        <w:t xml:space="preserve">This is the thing to load-test first</w:t>
      </w:r>
      <w:r>
        <w:t xml:space="preserve">, not the catalogue read.</w:t>
      </w:r>
    </w:p>
    <w:p>
      <w:pPr>
        <w:pStyle w:val="BodyText"/>
      </w:pPr>
      <w:r>
        <w:t xml:space="preserve">Catalogue 6–20, Order 6–16, Identity 4–8.</w:t>
      </w:r>
      <w:r>
        <w:t xml:space="preserve"> </w:t>
      </w:r>
      <w:r>
        <w:rPr>
          <w:bCs/>
          <w:b/>
        </w:rPr>
        <w:t xml:space="preserve">Connection pooling in front of Postgres becomes mandatory</w:t>
      </w:r>
      <w:r>
        <w:t xml:space="preserve"> </w:t>
      </w:r>
      <w:r>
        <w:t xml:space="preserve">— 20 Order instances at 20 connections</w:t>
      </w:r>
      <w:r>
        <w:t xml:space="preserve"> </w:t>
      </w:r>
      <w:r>
        <w:t xml:space="preserve">is 400 against a primary that will not want them.</w:t>
      </w:r>
    </w:p>
    <w:bookmarkEnd w:id="30"/>
    <w:bookmarkStart w:id="31" w:name="maximum-250kday-5k-rps"/>
    <w:p>
      <w:pPr>
        <w:pStyle w:val="Heading3"/>
      </w:pPr>
      <w:r>
        <w:t xml:space="preserve">Maximum — 250k/day, 5k RPS</w:t>
      </w:r>
    </w:p>
    <w:p>
      <w:pPr>
        <w:pStyle w:val="FirstParagraph"/>
      </w:pPr>
      <w:r>
        <w:rPr>
          <w:bCs/>
          <w:b/>
        </w:rPr>
        <w:t xml:space="preserve">This is CF-162 scenario (c), and it is not a bigger version of the others.</w:t>
      </w:r>
    </w:p>
    <w:p>
      <w:pPr>
        <w:pStyle w:val="BodyText"/>
      </w:pPr>
      <w:r>
        <w:rPr>
          <w:bCs/>
          <w:b/>
        </w:rPr>
        <w:t xml:space="preserve">Fifty seconds of the day’s entire volume.</w:t>
      </w:r>
      <w:r>
        <w:t xml:space="preserve"> </w:t>
      </w:r>
      <w:r>
        <w:t xml:space="preserve">The right answer is a</w:t>
      </w:r>
      <w:r>
        <w:t xml:space="preserve"> </w:t>
      </w:r>
      <w:r>
        <w:rPr>
          <w:bCs/>
          <w:b/>
        </w:rPr>
        <w:t xml:space="preserve">short-lived environment for one</w:t>
      </w:r>
      <w:r>
        <w:rPr>
          <w:bCs/>
          <w:b/>
        </w:rPr>
        <w:t xml:space="preserve"> </w:t>
      </w:r>
      <w:r>
        <w:rPr>
          <w:bCs/>
          <w:b/>
        </w:rPr>
        <w:t xml:space="preserve">sale</w:t>
      </w:r>
      <w:r>
        <w:t xml:space="preserve"> </w:t>
      </w:r>
      <w:r>
        <w:t xml:space="preserve">— the client asked for exactly this on 24 August and the package does not model it.</w:t>
      </w:r>
    </w:p>
    <w:p>
      <w:pPr>
        <w:pStyle w:val="BodyText"/>
      </w:pPr>
      <w:r>
        <w:rPr>
          <w:bCs/>
          <w:b/>
        </w:rPr>
        <w:t xml:space="preserve">What it needs</w:t>
      </w:r>
      <w:r>
        <w:t xml:space="preserve">: a catalogue replica or snapshot, a lease path that can serialise contention, and</w:t>
      </w:r>
      <w:r>
        <w:t xml:space="preserve"> </w:t>
      </w:r>
      <w:r>
        <w:rPr>
          <w:bCs/>
          <w:b/>
        </w:rPr>
        <w:t xml:space="preserve">a reconciliation route for its orders back into the permanent platform.</w:t>
      </w:r>
      <w:r>
        <w:t xml:space="preserve"> </w:t>
      </w:r>
      <w:r>
        <w:t xml:space="preserve">The last is the hard</w:t>
      </w:r>
      <w:r>
        <w:t xml:space="preserve"> </w:t>
      </w:r>
      <w:r>
        <w:t xml:space="preserve">part and has no design.</w:t>
      </w:r>
      <w:r>
        <w:t xml:space="preserve"> </w:t>
      </w:r>
      <w:r>
        <w:rPr>
          <w:bCs/>
          <w:b/>
        </w:rPr>
        <w:t xml:space="preserve">Same shape as offline sync, one layer up.</w:t>
      </w:r>
    </w:p>
    <w:p>
      <w:pPr>
        <w:pStyle w:val="BodyText"/>
      </w:pPr>
      <w:r>
        <w:rPr>
          <w:bCs/>
          <w:b/>
        </w:rPr>
        <w:t xml:space="preserve">What it does not need</w:t>
      </w:r>
      <w:r>
        <w:t xml:space="preserve">: Marketing, Reporting, Inventory, Maintenance, F&amp;B, Retail.</w:t>
      </w:r>
      <w:r>
        <w:t xml:space="preserve"> </w:t>
      </w:r>
      <w:r>
        <w:rPr>
          <w:bCs/>
          <w:b/>
        </w:rPr>
        <w:t xml:space="preserve">Six services</w:t>
      </w:r>
      <w:r>
        <w:rPr>
          <w:bCs/>
          <w:b/>
        </w:rPr>
        <w:t xml:space="preserve"> </w:t>
      </w:r>
      <w:r>
        <w:rPr>
          <w:bCs/>
          <w:b/>
        </w:rPr>
        <w:t xml:space="preserve">that see no part of a ticket sale.</w:t>
      </w:r>
    </w:p>
    <w:bookmarkEnd w:id="31"/>
    <w:bookmarkEnd w:id="32"/>
    <w:bookmarkStart w:id="33" w:name="the-benchmark-that-would-validate-this"/>
    <w:p>
      <w:pPr>
        <w:pStyle w:val="Heading2"/>
      </w:pPr>
      <w:r>
        <w:t xml:space="preserve">7 · The benchmark that would validate this</w:t>
      </w:r>
    </w:p>
    <w:p>
      <w:pPr>
        <w:pStyle w:val="FirstParagraph"/>
      </w:pPr>
      <w:r>
        <w:rPr>
          <w:bCs/>
          <w:b/>
        </w:rPr>
        <w:t xml:space="preserve">Run it when there is something to run it against.</w:t>
      </w:r>
      <w:r>
        <w:t xml:space="preserve"> </w:t>
      </w:r>
      <w:r>
        <w:t xml:space="preserve">The workload does not need inventing — it is</w:t>
      </w:r>
      <w:r>
        <w:t xml:space="preserve"> </w:t>
      </w:r>
      <w:r>
        <w:t xml:space="preserve">in the package.</w:t>
      </w:r>
    </w:p>
    <w:p>
      <w:pPr>
        <w:pStyle w:val="BodyText"/>
      </w:pPr>
      <w:r>
        <w:rPr>
          <w:bCs/>
          <w:b/>
        </w:rPr>
        <w:t xml:space="preserve">Request mix from the flows.</w:t>
      </w:r>
      <w:r>
        <w:t xml:space="preserve"> </w:t>
      </w:r>
      <w:r>
        <w:t xml:space="preserve">F58 a ticket sold at a till, F59 a seat picked and held, F61 a gate</w:t>
      </w:r>
      <w:r>
        <w:t xml:space="preserve"> </w:t>
      </w:r>
      <w:r>
        <w:t xml:space="preserve">admitting a group, F43 the concurrency case.</w:t>
      </w:r>
      <w:r>
        <w:t xml:space="preserve"> </w:t>
      </w:r>
      <w:r>
        <w:rPr>
          <w:bCs/>
          <w:b/>
        </w:rPr>
        <w:t xml:space="preserve">Those are the real sequences with the real operation</w:t>
      </w:r>
      <w:r>
        <w:rPr>
          <w:bCs/>
          <w:b/>
        </w:rPr>
        <w:t xml:space="preserve"> </w:t>
      </w:r>
      <w:r>
        <w:rPr>
          <w:bCs/>
          <w:b/>
        </w:rPr>
        <w:t xml:space="preserve">counts, already walked.</w:t>
      </w:r>
    </w:p>
    <w:p>
      <w:pPr>
        <w:pStyle w:val="BodyText"/>
      </w:pPr>
      <w:r>
        <w:rPr>
          <w:bCs/>
          <w:b/>
        </w:rPr>
        <w:t xml:space="preserve">Six patterns, and the fifth is the one that matters:</w:t>
      </w:r>
    </w:p>
    <w:p>
      <w:pPr>
        <w:pStyle w:val="BodyText"/>
      </w:pPr>
      <w:r>
        <w:t xml:space="preserve">steady · burst 2×–5× · venue-heavy · tenant-heavy ·</w:t>
      </w:r>
      <w:r>
        <w:t xml:space="preserve"> </w:t>
      </w:r>
      <w:r>
        <w:rPr>
          <w:bCs/>
          <w:b/>
        </w:rPr>
        <w:t xml:space="preserve">one venue generating disproportionate load</w:t>
      </w:r>
      <w:r>
        <w:t xml:space="preserve"> </w:t>
      </w:r>
      <w:r>
        <w:t xml:space="preserve">·</w:t>
      </w:r>
      <w:r>
        <w:t xml:space="preserve"> </w:t>
      </w:r>
      <w:r>
        <w:t xml:space="preserve">even.</w:t>
      </w:r>
    </w:p>
    <w:p>
      <w:pPr>
        <w:pStyle w:val="BodyText"/>
      </w:pPr>
      <w:r>
        <w:rPr>
          <w:bCs/>
          <w:b/>
        </w:rPr>
        <w:t xml:space="preserve">The fifth is the Bahrain case.</w:t>
      </w:r>
      <w:r>
        <w:t xml:space="preserve"> </w:t>
      </w:r>
      <w:r>
        <w:t xml:space="preserve">It is also the one that distinguishes the three topologies most</w:t>
      </w:r>
      <w:r>
        <w:t xml:space="preserve"> </w:t>
      </w:r>
      <w:r>
        <w:t xml:space="preserve">sharply, because it is where per-tenant isolation fails — one venue’s spike scales a whole tenant.</w:t>
      </w:r>
    </w:p>
    <w:p>
      <w:pPr>
        <w:pStyle w:val="BodyText"/>
      </w:pPr>
      <w:r>
        <w:rPr>
          <w:bCs/>
          <w:b/>
        </w:rPr>
        <w:t xml:space="preserve">Establish these constants, which nothing else can supply:</w:t>
      </w:r>
    </w:p>
    <w:p>
      <w:pPr>
        <w:pStyle w:val="BodyText"/>
      </w:pPr>
      <w:r>
        <w:t xml:space="preserve">RPS per instance at p95 under 200 ms · connections per instance under load · cache hit ratio on the</w:t>
      </w:r>
      <w:r>
        <w:t xml:space="preserve"> </w:t>
      </w:r>
      <w:r>
        <w:t xml:space="preserve">real key distribution ·</w:t>
      </w:r>
      <w:r>
        <w:t xml:space="preserve"> </w:t>
      </w:r>
      <w:r>
        <w:rPr>
          <w:bCs/>
          <w:b/>
        </w:rPr>
        <w:t xml:space="preserve">lease contention throughput on a single hot performance</w:t>
      </w:r>
      <w:r>
        <w:t xml:space="preserve"> </w:t>
      </w:r>
      <w:r>
        <w:t xml:space="preserve">· autoscale</w:t>
      </w:r>
      <w:r>
        <w:t xml:space="preserve"> </w:t>
      </w:r>
      <w:r>
        <w:t xml:space="preserve">reaction time from trigger to serving · cold start for each service image.</w:t>
      </w:r>
    </w:p>
    <w:p>
      <w:pPr>
        <w:pStyle w:val="BodyText"/>
      </w:pPr>
      <w:r>
        <w:rPr>
          <w:bCs/>
          <w:b/>
        </w:rPr>
        <w:t xml:space="preserve">The lease number is the one to get first.</w:t>
      </w:r>
      <w:r>
        <w:t xml:space="preserve"> </w:t>
      </w:r>
      <w:r>
        <w:t xml:space="preserve">Everything else is arithmetic once you have it; that</w:t>
      </w:r>
      <w:r>
        <w:t xml:space="preserve"> </w:t>
      </w:r>
      <w:r>
        <w:t xml:space="preserve">one is a property of the contention model and cannot be estimated from a per-instance figure.</w:t>
      </w:r>
    </w:p>
    <w:bookmarkEnd w:id="33"/>
    <w:bookmarkStart w:id="34" w:name="what-this-depends-on-that-is-still-open"/>
    <w:p>
      <w:pPr>
        <w:pStyle w:val="Heading2"/>
      </w:pPr>
      <w:r>
        <w:t xml:space="preserve">8 · What this depends on that is still open</w:t>
      </w:r>
    </w:p>
    <w:p>
      <w:pPr>
        <w:pStyle w:val="FirstParagraph"/>
      </w:pPr>
      <w:r>
        <w:rPr>
          <w:bCs/>
          <w:b/>
        </w:rPr>
        <w:t xml:space="preserve">CF-161</w:t>
      </w:r>
      <w:r>
        <w:t xml:space="preserve"> </w:t>
      </w:r>
      <w:r>
        <w:t xml:space="preserve">— one database per cell or one per service.</w:t>
      </w:r>
      <w:r>
        <w:t xml:space="preserve"> </w:t>
      </w:r>
      <w:r>
        <w:rPr>
          <w:bCs/>
          <w:b/>
        </w:rPr>
        <w:t xml:space="preserve">Open since 24 August, ADR-0028 still reads</w:t>
      </w:r>
      <w:r>
        <w:rPr>
          <w:bCs/>
          <w:b/>
        </w:rPr>
        <w:t xml:space="preserve"> </w:t>
      </w:r>
      <w:r>
        <w:rPr>
          <w:bCs/>
          <w:b/>
        </w:rPr>
        <w:t xml:space="preserve">Accepted, and it contradicts a client-facing recommendation.</w:t>
      </w:r>
      <w:r>
        <w:t xml:space="preserve"> </w:t>
      </w:r>
      <w:r>
        <w:t xml:space="preserve">Every instance count above assumes</w:t>
      </w:r>
      <w:r>
        <w:t xml:space="preserve"> </w:t>
      </w:r>
      <w:r>
        <w:t xml:space="preserve">shared-schema; per-service databases change the connection arithmetic entirely.</w:t>
      </w:r>
    </w:p>
    <w:p>
      <w:pPr>
        <w:pStyle w:val="BodyText"/>
      </w:pPr>
      <w:r>
        <w:rPr>
          <w:bCs/>
          <w:b/>
        </w:rPr>
        <w:t xml:space="preserve">CF-162</w:t>
      </w:r>
      <w:r>
        <w:t xml:space="preserve"> </w:t>
      </w:r>
      <w:r>
        <w:t xml:space="preserve">— the three scenarios.</w:t>
      </w:r>
      <w:r>
        <w:t xml:space="preserve"> </w:t>
      </w:r>
      <w:r>
        <w:rPr>
          <w:bCs/>
          <w:b/>
        </w:rPr>
        <w:t xml:space="preserve">This document is a partial answer to it</w:t>
      </w:r>
      <w:r>
        <w:t xml:space="preserve"> </w:t>
      </w:r>
      <w:r>
        <w:t xml:space="preserve">and should be attached</w:t>
      </w:r>
      <w:r>
        <w:t xml:space="preserve"> </w:t>
      </w:r>
      <w:r>
        <w:t xml:space="preserve">when it is closed.</w:t>
      </w:r>
    </w:p>
    <w:p>
      <w:pPr>
        <w:pStyle w:val="BodyText"/>
      </w:pPr>
      <w:r>
        <w:rPr>
          <w:bCs/>
          <w:b/>
        </w:rPr>
        <w:t xml:space="preserve">CF-64</w:t>
      </w:r>
      <w:r>
        <w:t xml:space="preserve"> </w:t>
      </w:r>
      <w:r>
        <w:t xml:space="preserve">— AWS or Azure, pending DESC.</w:t>
      </w:r>
      <w:r>
        <w:t xml:space="preserve"> </w:t>
      </w:r>
      <w:r>
        <w:rPr>
          <w:bCs/>
          <w:b/>
        </w:rPr>
        <w:t xml:space="preserve">Everything here is provider-neutral. Nothing below it can</w:t>
      </w:r>
      <w:r>
        <w:rPr>
          <w:bCs/>
          <w:b/>
        </w:rPr>
        <w:t xml:space="preserve"> </w:t>
      </w:r>
      <w:r>
        <w:rPr>
          <w:bCs/>
          <w:b/>
        </w:rPr>
        <w:t xml:space="preserve">be</w:t>
      </w:r>
      <w:r>
        <w:t xml:space="preserve">: managed Postgres sizing, the Redis tier, autoscale semantics and cost are all provider</w:t>
      </w:r>
      <w:r>
        <w:t xml:space="preserve"> </w:t>
      </w:r>
      <w:r>
        <w:t xml:space="preserve">choices, and</w:t>
      </w:r>
      <w:r>
        <w:t xml:space="preserve"> </w:t>
      </w:r>
      <w:r>
        <w:rPr>
          <w:bCs/>
          <w:b/>
        </w:rPr>
        <w:t xml:space="preserve">CF-64 also carries the RPO and RTO targets, which are stated nowhere.</w:t>
      </w:r>
    </w:p>
    <w:bookmarkEnd w:id="34"/>
    <w:bookmarkStart w:id="35" w:name="the-single-defensible-sentence"/>
    <w:p>
      <w:pPr>
        <w:pStyle w:val="Heading2"/>
      </w:pPr>
      <w:r>
        <w:t xml:space="preserve">The single defensible sentence</w:t>
      </w:r>
    </w:p>
    <w:p>
      <w:pPr>
        <w:pStyle w:val="FirstParagraph"/>
      </w:pPr>
      <w:r>
        <w:rPr>
          <w:bCs/>
          <w:b/>
        </w:rPr>
        <w:t xml:space="preserve">Scope where the data is confined and availability is local. Share where the load is a function of</w:t>
      </w:r>
      <w:r>
        <w:rPr>
          <w:bCs/>
          <w:b/>
        </w:rPr>
        <w:t xml:space="preserve"> </w:t>
      </w:r>
      <w:r>
        <w:rPr>
          <w:bCs/>
          <w:b/>
        </w:rPr>
        <w:t xml:space="preserve">requests rather than of how many venues or tenants exist. Place at region where the law does.</w:t>
      </w:r>
    </w:p>
    <w:p>
      <w:pPr>
        <w:pStyle w:val="BodyText"/>
      </w:pPr>
      <w:r>
        <w:rPr>
          <w:bCs/>
          <w:b/>
        </w:rPr>
        <w:t xml:space="preserve">Four services scale on traffic. Four sit at the venue because they must keep working without a</w:t>
      </w:r>
      <w:r>
        <w:rPr>
          <w:bCs/>
          <w:b/>
        </w:rPr>
        <w:t xml:space="preserve"> </w:t>
      </w:r>
      <w:r>
        <w:rPr>
          <w:bCs/>
          <w:b/>
        </w:rPr>
        <w:t xml:space="preserve">network. Two sit at the tenant because their data is a tenant’s. Two sit at the region because</w:t>
      </w:r>
      <w:r>
        <w:rPr>
          <w:bCs/>
          <w:b/>
        </w:rPr>
        <w:t xml:space="preserve"> </w:t>
      </w:r>
      <w:r>
        <w:rPr>
          <w:bCs/>
          <w:b/>
        </w:rPr>
        <w:t xml:space="preserve">currency and law do. Four are shared because everything reads them.</w:t>
      </w:r>
    </w:p>
    <w:p>
      <w:pPr>
        <w:pStyle w:val="BodyText"/>
      </w:pPr>
      <w:r>
        <w:rPr>
          <w:bCs/>
          <w:b/>
        </w:rPr>
        <w:t xml:space="preserve">Nothing here needs a benchmark to decide. The benchmark decides how many, not where.</w:t>
      </w:r>
    </w:p>
    <w:bookmarkEnd w:id="35"/>
    <w:bookmarkEnd w:id="36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2026-09-01T03:02:52Z</dcterms:created>
  <dcterms:modified xsi:type="dcterms:W3CDTF">2026-09-01T03:02:52Z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