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" ContentType="application/octet-stream"/>
  <Override PartName="/word/media/0945e3337fa8c14055445d9d977aecceabf118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after="480" w:before="720"/>
        <w:jc w:val="center"/>
      </w:pPr>
      <w:r>
        <w:drawing>
          <wp:inline distT="0" distB="0" distL="0" distR="0">
            <wp:extent cx="3048000" cy="1362075"/>
            <wp:effectExtent t="0" r="0" b="0" l="0"/>
            <wp:docPr id="1" name="logo" descr="Softlabs Group Ainfinite" title="Softlabs 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0F6E56" w:sz="14" w:space="1"/>
        </w:pBdr>
        <w:jc w:val="center"/>
      </w:pPr>
    </w:p>
    <w:p>
      <w:pPr>
        <w:spacing w:after="0" w:before="480"/>
      </w:pP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B2A4A"/>
          <w:sz w:val="80"/>
          <w:szCs w:val="80"/>
        </w:rPr>
        <w:t xml:space="preserve">TICVAI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F6E56"/>
          <w:sz w:val="48"/>
          <w:szCs w:val="48"/>
        </w:rPr>
        <w:t xml:space="preserve">Three Deployment Scenarios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CF-162 — independent, shared, and flash sale</w:t>
      </w:r>
    </w:p>
    <w:p>
      <w:pPr>
        <w:spacing w:after="0" w:before="360"/>
      </w:pPr>
    </w:p>
    <w:p>
      <w:pPr>
        <w:pBdr>
          <w:bottom w:val="single" w:color="0F6E56" w:sz="14" w:space="1"/>
        </w:pBdr>
        <w:jc w:val="center"/>
      </w:pPr>
    </w:p>
    <w:p>
      <w:pPr>
        <w:spacing w:after="0" w:before="320"/>
      </w:pP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Submitted to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Miracle Star Trading L.L.C.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Dubai, United Arab Emirates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Submitted by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Softlabs Group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Softlabs Technologies And Development Pvt. Ltd.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Mumbai, India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24 August 2026  —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Design Package  —  Version 1.0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120"/>
      </w:pPr>
    </w:p>
    <w:p>
      <w:pPr>
        <w:jc w:val="center"/>
      </w:pPr>
      <w:r>
        <w:rPr>
          <w:rFonts w:ascii="Arial" w:cs="Arial" w:eastAsia="Arial" w:hAnsi="Arial"/>
          <w:b/>
          <w:bCs/>
          <w:color w:val="BA7517"/>
          <w:sz w:val="22"/>
          <w:szCs w:val="22"/>
        </w:rPr>
        <w:t xml:space="preserve">CONFIDENTIAL</w:t>
      </w:r>
    </w:p>
    <w:p>
      <w:r>
        <w:br w:type="page"/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“</w:t>
      </w:r>
      <w:r>
        <w:t xml:space="preserve">TICVAI — Three deployment scenarios</w:t>
      </w:r>
      <w:r>
        <w:t xml:space="preserve">”</w:t>
      </w:r>
      <w:r>
        <w:t xml:space="preserve"> </w:t>
      </w:r>
      <w:r>
        <w:t xml:space="preserve">toc: true</w:t>
      </w:r>
    </w:p>
    <w:bookmarkStart w:id="32" w:name="three-deployment-scenarios-cf-162"/>
    <w:p>
      <w:pPr>
        <w:pStyle w:val="Heading1"/>
      </w:pPr>
      <w:r>
        <w:t xml:space="preserve">Three deployment scenarios — CF-162</w:t>
      </w:r>
    </w:p>
    <w:p>
      <w:pPr>
        <w:pStyle w:val="FirstParagraph"/>
      </w:pPr>
      <w:r>
        <w:rPr>
          <w:bCs/>
          <w:b/>
        </w:rPr>
        <w:t xml:space="preserve">Requested by the client on 24 August</w:t>
      </w:r>
      <w:r>
        <w:t xml:space="preserve">, each with an architecture, autoscaling behaviour and</w:t>
      </w:r>
      <w:r>
        <w:t xml:space="preserve"> </w:t>
      </w:r>
      <w:r>
        <w:t xml:space="preserve">failure handling.</w:t>
      </w:r>
      <w:r>
        <w:t xml:space="preserve"> </w:t>
      </w:r>
      <w:r>
        <w:rPr>
          <w:bCs/>
          <w:b/>
        </w:rPr>
        <w:t xml:space="preserve">Open since.</w:t>
      </w:r>
    </w:p>
    <w:p>
      <w:pPr>
        <w:pStyle w:val="BodyText"/>
      </w:pPr>
      <w:r>
        <w:rPr>
          <w:bCs/>
          <w:b/>
        </w:rPr>
        <w:t xml:space="preserve">Runnable configurations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deploy/</w:t>
      </w:r>
      <w:r>
        <w:rPr>
          <w:bCs/>
          <w:b/>
        </w:rPr>
        <w:t xml:space="preserve">.</w:t>
      </w:r>
      <w:r>
        <w:t xml:space="preserve"> </w:t>
      </w:r>
      <w:r>
        <w:t xml:space="preserve">Numbers below are sizing hypotheses with a named way to</w:t>
      </w:r>
      <w:r>
        <w:t xml:space="preserve"> </w:t>
      </w:r>
      <w:r>
        <w:t xml:space="preserve">falsify each one —</w:t>
      </w:r>
      <w:r>
        <w:t xml:space="preserve"> </w:t>
      </w:r>
      <w:r>
        <w:rPr>
          <w:rStyle w:val="VerbatimChar"/>
        </w:rPr>
        <w:t xml:space="preserve">tools/bench.py</w:t>
      </w:r>
      <w:r>
        <w:t xml:space="preserve"> </w:t>
      </w:r>
      <w:r>
        <w:t xml:space="preserve">is the way.</w:t>
      </w:r>
    </w:p>
    <w:bookmarkStart w:id="20" w:name="the-number-that-decides-all-three"/>
    <w:p>
      <w:pPr>
        <w:pStyle w:val="Heading2"/>
      </w:pPr>
      <w:r>
        <w:t xml:space="preserve">The number that decides all three</w:t>
      </w:r>
    </w:p>
    <w:p>
      <w:pPr>
        <w:pStyle w:val="FirstParagraph"/>
      </w:pPr>
      <w:r>
        <w:rPr>
          <w:bCs/>
          <w:b/>
        </w:rPr>
        <w:t xml:space="preserve">250,000 requests a day is 2.9 per second. Five thousand per second is 1,700 times that.</w:t>
      </w:r>
    </w:p>
    <w:p>
      <w:pPr>
        <w:pStyle w:val="BodyText"/>
      </w:pPr>
      <w:r>
        <w:rPr>
          <w:bCs/>
          <w:b/>
        </w:rPr>
        <w:t xml:space="preserve">At 5k RPS the entire daily volume arrives in fifty seconds.</w:t>
      </w:r>
    </w:p>
    <w:p>
      <w:pPr>
        <w:pStyle w:val="BodyText"/>
      </w:pPr>
      <w:r>
        <w:t xml:space="preserve">Every scale in the brief — 10k through 250k — sits between 0.1 and 2.9 RPS at steady state.</w:t>
      </w:r>
      <w:r>
        <w:t xml:space="preserve"> </w:t>
      </w:r>
      <w:r>
        <w:rPr>
          <w:bCs/>
          <w:b/>
        </w:rPr>
        <w:t xml:space="preserve">Daily</w:t>
      </w:r>
      <w:r>
        <w:rPr>
          <w:bCs/>
          <w:b/>
        </w:rPr>
        <w:t xml:space="preserve"> </w:t>
      </w:r>
      <w:r>
        <w:rPr>
          <w:bCs/>
          <w:b/>
        </w:rPr>
        <w:t xml:space="preserve">volume sizes nothing.</w:t>
      </w:r>
      <w:r>
        <w:t xml:space="preserve"> </w:t>
      </w:r>
      <w:r>
        <w:t xml:space="preserve">The burst does, and the burst is not a bigger version of the day.</w:t>
      </w:r>
    </w:p>
    <w:bookmarkEnd w:id="20"/>
    <w:bookmarkStart w:id="21" w:name="a-independent-tenant-18-containers"/>
    <w:p>
      <w:pPr>
        <w:pStyle w:val="Heading2"/>
      </w:pPr>
      <w:r>
        <w:t xml:space="preserve">(a) Independent tenant — 18 containers</w:t>
      </w:r>
    </w:p>
    <w:p>
      <w:pPr>
        <w:pStyle w:val="FirstParagraph"/>
      </w:pPr>
      <w:r>
        <w:rPr>
          <w:bCs/>
          <w:b/>
        </w:rPr>
        <w:t xml:space="preserve">One tenant, one database, one of everything.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Right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tenant who requires isolation contractually · a tenant alone in a jurisdiction · one large enough that its own load justifies the stack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Wrong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Everybody else.</w:t>
            </w:r>
            <w:r>
              <w:t xml:space="preserve"> </w:t>
            </w:r>
            <w:r>
              <w:rPr>
                <w:bCs/>
                <w:b/>
              </w:rPr>
              <w:t xml:space="preserve">100–200 tenants this way is 3,000 containers</w:t>
            </w:r>
            <w:r>
              <w:t xml:space="preserve"> </w:t>
            </w:r>
            <w:r>
              <w:t xml:space="preserve">against 2.9 RPS each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Blast radius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tenant. A failure takes them down and nobody else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Vertical first. Horizontal means a second stack, which is scenario (b)</w:t>
            </w:r>
          </w:p>
        </w:tc>
      </w:tr>
    </w:tbl>
    <w:p>
      <w:pPr>
        <w:pStyle w:val="BodyText"/>
      </w:pPr>
      <w:r>
        <w:rPr>
          <w:bCs/>
          <w:b/>
        </w:rPr>
        <w:t xml:space="preserve">Postgres 2 CPU / 4 GB,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max_connections=200</w:t>
      </w:r>
      <w:r>
        <w:rPr>
          <w:bCs/>
          <w:b/>
        </w:rPr>
        <w:t xml:space="preserve">.</w:t>
      </w:r>
      <w:r>
        <w:t xml:space="preserve"> </w:t>
      </w:r>
      <w:r>
        <w:t xml:space="preserve">Redis 1 GB. Every service one replica.</w:t>
      </w:r>
    </w:p>
    <w:p>
      <w:pPr>
        <w:pStyle w:val="BodyText"/>
      </w:pPr>
      <w:r>
        <w:rPr>
          <w:bCs/>
          <w:b/>
        </w:rPr>
        <w:t xml:space="preserve">Autoscale: none.</w:t>
      </w:r>
      <w:r>
        <w:t xml:space="preserve"> </w:t>
      </w:r>
      <w:r>
        <w:t xml:space="preserve">At 2.9 RPS there is nothing to scale on, and a replica that never activates is</w:t>
      </w:r>
      <w:r>
        <w:t xml:space="preserve"> </w:t>
      </w:r>
      <w:r>
        <w:t xml:space="preserve">a cost with no purpose.</w:t>
      </w:r>
    </w:p>
    <w:p>
      <w:pPr>
        <w:pStyle w:val="BodyText"/>
      </w:pPr>
      <w:r>
        <w:rPr>
          <w:bCs/>
          <w:b/>
        </w:rPr>
        <w:t xml:space="preserve">Expected p95 200 ms read, 400 ms order.</w:t>
      </w:r>
      <w:r>
        <w:t xml:space="preserve"> </w:t>
      </w:r>
      <w:r>
        <w:t xml:space="preserve">If it is worse than that at this load, the problem is</w:t>
      </w:r>
      <w:r>
        <w:t xml:space="preserve"> </w:t>
      </w:r>
      <w:r>
        <w:t xml:space="preserve">the query and not the topology.</w:t>
      </w:r>
    </w:p>
    <w:bookmarkEnd w:id="21"/>
    <w:bookmarkStart w:id="24" w:name="b-shared-platform-27-containers"/>
    <w:p>
      <w:pPr>
        <w:pStyle w:val="Heading2"/>
      </w:pPr>
      <w:r>
        <w:t xml:space="preserve">(b) Shared platform — 27 containers</w:t>
      </w:r>
    </w:p>
    <w:p>
      <w:pPr>
        <w:pStyle w:val="FirstParagraph"/>
      </w:pPr>
      <w:r>
        <w:rPr>
          <w:bCs/>
          <w:b/>
        </w:rPr>
        <w:t xml:space="preserve">The hybrid placement, sized for many tenants in one cell.</w:t>
      </w:r>
      <w:r>
        <w:t xml:space="preserve"> </w:t>
      </w:r>
      <w:r>
        <w:t xml:space="preserve">This is the default and should be.</w:t>
      </w:r>
    </w:p>
    <w:p>
      <w:pPr>
        <w:pStyle w:val="BodyText"/>
      </w:pPr>
      <w:r>
        <w:rPr>
          <w:bCs/>
          <w:b/>
        </w:rPr>
        <w:t xml:space="preserve">Shared and autoscaled</w:t>
      </w:r>
      <w:r>
        <w:t xml:space="preserve"> </w:t>
      </w:r>
      <w:r>
        <w:t xml:space="preserve">— Catalogue 4–20, Order 4–16, Identity 3–8, Access 2–6.</w:t>
      </w:r>
      <w:r>
        <w:t xml:space="preserve"> </w:t>
      </w:r>
      <w:r>
        <w:rPr>
          <w:bCs/>
          <w:b/>
        </w:rPr>
        <w:t xml:space="preserve">Their load is a</w:t>
      </w:r>
      <w:r>
        <w:rPr>
          <w:bCs/>
          <w:b/>
        </w:rPr>
        <w:t xml:space="preserve"> </w:t>
      </w:r>
      <w:r>
        <w:rPr>
          <w:bCs/>
          <w:b/>
        </w:rPr>
        <w:t xml:space="preserve">function of requests.</w:t>
      </w:r>
    </w:p>
    <w:p>
      <w:pPr>
        <w:pStyle w:val="BodyText"/>
      </w:pPr>
      <w:r>
        <w:rPr>
          <w:bCs/>
          <w:b/>
        </w:rPr>
        <w:t xml:space="preserve">At the venue</w:t>
      </w:r>
      <w:r>
        <w:t xml:space="preserve"> </w:t>
      </w:r>
      <w:r>
        <w:t xml:space="preserve">— F&amp;B, Inventory, Retail, VenueOps, one per venue.</w:t>
      </w:r>
      <w:r>
        <w:t xml:space="preserve"> </w:t>
      </w:r>
      <w:r>
        <w:rPr>
          <w:bCs/>
          <w:b/>
        </w:rPr>
        <w:t xml:space="preserve">123 of their operations work</w:t>
      </w:r>
      <w:r>
        <w:rPr>
          <w:bCs/>
          <w:b/>
        </w:rPr>
        <w:t xml:space="preserve"> </w:t>
      </w:r>
      <w:r>
        <w:rPr>
          <w:bCs/>
          <w:b/>
        </w:rPr>
        <w:t xml:space="preserve">offline</w:t>
      </w:r>
      <w:r>
        <w:t xml:space="preserve">, and a shared service cannot be locally available. A kitchen also runs at the speed of a</w:t>
      </w:r>
      <w:r>
        <w:t xml:space="preserve"> </w:t>
      </w:r>
      <w:r>
        <w:t xml:space="preserve">kitchen: no spike makes food faster.</w:t>
      </w:r>
    </w:p>
    <w:p>
      <w:pPr>
        <w:pStyle w:val="BodyText"/>
      </w:pPr>
      <w:r>
        <w:rPr>
          <w:bCs/>
          <w:b/>
        </w:rPr>
        <w:t xml:space="preserve">At the region</w:t>
      </w:r>
      <w:r>
        <w:t xml:space="preserve"> </w:t>
      </w:r>
      <w:r>
        <w:t xml:space="preserve">— Ledger and CrossRegion.</w:t>
      </w:r>
      <w:r>
        <w:t xml:space="preserve"> </w:t>
      </w:r>
      <w:r>
        <w:rPr>
          <w:bCs/>
          <w:b/>
        </w:rPr>
        <w:t xml:space="preserve">Currency, fiscal year and tax are region properties</w:t>
      </w:r>
      <w:r>
        <w:t xml:space="preserve"> </w:t>
      </w:r>
      <w:r>
        <w:t xml:space="preserve">(ADR-0018), and region is neither tenant nor venue.</w:t>
      </w:r>
    </w:p>
    <w:bookmarkStart w:id="22" w:name="pgbouncer-is-not-optional-here"/>
    <w:p>
      <w:pPr>
        <w:pStyle w:val="Heading3"/>
      </w:pPr>
      <w:r>
        <w:t xml:space="preserve">pgbouncer is not optional here</w:t>
      </w:r>
    </w:p>
    <w:p>
      <w:pPr>
        <w:pStyle w:val="FirstParagraph"/>
      </w:pPr>
      <w:r>
        <w:rPr>
          <w:bCs/>
          <w:b/>
        </w:rPr>
        <w:t xml:space="preserve">20 Catalogue replicas at 20 connections each is 400 against a primary that will not want them.</w:t>
      </w:r>
      <w:r>
        <w:t xml:space="preserve"> </w:t>
      </w:r>
      <w:r>
        <w:t xml:space="preserve">Transaction pooling is what makes horizontal scaling of the shared tier possible at all — without</w:t>
      </w:r>
      <w:r>
        <w:t xml:space="preserve"> </w:t>
      </w:r>
      <w:r>
        <w:t xml:space="preserve">it the shared tier stops scaling at about six replicas and the bottleneck looks like the database.</w:t>
      </w:r>
    </w:p>
    <w:p>
      <w:pPr>
        <w:pStyle w:val="BodyText"/>
      </w:pPr>
      <w:r>
        <w:rPr>
          <w:bCs/>
          <w:b/>
        </w:rPr>
        <w:t xml:space="preserve">Postgres 8 CPU / 16 GB,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max_connections=500</w:t>
      </w:r>
      <w:r>
        <w:rPr>
          <w:bCs/>
          <w:b/>
        </w:rPr>
        <w:t xml:space="preserve"> </w:t>
      </w:r>
      <w:r>
        <w:rPr>
          <w:bCs/>
          <w:b/>
        </w:rPr>
        <w:t xml:space="preserve">behind the pooler.</w:t>
      </w:r>
      <w:r>
        <w:t xml:space="preserve"> </w:t>
      </w:r>
      <w:r>
        <w:t xml:space="preserve">Redis 8 GB.</w:t>
      </w:r>
    </w:p>
    <w:bookmarkEnd w:id="22"/>
    <w:bookmarkStart w:id="23" w:name="the-trade-stated-rather-than-assumed"/>
    <w:p>
      <w:pPr>
        <w:pStyle w:val="Heading3"/>
      </w:pPr>
      <w:r>
        <w:t xml:space="preserve">The trade, stated rather than assumed</w:t>
      </w:r>
    </w:p>
    <w:p>
      <w:pPr>
        <w:pStyle w:val="FirstParagraph"/>
      </w:pPr>
      <w:r>
        <w:rPr>
          <w:bCs/>
          <w:b/>
        </w:rPr>
        <w:t xml:space="preserve">Blast radius is the cell — every tenant in it.</w:t>
      </w:r>
      <w:r>
        <w:t xml:space="preserve"> </w:t>
      </w:r>
      <w:r>
        <w:t xml:space="preserve">Mitigated by</w:t>
      </w:r>
      <w:r>
        <w:t xml:space="preserve"> </w:t>
      </w:r>
      <w:r>
        <w:rPr>
          <w:rStyle w:val="VerbatimChar"/>
        </w:rPr>
        <w:t xml:space="preserve">scope_path</w:t>
      </w:r>
      <w:r>
        <w:t xml:space="preserve"> </w:t>
      </w:r>
      <w:r>
        <w:t xml:space="preserve">partitioning, which is</w:t>
      </w:r>
      <w:r>
        <w:t xml:space="preserve"> </w:t>
      </w:r>
      <w:r>
        <w:t xml:space="preserve">correctness rather than isolation: a bug reaches one tenant’s rows, an outage reaches all of them.</w:t>
      </w:r>
    </w:p>
    <w:p>
      <w:pPr>
        <w:pStyle w:val="BodyText"/>
      </w:pPr>
      <w:r>
        <w:rPr>
          <w:bCs/>
          <w:b/>
        </w:rPr>
        <w:t xml:space="preserve">That belongs in a tenant contract</w:t>
      </w:r>
      <w:r>
        <w:t xml:space="preserve">, not in an architecture document nobody reads.</w:t>
      </w:r>
    </w:p>
    <w:bookmarkEnd w:id="23"/>
    <w:bookmarkEnd w:id="24"/>
    <w:bookmarkStart w:id="28" w:name="X89807c161e31c79cb049d7c797dbb3acb1cac94"/>
    <w:p>
      <w:pPr>
        <w:pStyle w:val="Heading2"/>
      </w:pPr>
      <w:r>
        <w:t xml:space="preserve">(c) Flash sale — 6 containers, and most of the platform absent</w:t>
      </w:r>
    </w:p>
    <w:p>
      <w:pPr>
        <w:pStyle w:val="FirstParagraph"/>
      </w:pPr>
      <w:r>
        <w:rPr>
          <w:bCs/>
          <w:b/>
        </w:rPr>
        <w:t xml:space="preserve">Three services, not sixteen.</w:t>
      </w:r>
    </w:p>
    <w:p>
      <w:pPr>
        <w:pStyle w:val="BodyText"/>
      </w:pPr>
      <w:r>
        <w:rPr>
          <w:bCs/>
          <w:b/>
        </w:rPr>
        <w:t xml:space="preserve">The burst path is eleven operations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listProducts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getProduct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listPerformances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getAvailability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acquireInventoryHold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createSeatHold</w:t>
      </w:r>
      <w:r>
        <w:t xml:space="preserve">,</w:t>
      </w:r>
      <w:r>
        <w:t xml:space="preserve"> </w:t>
      </w:r>
      <w:r>
        <w:rPr>
          <w:rStyle w:val="VerbatimChar"/>
        </w:rPr>
        <w:t xml:space="preserve">addCartLine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evaluatePromotions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getCart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createPayment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across Catalogue and Order, plus authentication.</w:t>
      </w:r>
    </w:p>
    <w:p>
      <w:pPr>
        <w:pStyle w:val="BodyText"/>
      </w:pPr>
      <w:r>
        <w:rPr>
          <w:bCs/>
          <w:b/>
        </w:rPr>
        <w:t xml:space="preserve">Marketing, Reporting, Inventory, F&amp;B, Retail, Maintenance, VenueOps, WhiteLabel and AI see no</w:t>
      </w:r>
      <w:r>
        <w:rPr>
          <w:bCs/>
          <w:b/>
        </w:rPr>
        <w:t xml:space="preserve"> </w:t>
      </w:r>
      <w:r>
        <w:rPr>
          <w:bCs/>
          <w:b/>
        </w:rPr>
        <w:t xml:space="preserve">part of a ticket sale and are not deployed.</w:t>
      </w:r>
    </w:p>
    <w:p>
      <w:pPr>
        <w:pStyle w:val="BodyText"/>
      </w:pPr>
      <w:r>
        <w:rPr>
          <w:bCs/>
          <w:b/>
        </w:rPr>
        <w:t xml:space="preserve">17 tables of 380.</w:t>
      </w:r>
    </w:p>
    <w:p>
      <w:pPr>
        <w:pStyle w:val="SourceCode"/>
      </w:pPr>
      <w:r>
        <w:rPr>
          <w:rStyle w:val="VerbatimChar"/>
        </w:rPr>
        <w:t xml:space="preserve">catalogue.product · variant · performance · channel_capacity · price_list · inventory_hold</w:t>
      </w:r>
      <w:r>
        <w:br/>
      </w:r>
      <w:r>
        <w:rPr>
          <w:rStyle w:val="VerbatimChar"/>
        </w:rPr>
        <w:t xml:space="preserve">orders.cart · cart_line · sales_order · order_line · payment</w:t>
      </w:r>
      <w:r>
        <w:br/>
      </w:r>
      <w:r>
        <w:rPr>
          <w:rStyle w:val="VerbatimChar"/>
        </w:rPr>
        <w:t xml:space="preserve">seating.seat_hold · promotions.promotion</w:t>
      </w:r>
      <w:r>
        <w:br/>
      </w:r>
      <w:r>
        <w:rPr>
          <w:rStyle w:val="VerbatimChar"/>
        </w:rPr>
        <w:t xml:space="preserve">ledger.fx_rate · journal_entry · posting · platform.workstation</w:t>
      </w:r>
    </w:p>
    <w:p>
      <w:pPr>
        <w:pStyle w:val="FirstParagraph"/>
      </w:pPr>
      <w:r>
        <w:rPr>
          <w:bCs/>
          <w:b/>
        </w:rPr>
        <w:t xml:space="preserve">Catalogue 20 replicas, Order 16, Identity 6.</w:t>
      </w:r>
      <w:r>
        <w:t xml:space="preserve"> </w:t>
      </w:r>
      <w:r>
        <w:t xml:space="preserve">Postgres 16 CPU / 32 GB with</w:t>
      </w:r>
      <w:r>
        <w:t xml:space="preserve"> </w:t>
      </w:r>
      <w:r>
        <w:rPr>
          <w:rStyle w:val="VerbatimChar"/>
        </w:rPr>
        <w:t xml:space="preserve">synchronous_commit=off</w:t>
      </w:r>
      <w:r>
        <w:t xml:space="preserve">. pgbouncer at 5,000 client connections.</w:t>
      </w:r>
    </w:p>
    <w:bookmarkStart w:id="25" w:name="Xed696a085aab550f4db977403a8534a684fad1b"/>
    <w:p>
      <w:pPr>
        <w:pStyle w:val="Heading3"/>
      </w:pPr>
      <w:r>
        <w:rPr>
          <w:rStyle w:val="VerbatimChar"/>
        </w:rPr>
        <w:t xml:space="preserve">synchronous_commit=off</w:t>
      </w:r>
      <w:r>
        <w:t xml:space="preserve"> </w:t>
      </w:r>
      <w:r>
        <w:t xml:space="preserve">is a decision, not a flag</w:t>
      </w:r>
    </w:p>
    <w:p>
      <w:pPr>
        <w:pStyle w:val="FirstParagraph"/>
      </w:pPr>
      <w:r>
        <w:rPr>
          <w:bCs/>
          <w:b/>
        </w:rPr>
        <w:t xml:space="preserve">A crash loses the last few milliseconds of commits.</w:t>
      </w:r>
      <w:r>
        <w:t xml:space="preserve"> </w:t>
      </w:r>
      <w:r>
        <w:t xml:space="preserve">For a sale lasting fifty seconds that</w:t>
      </w:r>
      <w:r>
        <w:t xml:space="preserve"> </w:t>
      </w:r>
      <w:r>
        <w:t xml:space="preserve">reconciles afterwards, the throughput is worth more than the durability window.</w:t>
      </w:r>
    </w:p>
    <w:p>
      <w:pPr>
        <w:pStyle w:val="BodyText"/>
      </w:pPr>
      <w:r>
        <w:rPr>
          <w:bCs/>
          <w:b/>
        </w:rPr>
        <w:t xml:space="preserve">It must be somebody’s decision.</w:t>
      </w:r>
      <w:r>
        <w:t xml:space="preserve"> </w:t>
      </w:r>
      <w:r>
        <w:t xml:space="preserve">Copied from a tuning guide it is a data-loss bug waiting for an</w:t>
      </w:r>
      <w:r>
        <w:t xml:space="preserve"> </w:t>
      </w:r>
      <w:r>
        <w:t xml:space="preserve">incident review.</w:t>
      </w:r>
    </w:p>
    <w:bookmarkEnd w:id="25"/>
    <w:bookmarkStart w:id="26" w:name="acquireinventoryhold-is-where-this-fails"/>
    <w:p>
      <w:pPr>
        <w:pStyle w:val="Heading3"/>
      </w:pPr>
      <w:r>
        <w:t xml:space="preserve">🔴</w:t>
      </w:r>
      <w:r>
        <w:t xml:space="preserve"> </w:t>
      </w:r>
      <w:r>
        <w:rPr>
          <w:rStyle w:val="VerbatimChar"/>
        </w:rPr>
        <w:t xml:space="preserve">acquireInventoryHold</w:t>
      </w:r>
      <w:r>
        <w:t xml:space="preserve"> </w:t>
      </w:r>
      <w:r>
        <w:t xml:space="preserve">is where this fails</w:t>
      </w:r>
    </w:p>
    <w:p>
      <w:pPr>
        <w:pStyle w:val="FirstParagraph"/>
      </w:pPr>
      <w:r>
        <w:rPr>
          <w:bCs/>
          <w:b/>
        </w:rPr>
        <w:t xml:space="preserve">Every buyer wants the same rows.</w:t>
      </w:r>
      <w:r>
        <w:t xml:space="preserve"> </w:t>
      </w:r>
      <w:r>
        <w:t xml:space="preserve">The lease path serialises on contention, and</w:t>
      </w:r>
      <w:r>
        <w:t xml:space="preserve"> </w:t>
      </w:r>
      <w:r>
        <w:rPr>
          <w:bCs/>
          <w:b/>
        </w:rPr>
        <w:t xml:space="preserve">no amount of</w:t>
      </w:r>
      <w:r>
        <w:rPr>
          <w:bCs/>
          <w:b/>
        </w:rPr>
        <w:t xml:space="preserve"> </w:t>
      </w:r>
      <w:r>
        <w:rPr>
          <w:bCs/>
          <w:b/>
        </w:rPr>
        <w:t xml:space="preserve">horizontal scaling helps a contended row</w:t>
      </w:r>
      <w:r>
        <w:t xml:space="preserve"> </w:t>
      </w:r>
      <w:r>
        <w:t xml:space="preserve">— twenty Catalogue replicas all queue behind the same</w:t>
      </w:r>
      <w:r>
        <w:t xml:space="preserve"> </w:t>
      </w:r>
      <w:r>
        <w:t xml:space="preserve">lock.</w:t>
      </w:r>
    </w:p>
    <w:p>
      <w:pPr>
        <w:pStyle w:val="BodyText"/>
      </w:pPr>
      <w:r>
        <w:rPr>
          <w:bCs/>
          <w:b/>
        </w:rPr>
        <w:t xml:space="preserve">Load-test this before anything else.</w:t>
      </w:r>
      <w:r>
        <w:t xml:space="preserve"> </w:t>
      </w:r>
      <w:r>
        <w:t xml:space="preserve">It is the only number that decides whether the scenario</w:t>
      </w:r>
      <w:r>
        <w:t xml:space="preserve"> </w:t>
      </w:r>
      <w:r>
        <w:t xml:space="preserve">works, and it cannot be estimated from a per-instance figure.</w:t>
      </w:r>
    </w:p>
    <w:bookmarkEnd w:id="26"/>
    <w:bookmarkStart w:id="27" w:name="X75de19f57fcca599e485c0c61546fa5c593de05"/>
    <w:p>
      <w:pPr>
        <w:pStyle w:val="Heading3"/>
      </w:pPr>
      <w:r>
        <w:t xml:space="preserve">🔴 And the reconciliation route back has no design</w:t>
      </w:r>
    </w:p>
    <w:p>
      <w:pPr>
        <w:pStyle w:val="FirstParagraph"/>
      </w:pPr>
      <w:r>
        <w:rPr>
          <w:bCs/>
          <w:b/>
        </w:rPr>
        <w:t xml:space="preserve">Orders taken in an ephemeral environment have to land in the permanent platform afterwards.</w:t>
      </w:r>
      <w:r>
        <w:t xml:space="preserve"> </w:t>
      </w:r>
      <w:r>
        <w:t xml:space="preserve">Nothing in the package models it, and it is the open half of CF-162.</w:t>
      </w:r>
    </w:p>
    <w:p>
      <w:pPr>
        <w:pStyle w:val="BodyText"/>
      </w:pPr>
      <w:r>
        <w:rPr>
          <w:bCs/>
          <w:b/>
        </w:rPr>
        <w:t xml:space="preserve">The shape is already in the package one layer down.</w:t>
      </w:r>
      <w:r>
        <w:t xml:space="preserve"> </w:t>
      </w:r>
      <w:r>
        <w:rPr>
          <w:rStyle w:val="VerbatimChar"/>
        </w:rPr>
        <w:t xml:space="preserve">syncOrders</w:t>
      </w:r>
      <w:r>
        <w:t xml:space="preserve"> </w:t>
      </w:r>
      <w:r>
        <w:t xml:space="preserve">reconciles a till’s offline</w:t>
      </w:r>
      <w:r>
        <w:t xml:space="preserve"> </w:t>
      </w:r>
      <w:r>
        <w:t xml:space="preserve">journal: a device id, a monotonic sequence, idempotent replay, and</w:t>
      </w:r>
      <w:r>
        <w:t xml:space="preserve"> </w:t>
      </w:r>
      <w:r>
        <w:rPr>
          <w:rStyle w:val="VerbatimChar"/>
        </w:rPr>
        <w:t xml:space="preserve">sync.rejection</w:t>
      </w:r>
      <w:r>
        <w:t xml:space="preserve"> </w:t>
      </w:r>
      <w:r>
        <w:t xml:space="preserve">for what will</w:t>
      </w:r>
      <w:r>
        <w:t xml:space="preserve"> </w:t>
      </w:r>
      <w:r>
        <w:t xml:space="preserve">not apply —</w:t>
      </w:r>
      <w:r>
        <w:t xml:space="preserve"> </w:t>
      </w:r>
      <w:r>
        <w:rPr>
          <w:iCs/>
          <w:i/>
        </w:rPr>
        <w:t xml:space="preserve">kept, because a till that loses a rejected sale silently is worse than one that</w:t>
      </w:r>
      <w:r>
        <w:rPr>
          <w:iCs/>
          <w:i/>
        </w:rPr>
        <w:t xml:space="preserve"> </w:t>
      </w:r>
      <w:r>
        <w:rPr>
          <w:iCs/>
          <w:i/>
        </w:rPr>
        <w:t xml:space="preserve">reports it.</w:t>
      </w:r>
    </w:p>
    <w:p>
      <w:pPr>
        <w:pStyle w:val="BodyText"/>
      </w:pPr>
      <w:r>
        <w:rPr>
          <w:bCs/>
          <w:b/>
        </w:rPr>
        <w:t xml:space="preserve">The same three properties apply</w:t>
      </w:r>
      <w:r>
        <w:t xml:space="preserve">: an environment id in place of a device id, a sequence that</w:t>
      </w:r>
      <w:r>
        <w:t xml:space="preserve"> </w:t>
      </w:r>
      <w:r>
        <w:t xml:space="preserve">orders the replay, and a rejection table somebody works afterwards.</w:t>
      </w:r>
    </w:p>
    <w:p>
      <w:pPr>
        <w:pStyle w:val="BodyText"/>
      </w:pPr>
      <w:r>
        <w:rPr>
          <w:bCs/>
          <w:b/>
        </w:rPr>
        <w:t xml:space="preserve">What is genuinely new</w:t>
      </w:r>
      <w:r>
        <w:t xml:space="preserve">: the ephemeral environment holds a</w:t>
      </w:r>
      <w:r>
        <w:t xml:space="preserve"> </w:t>
      </w:r>
      <w:r>
        <w:rPr>
          <w:iCs/>
          <w:i/>
        </w:rPr>
        <w:t xml:space="preserve">snapshot</w:t>
      </w:r>
      <w:r>
        <w:t xml:space="preserve"> </w:t>
      </w:r>
      <w:r>
        <w:t xml:space="preserve">of the catalogue, not a</w:t>
      </w:r>
      <w:r>
        <w:t xml:space="preserve"> </w:t>
      </w:r>
      <w:r>
        <w:t xml:space="preserve">replica.</w:t>
      </w:r>
      <w:r>
        <w:t xml:space="preserve"> </w:t>
      </w:r>
      <w:r>
        <w:rPr>
          <w:bCs/>
          <w:b/>
        </w:rPr>
        <w:t xml:space="preserve">If the permanent platform changed a price during the sale, the reconciliation has to</w:t>
      </w:r>
      <w:r>
        <w:rPr>
          <w:bCs/>
          <w:b/>
        </w:rPr>
        <w:t xml:space="preserve"> </w:t>
      </w:r>
      <w:r>
        <w:rPr>
          <w:bCs/>
          <w:b/>
        </w:rPr>
        <w:t xml:space="preserve">decide which one the guest paid.</w:t>
      </w:r>
      <w:r>
        <w:t xml:space="preserve"> </w:t>
      </w:r>
      <w:r>
        <w:t xml:space="preserve">That is a policy question and it is unanswered.</w:t>
      </w:r>
    </w:p>
    <w:bookmarkEnd w:id="27"/>
    <w:bookmarkEnd w:id="28"/>
    <w:bookmarkStart w:id="29" w:name="scale-matrix"/>
    <w:p>
      <w:pPr>
        <w:pStyle w:val="Heading2"/>
      </w:pPr>
      <w:r>
        <w:t xml:space="preserve">Scale matrix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60"/>
        <w:gridCol w:w="688"/>
        <w:gridCol w:w="1033"/>
        <w:gridCol w:w="1377"/>
        <w:gridCol w:w="1033"/>
        <w:gridCol w:w="774"/>
        <w:gridCol w:w="946"/>
        <w:gridCol w:w="12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RPS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CPU / 8 GB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1k–2k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/ 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/ 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2k–3k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/ 16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(b) + replica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/ 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3k–4k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(b) + pooler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/ 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/ 32</w:t>
            </w:r>
          </w:p>
        </w:tc>
      </w:tr>
    </w:tbl>
    <w:p>
      <w:pPr>
        <w:pStyle w:val="BodyText"/>
      </w:pPr>
      <w:r>
        <w:rPr>
          <w:bCs/>
          <w:b/>
        </w:rPr>
        <w:t xml:space="preserve">Only the last row changes architecture</w:t>
      </w:r>
      <w:r>
        <w:t xml:space="preserve">, and it changes it because the shape of the traffic is</w:t>
      </w:r>
      <w:r>
        <w:t xml:space="preserve"> </w:t>
      </w:r>
      <w:r>
        <w:t xml:space="preserve">different rather than because there is more of it.</w:t>
      </w:r>
    </w:p>
    <w:p>
      <w:pPr>
        <w:pStyle w:val="BodyText"/>
      </w:pPr>
      <w:r>
        <w:rPr>
          <w:bCs/>
          <w:b/>
        </w:rPr>
        <w:t xml:space="preserve">Autoscale on RPS, not CPU.</w:t>
      </w:r>
      <w:r>
        <w:t xml:space="preserve"> </w:t>
      </w:r>
      <w:r>
        <w:t xml:space="preserve">CPU lags a burst by the time it takes to fill a queue, and a</w:t>
      </w:r>
      <w:r>
        <w:t xml:space="preserve"> </w:t>
      </w:r>
      <w:r>
        <w:t xml:space="preserve">fifty-second sale is over before a CPU-triggered scale-out serves anything.</w:t>
      </w:r>
    </w:p>
    <w:bookmarkEnd w:id="29"/>
    <w:bookmarkStart w:id="30" w:name="what-each-scenario-needs-measured"/>
    <w:p>
      <w:pPr>
        <w:pStyle w:val="Heading2"/>
      </w:pPr>
      <w:r>
        <w:t xml:space="preserve">What each scenario needs measured</w:t>
      </w:r>
    </w:p>
    <w:p>
      <w:pPr>
        <w:pStyle w:val="FirstParagraph"/>
      </w:pPr>
      <w:r>
        <w:rPr>
          <w:bCs/>
          <w:b/>
        </w:rPr>
        <w:t xml:space="preserve">All three</w:t>
      </w:r>
      <w:r>
        <w:t xml:space="preserve">: RPS per instance at p95 under 200 ms · connections per instance under load · cache</w:t>
      </w:r>
      <w:r>
        <w:t xml:space="preserve"> </w:t>
      </w:r>
      <w:r>
        <w:t xml:space="preserve">hit ratio on the real key distribution · cold start to a filled pool.</w:t>
      </w:r>
    </w:p>
    <w:p>
      <w:pPr>
        <w:pStyle w:val="BodyText"/>
      </w:pPr>
      <w:r>
        <w:rPr>
          <w:bCs/>
          <w:b/>
        </w:rPr>
        <w:t xml:space="preserve">(b) specifically</w:t>
      </w:r>
      <w:r>
        <w:t xml:space="preserve">: the replica count at which pgbouncer becomes the bottleneck instead of</w:t>
      </w:r>
      <w:r>
        <w:t xml:space="preserve"> </w:t>
      </w:r>
      <w:r>
        <w:t xml:space="preserve">Postgres, and whether</w:t>
      </w:r>
      <w:r>
        <w:t xml:space="preserve"> </w:t>
      </w:r>
      <w:r>
        <w:rPr>
          <w:rStyle w:val="VerbatimChar"/>
        </w:rPr>
        <w:t xml:space="preserve">scope_path</w:t>
      </w:r>
      <w:r>
        <w:t xml:space="preserve"> </w:t>
      </w:r>
      <w:r>
        <w:t xml:space="preserve">partitioning holds its plan as the table grows.</w:t>
      </w:r>
    </w:p>
    <w:p>
      <w:pPr>
        <w:pStyle w:val="BodyText"/>
      </w:pPr>
      <w:r>
        <w:rPr>
          <w:bCs/>
          <w:b/>
        </w:rPr>
        <w:t xml:space="preserve">(c) specifically</w:t>
      </w:r>
      <w:r>
        <w:t xml:space="preserve">:</w:t>
      </w:r>
      <w:r>
        <w:t xml:space="preserve"> </w:t>
      </w:r>
      <w:r>
        <w:rPr>
          <w:bCs/>
          <w:b/>
        </w:rPr>
        <w:t xml:space="preserve">lease contention throughput on one hot performance.</w:t>
      </w:r>
      <w:r>
        <w:t xml:space="preserve"> </w:t>
      </w:r>
      <w:r>
        <w:t xml:space="preserve">Everything else is</w:t>
      </w:r>
      <w:r>
        <w:t xml:space="preserve"> </w:t>
      </w:r>
      <w:r>
        <w:t xml:space="preserve">arithmetic once that number exists.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tools/bench.py </w:t>
      </w:r>
      <w:r>
        <w:rPr>
          <w:rStyle w:val="AttributeTok"/>
        </w:rPr>
        <w:t xml:space="preserve">--topology</w:t>
      </w:r>
      <w:r>
        <w:rPr>
          <w:rStyle w:val="NormalTok"/>
        </w:rPr>
        <w:t xml:space="preserve"> hybrid </w:t>
      </w:r>
      <w:r>
        <w:rPr>
          <w:rStyle w:val="AttributeTok"/>
        </w:rPr>
        <w:t xml:space="preserve">--pattern</w:t>
      </w:r>
      <w:r>
        <w:rPr>
          <w:rStyle w:val="NormalTok"/>
        </w:rPr>
        <w:t xml:space="preserve"> hot-venue </w:t>
      </w:r>
      <w:r>
        <w:rPr>
          <w:rStyle w:val="AttributeTok"/>
        </w:rPr>
        <w:t xml:space="preserve">--rps</w:t>
      </w:r>
      <w:r>
        <w:rPr>
          <w:rStyle w:val="NormalTok"/>
        </w:rPr>
        <w:t xml:space="preserve"> 5000 </w:t>
      </w:r>
      <w:r>
        <w:rPr>
          <w:rStyle w:val="AttributeTok"/>
        </w:rPr>
        <w:t xml:space="preserve">--seconds</w:t>
      </w:r>
      <w:r>
        <w:rPr>
          <w:rStyle w:val="NormalTok"/>
        </w:rPr>
        <w:t xml:space="preserve"> 600</w:t>
      </w:r>
    </w:p>
    <w:p>
      <w:pPr>
        <w:pStyle w:val="FirstParagraph"/>
      </w:pPr>
      <w:r>
        <w:rPr>
          <w:rStyle w:val="VerbatimChar"/>
          <w:bCs/>
          <w:b/>
        </w:rPr>
        <w:t xml:space="preserve">hot-venue</w:t>
      </w:r>
      <w:r>
        <w:rPr>
          <w:bCs/>
          <w:b/>
        </w:rPr>
        <w:t xml:space="preserve"> </w:t>
      </w:r>
      <w:r>
        <w:rPr>
          <w:bCs/>
          <w:b/>
        </w:rPr>
        <w:t xml:space="preserve">sends 90% of load to one venue.</w:t>
      </w:r>
      <w:r>
        <w:t xml:space="preserve"> </w:t>
      </w:r>
      <w:r>
        <w:t xml:space="preserve">That is the Bahrain distribution, and it is the</w:t>
      </w:r>
      <w:r>
        <w:t xml:space="preserve"> </w:t>
      </w:r>
      <w:r>
        <w:t xml:space="preserve">pattern that distinguishes the three scenarios most sharply.</w:t>
      </w:r>
    </w:p>
    <w:bookmarkEnd w:id="30"/>
    <w:bookmarkStart w:id="31" w:name="still-blocking"/>
    <w:p>
      <w:pPr>
        <w:pStyle w:val="Heading2"/>
      </w:pPr>
      <w:r>
        <w:t xml:space="preserve">Still blocking</w:t>
      </w:r>
    </w:p>
    <w:p>
      <w:pPr>
        <w:pStyle w:val="FirstParagraph"/>
      </w:pPr>
      <w:r>
        <w:rPr>
          <w:bCs/>
          <w:b/>
        </w:rPr>
        <w:t xml:space="preserve">CF-161</w:t>
      </w:r>
      <w:r>
        <w:t xml:space="preserve"> </w:t>
      </w:r>
      <w:r>
        <w:t xml:space="preserve">— one database per cell or one per service.</w:t>
      </w:r>
      <w:r>
        <w:t xml:space="preserve"> </w:t>
      </w:r>
      <w:r>
        <w:rPr>
          <w:bCs/>
          <w:b/>
        </w:rPr>
        <w:t xml:space="preserve">Every connection number above assumes</w:t>
      </w:r>
      <w:r>
        <w:rPr>
          <w:bCs/>
          <w:b/>
        </w:rPr>
        <w:t xml:space="preserve"> </w:t>
      </w:r>
      <w:r>
        <w:rPr>
          <w:bCs/>
          <w:b/>
        </w:rPr>
        <w:t xml:space="preserve">shared-schema.</w:t>
      </w:r>
      <w:r>
        <w:t xml:space="preserve"> </w:t>
      </w:r>
      <w:r>
        <w:t xml:space="preserve">Per-service databases change the pooling arithmetic entirely, and ADR-0028 still</w:t>
      </w:r>
      <w:r>
        <w:t xml:space="preserve"> </w:t>
      </w:r>
      <w:r>
        <w:t xml:space="preserve">reads Accepted while contradicting a client-facing recommendation.</w:t>
      </w:r>
    </w:p>
    <w:p>
      <w:pPr>
        <w:pStyle w:val="BodyText"/>
      </w:pPr>
      <w:r>
        <w:rPr>
          <w:bCs/>
          <w:b/>
        </w:rPr>
        <w:t xml:space="preserve">CF-64</w:t>
      </w:r>
      <w:r>
        <w:t xml:space="preserve"> </w:t>
      </w:r>
      <w:r>
        <w:t xml:space="preserve">— AWS or Azure.</w:t>
      </w:r>
      <w:r>
        <w:t xml:space="preserve"> </w:t>
      </w:r>
      <w:r>
        <w:rPr>
          <w:bCs/>
          <w:b/>
        </w:rPr>
        <w:t xml:space="preserve">Everything here is provider-neutral; the managed Postgres tier, the</w:t>
      </w:r>
      <w:r>
        <w:rPr>
          <w:bCs/>
          <w:b/>
        </w:rPr>
        <w:t xml:space="preserve"> </w:t>
      </w:r>
      <w:r>
        <w:rPr>
          <w:bCs/>
          <w:b/>
        </w:rPr>
        <w:t xml:space="preserve">Redis offering, autoscale semantics and cost are not.</w:t>
      </w:r>
      <w:r>
        <w:t xml:space="preserve"> </w:t>
      </w:r>
      <w:r>
        <w:t xml:space="preserve">CF-64 also carries RPO and RTO, which are</w:t>
      </w:r>
      <w:r>
        <w:t xml:space="preserve"> </w:t>
      </w:r>
      <w:r>
        <w:t xml:space="preserve">stated nowhere.</w:t>
      </w:r>
    </w:p>
    <w:bookmarkEnd w:id="31"/>
    <w:bookmarkEnd w:id="32"/>
    <w:sectPr>
      <w:headerReference r:id="rId9" w:type="default"/>
      <w:footerReference r:id="rId10" w:type="default"/>
      <w:pgSz w:h="15840" w:orient="portrait" w:w="12240"/>
      <w:pgMar w:bottom="1080" w:footer="708" w:gutter="0" w:header="708" w:left="1080" w:right="1080" w:top="108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6E56" w:sz="6" w:space="1"/>
      </w:pBdr>
      <w:jc w:val="center"/>
    </w:pPr>
    <w:r>
      <w:rPr>
        <w:rFonts w:ascii="Arial" w:cs="Arial" w:eastAsia="Arial" w:hAnsi="Arial"/>
        <w:color w:val="444444"/>
        <w:sz w:val="18"/>
        <w:szCs w:val="18"/>
      </w:rPr>
      <w:t xml:space="preserve">Softlabs  |  Confidential  |  Page </w:t>
    </w:r>
    <w:r>
      <w:rPr>
        <w:rFonts w:ascii="Arial" w:cs="Arial" w:eastAsia="Arial" w:hAnsi="Arial"/>
        <w:color w:val="44444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6E56" w:sz="6" w:space="1"/>
      </w:pBdr>
      <w:tabs>
        <w:tab w:val="right" w:pos="9026"/>
      </w:tabs>
    </w:pPr>
    <w:r>
      <w:rPr>
        <w:rFonts w:ascii="Arial" w:cs="Arial" w:eastAsia="Arial" w:hAnsi="Arial"/>
        <w:color w:val="444444"/>
        <w:sz w:val="18"/>
        <w:szCs w:val="18"/>
      </w:rPr>
      <w:t xml:space="preserve">TICVAI Platform — Design Package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444444"/>
        <w:sz w:val="18"/>
        <w:szCs w:val="18"/>
      </w:rPr>
      <w:t xml:space="preserve">Softlabs  | 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bullet"/>
      <w:lvlText w:val="•"/>
      <w:lvlJc w:val="left"/>
      <w:pPr>
        <w:ind w:hanging="360" w:left="72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evenAndOddHeader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2"/>
        <w:szCs w:val="22"/>
      </w:rPr>
    </w:rPrDefault>
    <w:pPrDefault>
      <w:pPr>
        <w:spacing w:after="120" w:line="264" w:lineRule="auto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styleId="Heading1" w:type="paragraph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color w:val="1B2A4A"/>
      <w:sz w:val="40"/>
      <w:szCs w:val="40"/>
    </w:rPr>
  </w:style>
  <w:style w:styleId="Heading2" w:type="paragraph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B2A4A"/>
      <w:sz w:val="30"/>
      <w:szCs w:val="30"/>
    </w:rPr>
  </w:style>
  <w:style w:styleId="Heading3" w:type="paragraph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0F6E56"/>
      <w:sz w:val="26"/>
      <w:szCs w:val="26"/>
    </w:rPr>
  </w:style>
  <w:style w:default="1" w:styleId="Table" w:type="table">
    <w:name w:val="Table"/>
    <w:basedOn w:val="TableNormal"/>
    <w:qFormat/>
    <w:tblPr>
      <w:tblInd w:type="dxa" w:w="0"/>
      <w:tblBorders>
        <w:top w:color="D8DEE8" w:sz="4" w:val="single"/>
        <w:bottom w:color="D8DEE8" w:sz="4" w:val="single"/>
        <w:insideH w:color="E8ECF3" w:sz="2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rPr>
        <w:b/>
        <w:color w:val="FFFFFF"/>
        <w:sz w:val="19"/>
      </w:rPr>
      <w:tcPr>
        <w:shd w:color="auto" w:fill="1B2A4A" w:val="clear"/>
        <w:vAlign w:val="center"/>
        <w:tcBorders>
          <w:bottom w:color="1B2A4A" w:sz="8" w:val="single"/>
        </w:tcBorders>
      </w:tcPr>
    </w:tblStylePr>
    <w:tblStylePr w:type="band2Horz">
      <w:tcPr>
        <w:shd w:color="auto" w:fill="F4F7FB" w:val="clear"/>
      </w:tcPr>
    </w:tblStylePr>
    <w:tblStylePr w:type="firstCol">
      <w:rPr>
        <w:b/>
      </w:rPr>
    </w:tblStylePr>
  </w:style>
  <w:style w:customStyle="1" w:styleId="TableCaption" w:type="paragraph">
    <w:name w:val="Table Caption"/>
    <w:basedOn w:val="Caption"/>
    <w:pPr>
      <w:keepNext/>
    </w:pPr>
  </w:style>
  <w:style w:customStyle="1" w:styleId="Compact" w:type="paragraph">
    <w:name w:val="Compact"/>
    <w:basedOn w:val="BodyText"/>
    <w:qFormat/>
    <w:pPr>
      <w:spacing w:after="36" w:before="36"/>
    </w:p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styleId="BodyText" w:type="paragraph">
    <w:name w:val="Body Text"/>
    <w:basedOn w:val="Normal"/>
    <w:link w:val="BodyTextChar"/>
    <w:pPr>
      <w:spacing w:after="120" w:before="0" w:line="264" w:lineRule="auto"/>
    </w:pPr>
    <w:qFormat/>
  </w:style>
  <w:style w:customStyle="1" w:styleId="FirstParagraph" w:type="paragraph">
    <w:name w:val="First Paragraph"/>
    <w:basedOn w:val="BodyText"/>
    <w:next w:val="BodyText"/>
    <w:qFormat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2026-09-01T03:40:02Z</dcterms:created>
  <dcterms:modified xsi:type="dcterms:W3CDTF">2026-09-01T03:40:02Z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