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Four Deployment Configurations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Priced against each other, on one basis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72df40911acbc4cd0a753af24636bb68860da4b"/>
    <w:p>
      <w:pPr>
        <w:pStyle w:val="Heading1"/>
      </w:pPr>
      <w:r>
        <w:t xml:space="preserve">Four deployment configurations, priced against each other</w:t>
      </w:r>
    </w:p>
    <w:p>
      <w:pPr>
        <w:pStyle w:val="FirstParagraph"/>
      </w:pPr>
      <w:r>
        <w:rPr>
          <w:bCs/>
          <w:b/>
        </w:rPr>
        <w:t xml:space="preserve">Runnable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</w:t>
      </w:r>
      <w:r>
        <w:rPr>
          <w:bCs/>
          <w:b/>
        </w:rPr>
        <w:t xml:space="preserve">. All four use the same images, the same schema and the same limits — only</w:t>
      </w:r>
      <w:r>
        <w:rPr>
          <w:bCs/>
          <w:b/>
        </w:rPr>
        <w:t xml:space="preserve"> </w:t>
      </w:r>
      <w:r>
        <w:rPr>
          <w:bCs/>
          <w:b/>
        </w:rPr>
        <w:t xml:space="preserve">placement changes.</w:t>
      </w:r>
    </w:p>
    <w:bookmarkStart w:id="20" w:name="what-a-cell-is-before-the-comparison"/>
    <w:p>
      <w:pPr>
        <w:pStyle w:val="Heading2"/>
      </w:pPr>
      <w:r>
        <w:t xml:space="preserve">What a cell is, before the comparison</w:t>
      </w:r>
    </w:p>
    <w:p>
      <w:pPr>
        <w:pStyle w:val="FirstParagraph"/>
      </w:pPr>
      <w:r>
        <w:rPr>
          <w:bCs/>
          <w:b/>
        </w:rPr>
        <w:t xml:space="preserve">A cell is a deployment and a legal boundary at once</w:t>
      </w:r>
      <w:r>
        <w:t xml:space="preserve"> </w:t>
      </w:r>
      <w:r>
        <w:t xml:space="preserve">(ADR-0001).</w:t>
      </w:r>
      <w:r>
        <w:t xml:space="preserve"> </w:t>
      </w:r>
      <w:r>
        <w:rPr>
          <w:rStyle w:val="VerbatimChar"/>
        </w:rPr>
        <w:t xml:space="preserve">control.cell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— because a cell is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one region and holds one</w:t>
      </w:r>
      <w:r>
        <w:t xml:space="preserve"> </w:t>
      </w:r>
      <w:r>
        <w:t xml:space="preserve">tenant or many.</w:t>
      </w:r>
    </w:p>
    <w:p>
      <w:pPr>
        <w:pStyle w:val="BodyText"/>
      </w:pPr>
      <w:r>
        <w:rPr>
          <w:rStyle w:val="VerbatimChar"/>
          <w:bCs/>
          <w:b/>
        </w:rPr>
        <w:t xml:space="preserve">CellKind</w:t>
      </w:r>
      <w:r>
        <w:rPr>
          <w:bCs/>
          <w:b/>
        </w:rPr>
        <w:t xml:space="preserve"> </w:t>
      </w:r>
      <w:r>
        <w:rPr>
          <w:bCs/>
          <w:b/>
        </w:rPr>
        <w:t xml:space="preserve">already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shared · dedicated · onPremise · controlPlane</w:t>
      </w:r>
      <w:r>
        <w:t xml:space="preserve"> </w:t>
      </w:r>
      <w:r>
        <w:t xml:space="preserve">(ADR-0017), and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is documented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null on a shared cell, which holds many — nullable since the ADR-0014</w:t>
      </w:r>
      <w:r>
        <w:rPr>
          <w:iCs/>
          <w:i/>
        </w:rPr>
        <w:t xml:space="preserve"> </w:t>
      </w:r>
      <w:r>
        <w:rPr>
          <w:iCs/>
          <w:i/>
        </w:rPr>
        <w:t xml:space="preserve">amendment, it was required when a cell meant one tenant.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cell per tenant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dedicated</w:t>
      </w:r>
      <w:r>
        <w:rPr>
          <w:bCs/>
          <w:b/>
        </w:rPr>
        <w:t xml:space="preserve"> </w:t>
      </w:r>
      <w:r>
        <w:rPr>
          <w:bCs/>
          <w:b/>
        </w:rPr>
        <w:t xml:space="preserve">and already modelled.</w:t>
      </w:r>
      <w:r>
        <w:t xml:space="preserve"> </w:t>
      </w:r>
      <w:r>
        <w:t xml:space="preserve">What is not modelled is a cell per</w:t>
      </w:r>
      <w:r>
        <w:t xml:space="preserve"> </w:t>
      </w:r>
      <w:r>
        <w:rPr>
          <w:iCs/>
          <w:i/>
        </w:rPr>
        <w:t xml:space="preserve">venue</w:t>
      </w:r>
      <w:r>
        <w:t xml:space="preserve">, and that is where the interesting question sits.</w:t>
      </w:r>
    </w:p>
    <w:bookmarkEnd w:id="20"/>
    <w:bookmarkStart w:id="21" w:name="the-four-measured-on-one-basis"/>
    <w:p>
      <w:pPr>
        <w:pStyle w:val="Heading2"/>
      </w:pPr>
      <w:r>
        <w:t xml:space="preserve">The four, measured on one basis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52"/>
        <w:gridCol w:w="1421"/>
        <w:gridCol w:w="812"/>
        <w:gridCol w:w="812"/>
        <w:gridCol w:w="1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independent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flash sale (ephemeral)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d′</w:t>
            </w:r>
            <w:r>
              <w:t xml:space="preserve"> </w:t>
            </w:r>
            <w:r>
              <w:t xml:space="preserve">shared burst + venue-local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At 200 tenants averaging three venues: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320"/>
        <w:gridCol w:w="1320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full stack per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cell, venue services per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tier plus 600 venue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ephemeral, one event, then gone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Config (a) is 4.4× config (b) in containers and 200× in databases</w:t>
      </w:r>
      <w:r>
        <w:t xml:space="preserve">, against a steady state of 2.9</w:t>
      </w:r>
      <w:r>
        <w:t xml:space="preserve"> </w:t>
      </w:r>
      <w:r>
        <w:t xml:space="preserve">requests per second per tenant.</w:t>
      </w:r>
    </w:p>
    <w:bookmarkEnd w:id="21"/>
    <w:bookmarkStart w:id="22" w:name="the-config-you-named-that-does-not-work"/>
    <w:p>
      <w:pPr>
        <w:pStyle w:val="Heading2"/>
      </w:pPr>
      <w:r>
        <w:t xml:space="preserve">🔴 The config you named that does not work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All tenants, cells created at venue level.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 venue is safely inside one jurisdiction, so residency holds</w:t>
      </w:r>
      <w:r>
        <w:t xml:space="preserve"> </w:t>
      </w:r>
      <w:r>
        <w:t xml:space="preserve">— that part is fine and it is why</w:t>
      </w:r>
      <w:r>
        <w:t xml:space="preserve"> </w:t>
      </w:r>
      <w:r>
        <w:t xml:space="preserve">this is worth taking seriously at all.</w:t>
      </w:r>
    </w:p>
    <w:p>
      <w:pPr>
        <w:pStyle w:val="BodyText"/>
      </w:pPr>
      <w:r>
        <w:rPr>
          <w:bCs/>
          <w:b/>
        </w:rPr>
        <w:t xml:space="preserve">But it multiplies the wrong thing.</w:t>
      </w:r>
      <w:r>
        <w:t xml:space="preserve"> </w:t>
      </w:r>
      <w:r>
        <w:t xml:space="preserve">A cell carries a Postgres, a Redis and a control-plane</w:t>
      </w:r>
      <w:r>
        <w:t xml:space="preserve"> </w:t>
      </w:r>
      <w:r>
        <w:t xml:space="preserve">registration.</w:t>
      </w:r>
      <w:r>
        <w:t xml:space="preserve"> </w:t>
      </w:r>
      <w:r>
        <w:rPr>
          <w:bCs/>
          <w:b/>
        </w:rPr>
        <w:t xml:space="preserve">600 cells is 600 databases to migrate, back up, monitor and connection-pool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CrossRegionService</w:t>
      </w:r>
      <w:r>
        <w:t xml:space="preserve"> </w:t>
      </w:r>
      <w:r>
        <w:t xml:space="preserve">would need a counterpart in every one.</w:t>
      </w:r>
    </w:p>
    <w:p>
      <w:pPr>
        <w:pStyle w:val="BodyText"/>
      </w:pPr>
      <w:r>
        <w:rPr>
          <w:bCs/>
          <w:b/>
        </w:rPr>
        <w:t xml:space="preserve">And the isolation is aimed where the risk is not.</w:t>
      </w:r>
      <w:r>
        <w:t xml:space="preserve"> </w:t>
      </w:r>
      <w:r>
        <w:t xml:space="preserve">A venue’s spike is contained — but</w:t>
      </w:r>
      <w:r>
        <w:t xml:space="preserve"> </w:t>
      </w:r>
      <w:r>
        <w:rPr>
          <w:bCs/>
          <w:b/>
        </w:rPr>
        <w:t xml:space="preserve">the spike</w:t>
      </w:r>
      <w:r>
        <w:rPr>
          <w:bCs/>
          <w:b/>
        </w:rPr>
        <w:t xml:space="preserve"> </w:t>
      </w:r>
      <w:r>
        <w:rPr>
          <w:bCs/>
          <w:b/>
        </w:rPr>
        <w:t xml:space="preserve">is in that venue</w:t>
      </w:r>
      <w:r>
        <w:t xml:space="preserve">. Its cell absorbs 5,000 RPS alone while 599 others sit idle, and there is no</w:t>
      </w:r>
      <w:r>
        <w:t xml:space="preserve"> </w:t>
      </w:r>
      <w:r>
        <w:t xml:space="preserve">shared capacity to burst into.</w:t>
      </w:r>
    </w:p>
    <w:bookmarkEnd w:id="22"/>
    <w:bookmarkStart w:id="23" w:name="and-the-one-that-is-inverted"/>
    <w:p>
      <w:pPr>
        <w:pStyle w:val="Heading2"/>
      </w:pPr>
      <w:r>
        <w:t xml:space="preserve">🔴 And the one that is inverted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Venue-level cells holding only the horizontal-scaling services.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Those four are Catalogue, Order, Identity and Access — the ones that carry the burst.</w:t>
      </w:r>
    </w:p>
    <w:p>
      <w:pPr>
        <w:pStyle w:val="BodyText"/>
      </w:pPr>
      <w:r>
        <w:rPr>
          <w:bCs/>
          <w:b/>
        </w:rPr>
        <w:t xml:space="preserve">Per venue, each must absorb its own venue’s spike.</w:t>
      </w:r>
      <w:r>
        <w:t xml:space="preserve"> </w:t>
      </w:r>
      <w:r>
        <w:t xml:space="preserve">A flash sale for one event means that venue</w:t>
      </w:r>
      <w:r>
        <w:t xml:space="preserve"> </w:t>
      </w:r>
      <w:r>
        <w:t xml:space="preserve">needs twenty Catalogue replicas while every other cell is idle.</w:t>
      </w:r>
      <w:r>
        <w:t xml:space="preserve"> </w:t>
      </w:r>
      <w:r>
        <w:rPr>
          <w:bCs/>
          <w:b/>
        </w:rPr>
        <w:t xml:space="preserve">The problem has moved, not gone,</w:t>
      </w:r>
      <w:r>
        <w:rPr>
          <w:bCs/>
          <w:b/>
        </w:rPr>
        <w:t xml:space="preserve"> </w:t>
      </w:r>
      <w:r>
        <w:rPr>
          <w:bCs/>
          <w:b/>
        </w:rPr>
        <w:t xml:space="preserve">and the pooling that would have absorbed it is gone with it.</w:t>
      </w:r>
    </w:p>
    <w:p>
      <w:pPr>
        <w:pStyle w:val="BodyText"/>
      </w:pPr>
      <w:r>
        <w:rPr>
          <w:bCs/>
          <w:b/>
        </w:rPr>
        <w:t xml:space="preserve">The data says the inverse.</w:t>
      </w:r>
      <w:r>
        <w:t xml:space="preserve"> </w:t>
      </w:r>
      <w:r>
        <w:t xml:space="preserve">Burst services shared;</w:t>
      </w:r>
      <w:r>
        <w:t xml:space="preserve"> </w:t>
      </w:r>
      <w:r>
        <w:rPr>
          <w:bCs/>
          <w:b/>
        </w:rPr>
        <w:t xml:space="preserve">offline services at the venue.</w:t>
      </w:r>
    </w:p>
    <w:bookmarkEnd w:id="23"/>
    <w:bookmarkStart w:id="26" w:name="X6eb84c2390e7fda9df3f3da0341e55bd4102143"/>
    <w:p>
      <w:pPr>
        <w:pStyle w:val="Heading2"/>
      </w:pPr>
      <w:r>
        <w:t xml:space="preserve">d′ — shared burst tier, venue-local offline tier</w:t>
      </w:r>
    </w:p>
    <w:p>
      <w:pPr>
        <w:pStyle w:val="FirstParagraph"/>
      </w:pPr>
      <w:r>
        <w:rPr>
          <w:bCs/>
          <w:b/>
        </w:rPr>
        <w:t xml:space="preserve">Four services at the venue, and they are the offline ones.</w:t>
      </w:r>
    </w:p>
    <w:p>
      <w:pPr>
        <w:pStyle w:val="BodyText"/>
      </w:pPr>
      <w:r>
        <w:rPr>
          <w:bCs/>
          <w:b/>
        </w:rPr>
        <w:t xml:space="preserve">103 of their 286 operations work offline.</w:t>
      </w:r>
      <w:r>
        <w:t xml:space="preserve"> </w:t>
      </w:r>
      <w:r>
        <w:t xml:space="preserve">A venue with no network still cooks, still counts</w:t>
      </w:r>
      <w:r>
        <w:t xml:space="preserve"> </w:t>
      </w:r>
      <w:r>
        <w:t xml:space="preserve">stock, still sells merchandise.</w:t>
      </w:r>
      <w:r>
        <w:t xml:space="preserve"> </w:t>
      </w:r>
      <w:r>
        <w:rPr>
          <w:bCs/>
          <w:b/>
        </w:rPr>
        <w:t xml:space="preserve">That is the product, not a resilience feature</w:t>
      </w:r>
      <w:r>
        <w:t xml:space="preserve"> </w:t>
      </w:r>
      <w:r>
        <w:t xml:space="preserve">— and a shared</w:t>
      </w:r>
      <w:r>
        <w:t xml:space="preserve"> </w:t>
      </w:r>
      <w:r>
        <w:t xml:space="preserve">service cannot be locally available.</w:t>
      </w:r>
    </w:p>
    <w:p>
      <w:pPr>
        <w:pStyle w:val="BodyText"/>
      </w:pPr>
      <w:r>
        <w:rPr>
          <w:bCs/>
          <w:b/>
        </w:rPr>
        <w:t xml:space="preserve">Four services shared, and they are the burst.</w:t>
      </w:r>
      <w:r>
        <w:t xml:space="preserve"> </w:t>
      </w:r>
      <w:r>
        <w:t xml:space="preserve">A spike pools across venues instead of being</w:t>
      </w:r>
      <w:r>
        <w:t xml:space="preserve"> </w:t>
      </w:r>
      <w:r>
        <w:t xml:space="preserve">trapped in one.</w:t>
      </w:r>
    </w:p>
    <w:bookmarkStart w:id="24" w:name="X4d9cf7763da5b9406f3029e543439a98b7695dd"/>
    <w:p>
      <w:pPr>
        <w:pStyle w:val="Heading3"/>
      </w:pPr>
      <w:r>
        <w:t xml:space="preserve">The design constraint, and how it resolves</w:t>
      </w:r>
    </w:p>
    <w:p>
      <w:pPr>
        <w:pStyle w:val="FirstParagraph"/>
      </w:pPr>
      <w:r>
        <w:rPr>
          <w:bCs/>
          <w:b/>
        </w:rPr>
        <w:t xml:space="preserve">The venue tier owns 80 tables and reads 100.</w:t>
      </w:r>
      <w:r>
        <w:t xml:space="preserve"> </w:t>
      </w:r>
      <w:r>
        <w:t xml:space="preserve">It reaches ten foreign schemas —</w:t>
      </w:r>
      <w:r>
        <w:t xml:space="preserve"> </w:t>
      </w:r>
      <w:r>
        <w:rPr>
          <w:bCs/>
          <w:b/>
        </w:rPr>
        <w:t xml:space="preserve">43 reads and 15</w:t>
      </w:r>
      <w:r>
        <w:rPr>
          <w:bCs/>
          <w:b/>
        </w:rPr>
        <w:t xml:space="preserve"> </w:t>
      </w:r>
      <w:r>
        <w:rPr>
          <w:bCs/>
          <w:b/>
        </w:rPr>
        <w:t xml:space="preserve">writes across the boundary.</w:t>
      </w:r>
    </w:p>
    <w:p>
      <w:pPr>
        <w:pStyle w:val="BodyText"/>
      </w:pPr>
      <w:r>
        <w:rPr>
          <w:bCs/>
          <w:b/>
        </w:rPr>
        <w:t xml:space="preserve">Foreign reads are cached, not fetched.</w:t>
      </w:r>
      <w:r>
        <w:t xml:space="preserve"> </w:t>
      </w:r>
      <w:r>
        <w:t xml:space="preserve">12 into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 8 into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 6 into</w:t>
      </w:r>
      <w:r>
        <w:t xml:space="preserve"> </w:t>
      </w:r>
      <w:r>
        <w:rPr>
          <w:rStyle w:val="VerbatimChar"/>
        </w:rPr>
        <w:t xml:space="preserve">catalogue</w:t>
      </w:r>
      <w:r>
        <w:t xml:space="preserve"> </w:t>
      </w:r>
      <w:r>
        <w:t xml:space="preserve">— the org tree, who a principal is, what a menu item is.</w:t>
      </w:r>
      <w:r>
        <w:t xml:space="preserve"> </w:t>
      </w:r>
      <w:r>
        <w:rPr>
          <w:bCs/>
          <w:b/>
        </w:rPr>
        <w:t xml:space="preserve">All slow-changing, and all</w:t>
      </w:r>
      <w:r>
        <w:rPr>
          <w:bCs/>
          <w:b/>
        </w:rPr>
        <w:t xml:space="preserve"> </w:t>
      </w:r>
      <w:r>
        <w:rPr>
          <w:bCs/>
          <w:b/>
        </w:rPr>
        <w:t xml:space="preserve">already published to a till as a bundle</w:t>
      </w:r>
      <w:r>
        <w:t xml:space="preserve"> </w:t>
      </w:r>
      <w:r>
        <w:t xml:space="preserve">(ADR-0013). The same mechanism serves a venue cell.</w:t>
      </w:r>
    </w:p>
    <w:p>
      <w:pPr>
        <w:pStyle w:val="BodyText"/>
      </w:pPr>
      <w:r>
        <w:rPr>
          <w:bCs/>
          <w:b/>
        </w:rPr>
        <w:t xml:space="preserve">Foreign writes are journalled, not written.</w:t>
      </w:r>
      <w:r>
        <w:t xml:space="preserve"> </w:t>
      </w:r>
      <w:r>
        <w:t xml:space="preserve">5 into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 4 into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, 4 into</w:t>
      </w:r>
      <w:r>
        <w:t xml:space="preserve"> </w:t>
      </w:r>
      <w:r>
        <w:rPr>
          <w:rStyle w:val="VerbatimChar"/>
        </w:rPr>
        <w:t xml:space="preserve">catalogue</w:t>
      </w:r>
      <w:r>
        <w:t xml:space="preserve">. A food order becomes an order; a guest note becomes a profile update.</w:t>
      </w:r>
      <w:r>
        <w:t xml:space="preserve"> </w:t>
      </w:r>
      <w:r>
        <w:rPr>
          <w:bCs/>
          <w:b/>
        </w:rPr>
        <w:t xml:space="preserve">Those go</w:t>
      </w:r>
      <w:r>
        <w:rPr>
          <w:bCs/>
          <w:b/>
        </w:rPr>
        <w:t xml:space="preserve"> </w:t>
      </w:r>
      <w:r>
        <w:rPr>
          <w:bCs/>
          <w:b/>
        </w:rPr>
        <w:t xml:space="preserve">through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syncOrders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sync.rejection</w:t>
      </w:r>
      <w:r>
        <w:t xml:space="preserve"> </w:t>
      </w:r>
      <w:r>
        <w:t xml:space="preserve">— the mechanism exists and F33 walks it.</w:t>
      </w:r>
    </w:p>
    <w:bookmarkEnd w:id="24"/>
    <w:bookmarkStart w:id="25" w:name="what-it-costs-and-what-it-buys"/>
    <w:p>
      <w:pPr>
        <w:pStyle w:val="Heading3"/>
      </w:pPr>
      <w:r>
        <w:t xml:space="preserve">What it costs and what it buys</w:t>
      </w:r>
    </w:p>
    <w:p>
      <w:pPr>
        <w:pStyle w:val="FirstParagraph"/>
      </w:pPr>
      <w:r>
        <w:rPr>
          <w:bCs/>
          <w:b/>
        </w:rPr>
        <w:t xml:space="preserve">601 databases at 200 tenants.</w:t>
      </w:r>
      <w:r>
        <w:t xml:space="preserve"> </w:t>
      </w:r>
      <w:r>
        <w:t xml:space="preserve">Small ones, but 601 to migrate and back up.</w:t>
      </w:r>
    </w:p>
    <w:p>
      <w:pPr>
        <w:pStyle w:val="BodyText"/>
      </w:pPr>
      <w:r>
        <w:rPr>
          <w:bCs/>
          <w:b/>
        </w:rPr>
        <w:t xml:space="preserve">A venue keeps trading through a regional outage</w:t>
      </w:r>
      <w:r>
        <w:t xml:space="preserve">, and the burst pools.</w:t>
      </w:r>
    </w:p>
    <w:p>
      <w:pPr>
        <w:pStyle w:val="BodyText"/>
      </w:pPr>
      <w:r>
        <w:rPr>
          <w:bCs/>
          <w:b/>
        </w:rPr>
        <w:t xml:space="preserve">🔴 CF-161 has to be settled before that is a sentence anybody can cost.</w:t>
      </w:r>
      <w:r>
        <w:t xml:space="preserve"> </w:t>
      </w:r>
      <w:r>
        <w:t xml:space="preserve">If databases are</w:t>
      </w:r>
      <w:r>
        <w:t xml:space="preserve"> </w:t>
      </w:r>
      <w:r>
        <w:t xml:space="preserve">segregated per service as well, 601 becomes several thousand.</w:t>
      </w:r>
    </w:p>
    <w:bookmarkEnd w:id="25"/>
    <w:bookmarkEnd w:id="26"/>
    <w:bookmarkStart w:id="27" w:name="what-i-would-recommend"/>
    <w:p>
      <w:pPr>
        <w:pStyle w:val="Heading2"/>
      </w:pPr>
      <w:r>
        <w:t xml:space="preserve">What I would recommend</w:t>
      </w:r>
    </w:p>
    <w:p>
      <w:pPr>
        <w:pStyle w:val="FirstParagraph"/>
      </w:pPr>
      <w:r>
        <w:rPr>
          <w:bCs/>
          <w:b/>
        </w:rPr>
        <w:t xml:space="preserve">Default to (b).</w:t>
      </w:r>
      <w:r>
        <w:t xml:space="preserve"> </w:t>
      </w:r>
      <w:r>
        <w:t xml:space="preserve">One cell per jurisdiction, shared burst tier, venue services per venue but not</w:t>
      </w:r>
      <w:r>
        <w:t xml:space="preserve"> </w:t>
      </w:r>
      <w:r>
        <w:t xml:space="preserve">per-venue</w:t>
      </w:r>
      <w:r>
        <w:t xml:space="preserve"> </w:t>
      </w:r>
      <w:r>
        <w:rPr>
          <w:iCs/>
          <w:i/>
        </w:rPr>
        <w:t xml:space="preserve">cells</w:t>
      </w:r>
      <w:r>
        <w:t xml:space="preserve">.</w:t>
      </w:r>
      <w:r>
        <w:t xml:space="preserve"> </w:t>
      </w:r>
      <w:r>
        <w:rPr>
          <w:bCs/>
          <w:b/>
        </w:rPr>
        <w:t xml:space="preserve">815 containers and one database at 200 tenants.</w:t>
      </w:r>
    </w:p>
    <w:p>
      <w:pPr>
        <w:pStyle w:val="BodyText"/>
      </w:pPr>
      <w:r>
        <w:rPr>
          <w:bCs/>
          <w:b/>
        </w:rPr>
        <w:t xml:space="preserve">Offer (a)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dedicated</w:t>
      </w:r>
      <w:r>
        <w:rPr>
          <w:bCs/>
          <w:b/>
        </w:rPr>
        <w:t xml:space="preserve">, per tenant per region.</w:t>
      </w:r>
      <w:r>
        <w:t xml:space="preserve"> </w:t>
      </w:r>
      <w:r>
        <w:t xml:space="preserve">A tenant in UAE and Saudi gets two cells, not</w:t>
      </w:r>
      <w:r>
        <w:t xml:space="preserve"> </w:t>
      </w:r>
      <w:r>
        <w:t xml:space="preserve">one —</w:t>
      </w:r>
      <w:r>
        <w:t xml:space="preserve"> </w:t>
      </w:r>
      <w:r>
        <w:rPr>
          <w:bCs/>
          <w:b/>
        </w:rPr>
        <w:t xml:space="preserve">the client’s request survives ADR-0001 that way and not otherwise.</w:t>
      </w:r>
    </w:p>
    <w:p>
      <w:pPr>
        <w:pStyle w:val="BodyText"/>
      </w:pPr>
      <w:r>
        <w:rPr>
          <w:bCs/>
          <w:b/>
        </w:rPr>
        <w:t xml:space="preserve">Offer (d′) as an upgrade to (b)</w:t>
      </w:r>
      <w:r>
        <w:t xml:space="preserve">, not an alternative.</w:t>
      </w:r>
      <w:r>
        <w:t xml:space="preserve"> </w:t>
      </w:r>
      <w:r>
        <w:rPr>
          <w:bCs/>
          <w:b/>
        </w:rPr>
        <w:t xml:space="preserve">The only reason to take it is a venue</w:t>
      </w:r>
      <w:r>
        <w:rPr>
          <w:bCs/>
          <w:b/>
        </w:rPr>
        <w:t xml:space="preserve"> </w:t>
      </w:r>
      <w:r>
        <w:rPr>
          <w:bCs/>
          <w:b/>
        </w:rPr>
        <w:t xml:space="preserve">that must trade through a regional outage</w:t>
      </w:r>
      <w:r>
        <w:t xml:space="preserve">, and that is a conversation about what a venue is</w:t>
      </w:r>
      <w:r>
        <w:t xml:space="preserve"> </w:t>
      </w:r>
      <w:r>
        <w:t xml:space="preserve">paying for.</w:t>
      </w:r>
    </w:p>
    <w:p>
      <w:pPr>
        <w:pStyle w:val="BodyText"/>
      </w:pPr>
      <w:r>
        <w:rPr>
          <w:bCs/>
          <w:b/>
        </w:rPr>
        <w:t xml:space="preserve">Keep (c) ephemeral and separate.</w:t>
      </w:r>
      <w:r>
        <w:t xml:space="preserve"> </w:t>
      </w:r>
      <w:r>
        <w:t xml:space="preserve">It is not a bigger platform; it is three services, 17 tables of</w:t>
      </w:r>
      <w:r>
        <w:t xml:space="preserve"> </w:t>
      </w:r>
      <w:r>
        <w:t xml:space="preserve">380, and fifty seconds.</w:t>
      </w:r>
    </w:p>
    <w:bookmarkEnd w:id="27"/>
    <w:bookmarkStart w:id="28" w:name="what-would-falsify-any-of-this"/>
    <w:p>
      <w:pPr>
        <w:pStyle w:val="Heading2"/>
      </w:pPr>
      <w:r>
        <w:t xml:space="preserve">What would falsify any of this</w:t>
      </w:r>
    </w:p>
    <w:p>
      <w:pPr>
        <w:pStyle w:val="FirstParagraph"/>
      </w:pPr>
      <w:r>
        <w:rPr>
          <w:bCs/>
          <w:b/>
        </w:rPr>
        <w:t xml:space="preserve">Every number above is a container count and a limit, not a measurement.</w:t>
      </w:r>
    </w:p>
    <w:p>
      <w:pPr>
        <w:pStyle w:val="BodyText"/>
      </w:pPr>
      <w:r>
        <w:rPr>
          <w:bCs/>
          <w:b/>
        </w:rPr>
        <w:t xml:space="preserve">The one that decides d′</w:t>
      </w:r>
      <w:r>
        <w:t xml:space="preserve">: whether a venue-local Postgres at 1 CPU / 2 GB sustains the F&amp;B and</w:t>
      </w:r>
      <w:r>
        <w:t xml:space="preserve"> </w:t>
      </w:r>
      <w:r>
        <w:t xml:space="preserve">Inventory workload during service. If it does not, the venue tier needs more and the arithmetic</w:t>
      </w:r>
      <w:r>
        <w:t xml:space="preserve"> </w:t>
      </w:r>
      <w:r>
        <w:t xml:space="preserve">changes.</w:t>
      </w:r>
    </w:p>
    <w:p>
      <w:pPr>
        <w:pStyle w:val="BodyText"/>
      </w:pPr>
      <w:r>
        <w:rPr>
          <w:bCs/>
          <w:b/>
        </w:rPr>
        <w:t xml:space="preserve">The one that decides b at scale</w:t>
      </w:r>
      <w:r>
        <w:t xml:space="preserve">: the replica count at which pgbouncer becomes the bottleneck</w:t>
      </w:r>
      <w:r>
        <w:t xml:space="preserve"> </w:t>
      </w:r>
      <w:r>
        <w:t xml:space="preserve">instead of Postgres.</w:t>
      </w:r>
    </w:p>
    <w:p>
      <w:pPr>
        <w:pStyle w:val="BodyText"/>
      </w:pPr>
      <w:r>
        <w:rPr>
          <w:bCs/>
          <w:b/>
        </w:rPr>
        <w:t xml:space="preserve">The one that decides c</w:t>
      </w:r>
      <w:r>
        <w:t xml:space="preserve">: lease contention throughput on a single hot performance.</w:t>
      </w:r>
      <w:r>
        <w:t xml:space="preserve"> </w:t>
      </w:r>
      <w:r>
        <w:rPr>
          <w:bCs/>
          <w:b/>
        </w:rPr>
        <w:t xml:space="preserve">No amount of</w:t>
      </w:r>
      <w:r>
        <w:rPr>
          <w:bCs/>
          <w:b/>
        </w:rPr>
        <w:t xml:space="preserve"> </w:t>
      </w:r>
      <w:r>
        <w:rPr>
          <w:bCs/>
          <w:b/>
        </w:rPr>
        <w:t xml:space="preserve">horizontal scaling helps a contended row</w:t>
      </w:r>
      <w:r>
        <w:t xml:space="preserve">, and that number is a property of the contention model</w:t>
      </w:r>
      <w:r>
        <w:t xml:space="preserve"> </w:t>
      </w:r>
      <w:r>
        <w:t xml:space="preserve">rather than of any instance size.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tools/bench.py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hot-venue </w:t>
      </w:r>
      <w:r>
        <w:rPr>
          <w:rStyle w:val="AttributeTok"/>
        </w:rPr>
        <w:t xml:space="preserve">--rps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--seconds</w:t>
      </w:r>
      <w:r>
        <w:rPr>
          <w:rStyle w:val="NormalTok"/>
        </w:rPr>
        <w:t xml:space="preserve"> 600</w:t>
      </w:r>
    </w:p>
    <w:bookmarkEnd w:id="28"/>
    <w:bookmarkEnd w:id="29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Four deployment configurations</dc:title>
  <dc:creator/>
  <cp:keywords/>
  <dcterms:created xsi:type="dcterms:W3CDTF">2026-09-01T03:56:41Z</dcterms:created>
  <dcterms:modified xsi:type="dcterms:W3CDTF">2026-09-01T03:56:41Z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